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283"/>
        <w:ind w:left="0" w:right="0" w:firstLine="36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UNITED STATES SECURITIES AND EXCHANGE COMMISSION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Washington, D.C. 20549</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__________________________</w:t>
      </w:r>
    </w:p>
    <w:p>
      <w:pPr>
        <w:pStyle w:val="TextBody"/>
        <w:bidi w:val="0"/>
        <w:spacing w:lineRule="auto" w:line="288" w:before="60" w:after="240"/>
        <w:jc w:val="center"/>
        <w:rPr>
          <w:rFonts w:ascii="Times New Roman;serif" w:hAnsi="Times New Roman;serif"/>
          <w:b/>
          <w:color w:val="000000"/>
          <w:sz w:val="24"/>
        </w:rPr>
      </w:pPr>
      <w:r>
        <w:rPr>
          <w:rFonts w:ascii="Times New Roman;serif" w:hAnsi="Times New Roman;serif"/>
          <w:b/>
          <w:color w:val="000000"/>
          <w:sz w:val="24"/>
        </w:rPr>
        <w:t>FORM 10-K</w:t>
      </w:r>
    </w:p>
    <w:tbl>
      <w:tblPr>
        <w:tblW w:w="8682" w:type="dxa"/>
        <w:jc w:val="center"/>
        <w:tblInd w:w="0" w:type="dxa"/>
        <w:tblLayout w:type="fixed"/>
        <w:tblCellMar>
          <w:top w:w="28" w:type="dxa"/>
          <w:left w:w="28" w:type="dxa"/>
          <w:bottom w:w="28" w:type="dxa"/>
          <w:right w:w="28" w:type="dxa"/>
        </w:tblCellMar>
      </w:tblPr>
      <w:tblGrid>
        <w:gridCol w:w="124"/>
        <w:gridCol w:w="109"/>
        <w:gridCol w:w="109"/>
        <w:gridCol w:w="2437"/>
        <w:gridCol w:w="2437"/>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both"/>
              <w:rPr>
                <w:color w:val="000000"/>
              </w:rPr>
            </w:pPr>
            <w:r>
              <w:rPr>
                <w:color w:val="000000"/>
              </w:rPr>
              <w:t>☑</w:t>
            </w:r>
          </w:p>
        </w:tc>
        <w:tc>
          <w:tcPr>
            <w:tcW w:w="8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ANNUAL REPORT PURSUANT TO SECTION 13 OR 15(d) OF THE SECURITIES EXCHANGE ACT OF 1934</w:t>
            </w:r>
          </w:p>
        </w:tc>
      </w:tr>
    </w:tbl>
    <w:p>
      <w:pPr>
        <w:pStyle w:val="TextBody"/>
        <w:bidi w:val="0"/>
        <w:spacing w:lineRule="auto" w:line="288" w:before="180" w:after="283"/>
        <w:ind w:left="0" w:right="0" w:firstLine="360"/>
        <w:jc w:val="center"/>
        <w:rPr>
          <w:rFonts w:ascii="Times New Roman;serif" w:hAnsi="Times New Roman;serif"/>
          <w:b/>
          <w:color w:val="000000"/>
          <w:sz w:val="16"/>
        </w:rPr>
      </w:pPr>
      <w:r>
        <w:rPr>
          <w:rFonts w:ascii="Times New Roman;serif" w:hAnsi="Times New Roman;serif"/>
          <w:b/>
          <w:color w:val="000000"/>
          <w:sz w:val="16"/>
        </w:rPr>
        <w:t>For the fiscal year ended December 31, 2025</w:t>
      </w:r>
    </w:p>
    <w:p>
      <w:pPr>
        <w:pStyle w:val="TextBody"/>
        <w:bidi w:val="0"/>
        <w:spacing w:lineRule="auto" w:line="288" w:before="60" w:after="283"/>
        <w:ind w:left="0" w:right="0" w:firstLine="360"/>
        <w:jc w:val="center"/>
        <w:rPr>
          <w:rFonts w:ascii="Times New Roman;serif" w:hAnsi="Times New Roman;serif"/>
          <w:b/>
          <w:color w:val="000000"/>
          <w:sz w:val="16"/>
        </w:rPr>
      </w:pPr>
      <w:r>
        <w:rPr>
          <w:rFonts w:ascii="Times New Roman;serif" w:hAnsi="Times New Roman;serif"/>
          <w:b/>
          <w:color w:val="000000"/>
          <w:sz w:val="16"/>
        </w:rPr>
        <w:t>or</w:t>
      </w:r>
    </w:p>
    <w:tbl>
      <w:tblPr>
        <w:tblW w:w="8307" w:type="dxa"/>
        <w:jc w:val="center"/>
        <w:tblInd w:w="0" w:type="dxa"/>
        <w:tblLayout w:type="fixed"/>
        <w:tblCellMar>
          <w:top w:w="28" w:type="dxa"/>
          <w:left w:w="28" w:type="dxa"/>
          <w:bottom w:w="28" w:type="dxa"/>
          <w:right w:w="28" w:type="dxa"/>
        </w:tblCellMar>
      </w:tblPr>
      <w:tblGrid>
        <w:gridCol w:w="124"/>
        <w:gridCol w:w="109"/>
        <w:gridCol w:w="109"/>
        <w:gridCol w:w="2330"/>
        <w:gridCol w:w="2330"/>
        <w:gridCol w:w="33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33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5"/>
              </w:rPr>
            </w:pPr>
            <w:r>
              <w:rPr>
                <w:rFonts w:ascii="Times New Roman;serif" w:hAnsi="Times New Roman;serif"/>
                <w:b/>
                <w:color w:val="000000"/>
                <w:sz w:val="15"/>
              </w:rPr>
              <w:t>TRANSITION REPORT PURSUANT TO SECTION 13 OR 15(d) OF THE SECURITIES EXCHANGE ACT OF 1934</w:t>
            </w:r>
          </w:p>
        </w:tc>
      </w:tr>
    </w:tbl>
    <w:p>
      <w:pPr>
        <w:pStyle w:val="TextBody"/>
        <w:bidi w:val="0"/>
        <w:spacing w:lineRule="auto" w:line="288" w:before="20" w:after="283"/>
        <w:jc w:val="center"/>
        <w:rPr>
          <w:rFonts w:ascii="Times New Roman;serif" w:hAnsi="Times New Roman;serif"/>
          <w:b/>
          <w:color w:val="000000"/>
          <w:sz w:val="15"/>
        </w:rPr>
      </w:pPr>
      <w:r>
        <w:rPr>
          <w:rFonts w:ascii="Times New Roman;serif" w:hAnsi="Times New Roman;serif"/>
          <w:b/>
          <w:color w:val="000000"/>
          <w:sz w:val="15"/>
        </w:rPr>
        <w:t>For the transition period from ___ to ___</w:t>
      </w:r>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 xml:space="preserve">Commission File Number: 033-03094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firstLine="360"/>
        <w:jc w:val="center"/>
        <w:rPr/>
      </w:pPr>
      <w:r>
        <w:rPr/>
        <w:drawing>
          <wp:inline distT="0" distB="0" distL="0" distR="0">
            <wp:extent cx="2362200"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62200" cy="542925"/>
                    </a:xfrm>
                    <a:prstGeom prst="rect">
                      <a:avLst/>
                    </a:prstGeom>
                  </pic:spPr>
                </pic:pic>
              </a:graphicData>
            </a:graphic>
          </wp:inline>
        </w:drawing>
      </w:r>
      <w:bookmarkStart w:id="0" w:name="i-1"/>
      <w:bookmarkEnd w:id="0"/>
    </w:p>
    <w:p>
      <w:pPr>
        <w:pStyle w:val="TextBody"/>
        <w:bidi w:val="0"/>
        <w:spacing w:lineRule="auto" w:line="288" w:before="180" w:after="283"/>
        <w:ind w:left="0" w:right="0" w:firstLine="360"/>
        <w:jc w:val="center"/>
        <w:rPr>
          <w:rFonts w:ascii="Times New Roman;serif" w:hAnsi="Times New Roman;serif"/>
          <w:b/>
          <w:color w:val="000000"/>
          <w:sz w:val="36"/>
        </w:rPr>
      </w:pPr>
      <w:r>
        <w:rPr>
          <w:rFonts w:ascii="Times New Roman;serif" w:hAnsi="Times New Roman;serif"/>
          <w:b/>
          <w:color w:val="000000"/>
          <w:sz w:val="36"/>
        </w:rPr>
        <w:t xml:space="preserve">Brighthouse Life Insurance Company </w:t>
      </w:r>
    </w:p>
    <w:p>
      <w:pPr>
        <w:pStyle w:val="TextBody"/>
        <w:bidi w:val="0"/>
        <w:spacing w:lineRule="auto" w:line="288" w:before="60" w:after="283"/>
        <w:jc w:val="center"/>
        <w:rPr>
          <w:rFonts w:ascii="Times New Roman;serif" w:hAnsi="Times New Roman;serif"/>
          <w:b w:val="false"/>
          <w:i/>
          <w:color w:val="000000"/>
          <w:sz w:val="15"/>
        </w:rPr>
      </w:pPr>
      <w:r>
        <w:rPr>
          <w:rFonts w:ascii="Times New Roman;serif" w:hAnsi="Times New Roman;serif"/>
          <w:b w:val="false"/>
          <w:i/>
          <w:color w:val="000000"/>
          <w:sz w:val="15"/>
        </w:rPr>
        <w:t>(Exact name of registrant as specified in its charter)</w:t>
      </w:r>
    </w:p>
    <w:tbl>
      <w:tblPr>
        <w:tblW w:w="7992" w:type="dxa"/>
        <w:jc w:val="center"/>
        <w:tblInd w:w="0" w:type="dxa"/>
        <w:tblLayout w:type="fixed"/>
        <w:tblCellMar>
          <w:top w:w="28" w:type="dxa"/>
          <w:left w:w="28" w:type="dxa"/>
          <w:bottom w:w="28" w:type="dxa"/>
          <w:right w:w="28" w:type="dxa"/>
        </w:tblCellMar>
      </w:tblPr>
      <w:tblGrid>
        <w:gridCol w:w="581"/>
        <w:gridCol w:w="510"/>
        <w:gridCol w:w="510"/>
        <w:gridCol w:w="510"/>
        <w:gridCol w:w="510"/>
        <w:gridCol w:w="510"/>
        <w:gridCol w:w="510"/>
        <w:gridCol w:w="510"/>
        <w:gridCol w:w="529"/>
        <w:gridCol w:w="109"/>
        <w:gridCol w:w="109"/>
        <w:gridCol w:w="109"/>
        <w:gridCol w:w="874"/>
        <w:gridCol w:w="874"/>
        <w:gridCol w:w="1237"/>
      </w:tblGrid>
      <w:tr>
        <w:trP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r>
      <w:tr>
        <w:trPr/>
        <w:tc>
          <w:tcPr>
            <w:tcW w:w="4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06-0566090</w:t>
            </w:r>
          </w:p>
        </w:tc>
      </w:tr>
      <w:tr>
        <w:trPr/>
        <w:tc>
          <w:tcPr>
            <w:tcW w:w="4680" w:type="dxa"/>
            <w:gridSpan w:val="9"/>
            <w:tcBorders/>
            <w:tcMar>
              <w:top w:w="0" w:type="dxa"/>
              <w:left w:w="0" w:type="dxa"/>
              <w:bottom w:w="0" w:type="dxa"/>
              <w:right w:w="0" w:type="dxa"/>
            </w:tcMar>
            <w:vAlign w:val="center"/>
          </w:tcPr>
          <w:p>
            <w:pPr>
              <w:pStyle w:val="TableContents"/>
              <w:bidi w:val="0"/>
              <w:spacing w:lineRule="auto" w:line="288" w:before="180" w:after="283"/>
              <w:ind w:left="0" w:right="0" w:firstLine="360"/>
              <w:jc w:val="center"/>
              <w:rPr>
                <w:rFonts w:ascii="Times New Roman;serif" w:hAnsi="Times New Roman;serif"/>
                <w:b w:val="false"/>
                <w:i/>
                <w:color w:val="000000"/>
                <w:sz w:val="16"/>
              </w:rPr>
            </w:pPr>
            <w:r>
              <w:rPr>
                <w:rFonts w:ascii="Times New Roman;serif" w:hAnsi="Times New Roman;serif"/>
                <w:b w:val="false"/>
                <w:i/>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85" w:type="dxa"/>
            <w:gridSpan w:val="3"/>
            <w:tcBorders/>
            <w:tcMar>
              <w:top w:w="0" w:type="dxa"/>
              <w:left w:w="0" w:type="dxa"/>
              <w:bottom w:w="0" w:type="dxa"/>
              <w:right w:w="0" w:type="dxa"/>
            </w:tcMar>
            <w:vAlign w:val="center"/>
          </w:tcPr>
          <w:p>
            <w:pPr>
              <w:pStyle w:val="TableContents"/>
              <w:bidi w:val="0"/>
              <w:spacing w:lineRule="auto" w:line="288" w:before="180" w:after="283"/>
              <w:ind w:left="0" w:right="0" w:firstLine="360"/>
              <w:jc w:val="center"/>
              <w:rPr>
                <w:rFonts w:ascii="Times New Roman;serif" w:hAnsi="Times New Roman;serif"/>
                <w:b w:val="false"/>
                <w:i/>
                <w:color w:val="000000"/>
                <w:sz w:val="16"/>
              </w:rPr>
            </w:pPr>
            <w:r>
              <w:rPr>
                <w:rFonts w:ascii="Times New Roman;serif" w:hAnsi="Times New Roman;serif"/>
                <w:b w:val="false"/>
                <w:i/>
                <w:color w:val="000000"/>
                <w:sz w:val="16"/>
              </w:rPr>
              <w:t>(I.R.S. Employer Identification No.)</w:t>
            </w:r>
          </w:p>
        </w:tc>
      </w:tr>
      <w:tr>
        <w:trPr/>
        <w:tc>
          <w:tcPr>
            <w:tcW w:w="468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9"/>
            <w:tcBorders/>
            <w:tcMar>
              <w:top w:w="0" w:type="dxa"/>
              <w:left w:w="0" w:type="dxa"/>
              <w:bottom w:w="0" w:type="dxa"/>
              <w:right w:w="0" w:type="dxa"/>
            </w:tcMar>
            <w:vAlign w:val="center"/>
          </w:tcPr>
          <w:p>
            <w:pPr>
              <w:pStyle w:val="TableContents"/>
              <w:bidi w:val="0"/>
              <w:spacing w:lineRule="auto" w:line="240" w:before="100" w:after="283"/>
              <w:jc w:val="center"/>
              <w:rPr>
                <w:rFonts w:ascii="Times New Roman;serif" w:hAnsi="Times New Roman;serif"/>
                <w:b/>
                <w:color w:val="000000"/>
                <w:sz w:val="15"/>
              </w:rPr>
            </w:pPr>
            <w:r>
              <w:rPr>
                <w:rFonts w:ascii="Times New Roman;serif" w:hAnsi="Times New Roman;serif"/>
                <w:b/>
                <w:color w:val="000000"/>
                <w:sz w:val="15"/>
              </w:rPr>
              <w:t>11225 North Community House Road, Charlotte, North Carolina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28277</w:t>
            </w:r>
          </w:p>
        </w:tc>
      </w:tr>
      <w:tr>
        <w:trPr/>
        <w:tc>
          <w:tcPr>
            <w:tcW w:w="4680" w:type="dxa"/>
            <w:gridSpan w:val="9"/>
            <w:tcBorders/>
            <w:tcMar>
              <w:top w:w="0" w:type="dxa"/>
              <w:left w:w="0" w:type="dxa"/>
              <w:bottom w:w="0" w:type="dxa"/>
              <w:right w:w="0" w:type="dxa"/>
            </w:tcMar>
            <w:vAlign w:val="center"/>
          </w:tcPr>
          <w:p>
            <w:pPr>
              <w:pStyle w:val="TableContents"/>
              <w:bidi w:val="0"/>
              <w:spacing w:lineRule="auto" w:line="288" w:before="180" w:after="283"/>
              <w:ind w:left="0" w:right="0" w:firstLine="360"/>
              <w:jc w:val="center"/>
              <w:rPr>
                <w:rFonts w:ascii="Times New Roman;serif" w:hAnsi="Times New Roman;serif"/>
                <w:b w:val="false"/>
                <w:i/>
                <w:color w:val="000000"/>
                <w:sz w:val="16"/>
              </w:rPr>
            </w:pPr>
            <w:r>
              <w:rPr>
                <w:rFonts w:ascii="Times New Roman;serif" w:hAnsi="Times New Roman;serif"/>
                <w:b w:val="false"/>
                <w:i/>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85" w:type="dxa"/>
            <w:gridSpan w:val="3"/>
            <w:tcBorders/>
            <w:tcMar>
              <w:top w:w="0" w:type="dxa"/>
              <w:left w:w="0" w:type="dxa"/>
              <w:bottom w:w="0" w:type="dxa"/>
              <w:right w:w="0" w:type="dxa"/>
            </w:tcMar>
            <w:vAlign w:val="center"/>
          </w:tcPr>
          <w:p>
            <w:pPr>
              <w:pStyle w:val="TableContents"/>
              <w:bidi w:val="0"/>
              <w:spacing w:lineRule="auto" w:line="288" w:before="180" w:after="283"/>
              <w:ind w:left="0" w:right="0" w:firstLine="360"/>
              <w:jc w:val="center"/>
              <w:rPr>
                <w:rFonts w:ascii="Times New Roman;serif" w:hAnsi="Times New Roman;serif"/>
                <w:b w:val="false"/>
                <w:i/>
                <w:color w:val="000000"/>
                <w:sz w:val="16"/>
              </w:rPr>
            </w:pPr>
            <w:r>
              <w:rPr>
                <w:rFonts w:ascii="Times New Roman;serif" w:hAnsi="Times New Roman;serif"/>
                <w:b w:val="false"/>
                <w:i/>
                <w:color w:val="000000"/>
                <w:sz w:val="16"/>
              </w:rPr>
              <w:t>(Zip Code)</w:t>
            </w:r>
          </w:p>
        </w:tc>
      </w:tr>
    </w:tbl>
    <w:p>
      <w:pPr>
        <w:pStyle w:val="TextBody"/>
        <w:bidi w:val="0"/>
        <w:spacing w:lineRule="auto" w:line="288" w:before="0" w:after="0"/>
        <w:ind w:left="0" w:right="0" w:firstLine="360"/>
        <w:jc w:val="center"/>
        <w:rPr>
          <w:rFonts w:ascii="Times New Roman;serif" w:hAnsi="Times New Roman;serif"/>
          <w:b/>
          <w:color w:val="000000"/>
          <w:sz w:val="15"/>
        </w:rPr>
      </w:pPr>
      <w:r>
        <w:rPr>
          <w:rFonts w:ascii="Times New Roman;serif" w:hAnsi="Times New Roman;serif"/>
          <w:b/>
          <w:color w:val="000000"/>
          <w:sz w:val="15"/>
        </w:rPr>
        <w:t xml:space="preserve">(980) 365-7100 </w:t>
      </w:r>
    </w:p>
    <w:p>
      <w:pPr>
        <w:pStyle w:val="TextBody"/>
        <w:bidi w:val="0"/>
        <w:spacing w:lineRule="auto" w:line="288" w:before="0" w:after="120"/>
        <w:jc w:val="center"/>
        <w:rPr>
          <w:rFonts w:ascii="Times New Roman;serif" w:hAnsi="Times New Roman;serif"/>
          <w:b w:val="false"/>
          <w:i/>
          <w:color w:val="000000"/>
          <w:sz w:val="15"/>
        </w:rPr>
      </w:pPr>
      <w:r>
        <w:rPr>
          <w:rFonts w:ascii="Times New Roman;serif" w:hAnsi="Times New Roman;serif"/>
          <w:b w:val="false"/>
          <w:i/>
          <w:color w:val="000000"/>
          <w:sz w:val="15"/>
        </w:rPr>
        <w:t>(Registrant’s telephone number, including area code)</w:t>
      </w:r>
    </w:p>
    <w:p>
      <w:pPr>
        <w:pStyle w:val="TextBody"/>
        <w:bidi w:val="0"/>
        <w:spacing w:lineRule="auto" w:line="288" w:before="0" w:after="0"/>
        <w:ind w:left="0" w:right="0" w:firstLine="360"/>
        <w:jc w:val="center"/>
        <w:rPr>
          <w:rFonts w:ascii="Times New Roman;serif" w:hAnsi="Times New Roman;serif"/>
          <w:b w:val="false"/>
          <w:color w:val="000000"/>
          <w:sz w:val="14"/>
        </w:rPr>
      </w:pPr>
      <w:r>
        <w:rPr>
          <w:rFonts w:ascii="Times New Roman;serif" w:hAnsi="Times New Roman;serif"/>
          <w:b w:val="false"/>
          <w:color w:val="000000"/>
          <w:sz w:val="14"/>
        </w:rPr>
        <w:t>Securities registered pursuant to Section 12(b) of the Act: None</w:t>
      </w:r>
    </w:p>
    <w:tbl>
      <w:tblPr>
        <w:tblW w:w="4934" w:type="dxa"/>
        <w:jc w:val="center"/>
        <w:tblInd w:w="0" w:type="dxa"/>
        <w:tblLayout w:type="fixed"/>
        <w:tblCellMar>
          <w:top w:w="28" w:type="dxa"/>
          <w:left w:w="28" w:type="dxa"/>
          <w:bottom w:w="28" w:type="dxa"/>
          <w:right w:w="28" w:type="dxa"/>
        </w:tblCellMar>
      </w:tblPr>
      <w:tblGrid>
        <w:gridCol w:w="413"/>
        <w:gridCol w:w="362"/>
        <w:gridCol w:w="365"/>
        <w:gridCol w:w="389"/>
        <w:gridCol w:w="389"/>
        <w:gridCol w:w="391"/>
        <w:gridCol w:w="768"/>
        <w:gridCol w:w="768"/>
        <w:gridCol w:w="1089"/>
      </w:tblGrid>
      <w:tr>
        <w:trPr/>
        <w:tc>
          <w:tcPr>
            <w:tcW w:w="41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u w:val="single"/>
              </w:rPr>
            </w:pPr>
            <w:r>
              <w:rPr>
                <w:rFonts w:ascii="Times New Roman;serif" w:hAnsi="Times New Roman;serif"/>
                <w:b w:val="false"/>
                <w:color w:val="000000"/>
                <w:sz w:val="14"/>
                <w:u w:val="single"/>
              </w:rPr>
              <w:t>Title of each class</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u w:val="single"/>
              </w:rPr>
            </w:pPr>
            <w:r>
              <w:rPr>
                <w:rFonts w:ascii="Times New Roman;serif" w:hAnsi="Times New Roman;serif"/>
                <w:b w:val="false"/>
                <w:color w:val="000000"/>
                <w:sz w:val="14"/>
                <w:u w:val="single"/>
              </w:rPr>
              <w:t>Trading symbol(s)</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u w:val="single"/>
              </w:rPr>
            </w:pPr>
            <w:r>
              <w:rPr>
                <w:rFonts w:ascii="Times New Roman;serif" w:hAnsi="Times New Roman;serif"/>
                <w:b w:val="false"/>
                <w:color w:val="000000"/>
                <w:sz w:val="14"/>
                <w:u w:val="single"/>
              </w:rPr>
              <w:t>Name of each exchange on which registered</w:t>
            </w:r>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Securities registered pursuant to Section 12(g) of the Act: None</w:t>
      </w:r>
    </w:p>
    <w:p>
      <w:pPr>
        <w:pStyle w:val="TextBody"/>
        <w:bidi w:val="0"/>
        <w:spacing w:lineRule="auto" w:line="288" w:before="120" w:after="60"/>
        <w:jc w:val="both"/>
        <w:rPr/>
      </w:pPr>
      <w:r>
        <w:rPr>
          <w:rFonts w:ascii="Times New Roman;serif" w:hAnsi="Times New Roman;serif"/>
          <w:b w:val="false"/>
          <w:color w:val="000000"/>
          <w:sz w:val="14"/>
        </w:rPr>
        <w:t xml:space="preserve">Indicate by check mark if the registrant is a well-known seasoned issuer, as defined in Rule 405 of the Securities Act. Yes </w:t>
      </w:r>
      <w:r>
        <w:rPr>
          <w:color w:val="000000"/>
        </w:rPr>
        <w:t xml:space="preserve">☐ </w:t>
      </w:r>
      <w:r>
        <w:rPr>
          <w:rFonts w:ascii="Times New Roman;serif" w:hAnsi="Times New Roman;serif"/>
          <w:b w:val="false"/>
          <w:color w:val="000000"/>
          <w:sz w:val="14"/>
        </w:rPr>
        <w:t>No </w:t>
      </w:r>
      <w:r>
        <w:rPr>
          <w:color w:val="000000"/>
        </w:rPr>
        <w:t>☑</w:t>
      </w:r>
    </w:p>
    <w:p>
      <w:pPr>
        <w:pStyle w:val="TextBody"/>
        <w:bidi w:val="0"/>
        <w:spacing w:lineRule="auto" w:line="288" w:before="60" w:after="60"/>
        <w:jc w:val="both"/>
        <w:rPr/>
      </w:pPr>
      <w:r>
        <w:rPr>
          <w:rFonts w:ascii="Times New Roman;serif" w:hAnsi="Times New Roman;serif"/>
          <w:b w:val="false"/>
          <w:color w:val="000000"/>
          <w:sz w:val="14"/>
        </w:rPr>
        <w:t xml:space="preserve">Indicate by check mark if the registrant is not required to file reports pursuant to Section 13 or 15(d) of the Act. Yes </w:t>
      </w:r>
      <w:r>
        <w:rPr>
          <w:color w:val="000000"/>
        </w:rPr>
        <w:t>☐ </w:t>
      </w:r>
      <w:r>
        <w:rPr>
          <w:rFonts w:ascii="Times New Roman;serif" w:hAnsi="Times New Roman;serif"/>
          <w:b w:val="false"/>
          <w:color w:val="000000"/>
          <w:sz w:val="14"/>
        </w:rPr>
        <w:t xml:space="preserve">No </w:t>
      </w:r>
      <w:r>
        <w:rPr>
          <w:color w:val="000000"/>
        </w:rPr>
        <w:t>☑</w:t>
      </w:r>
    </w:p>
    <w:p>
      <w:pPr>
        <w:pStyle w:val="TextBody"/>
        <w:bidi w:val="0"/>
        <w:spacing w:lineRule="auto" w:line="288" w:before="60" w:after="60"/>
        <w:jc w:val="both"/>
        <w:rPr/>
      </w:pPr>
      <w:r>
        <w:rPr>
          <w:rFonts w:ascii="Times New Roman;serif" w:hAnsi="Times New Roman;serif"/>
          <w:b w:val="false"/>
          <w:color w:val="000000"/>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color w:val="000000"/>
        </w:rPr>
        <w:t> ☑ </w:t>
      </w:r>
      <w:r>
        <w:rPr>
          <w:rFonts w:ascii="Times New Roman;serif" w:hAnsi="Times New Roman;serif"/>
          <w:b w:val="false"/>
          <w:color w:val="000000"/>
          <w:sz w:val="14"/>
        </w:rPr>
        <w:t xml:space="preserve">No </w:t>
      </w:r>
      <w:r>
        <w:rPr>
          <w:color w:val="000000"/>
        </w:rPr>
        <w:t>☐</w:t>
      </w:r>
    </w:p>
    <w:p>
      <w:pPr>
        <w:pStyle w:val="TextBody"/>
        <w:bidi w:val="0"/>
        <w:spacing w:lineRule="auto" w:line="288" w:before="60" w:after="60"/>
        <w:jc w:val="both"/>
        <w:rPr/>
      </w:pPr>
      <w:r>
        <w:rPr>
          <w:rFonts w:ascii="Times New Roman;serif" w:hAnsi="Times New Roman;serif"/>
          <w:b w:val="false"/>
          <w:color w:val="000000"/>
          <w:sz w:val="14"/>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4"/>
        </w:rPr>
        <w:t xml:space="preserve">No </w:t>
      </w:r>
      <w:r>
        <w:rPr>
          <w:color w:val="000000"/>
        </w:rPr>
        <w:t>☐</w:t>
      </w:r>
    </w:p>
    <w:p>
      <w:pPr>
        <w:pStyle w:val="TextBody"/>
        <w:bidi w:val="0"/>
        <w:spacing w:lineRule="auto" w:line="288" w:before="60" w:after="60"/>
        <w:jc w:val="both"/>
        <w:rPr>
          <w:rFonts w:ascii="Times New Roman;serif" w:hAnsi="Times New Roman;serif"/>
          <w:b w:val="false"/>
          <w:color w:val="000000"/>
          <w:sz w:val="14"/>
        </w:rPr>
      </w:pPr>
      <w:r>
        <w:rPr>
          <w:rFonts w:ascii="Times New Roman;serif" w:hAnsi="Times New Roman;serif"/>
          <w:b w:val="false"/>
          <w:color w:val="000000"/>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054" w:type="dxa"/>
        <w:jc w:val="left"/>
        <w:tblInd w:w="0" w:type="dxa"/>
        <w:tblLayout w:type="fixed"/>
        <w:tblCellMar>
          <w:top w:w="28" w:type="dxa"/>
          <w:left w:w="28" w:type="dxa"/>
          <w:bottom w:w="28" w:type="dxa"/>
          <w:right w:w="28" w:type="dxa"/>
        </w:tblCellMar>
      </w:tblPr>
      <w:tblGrid>
        <w:gridCol w:w="494"/>
        <w:gridCol w:w="434"/>
        <w:gridCol w:w="436"/>
        <w:gridCol w:w="109"/>
        <w:gridCol w:w="109"/>
        <w:gridCol w:w="109"/>
        <w:gridCol w:w="109"/>
        <w:gridCol w:w="109"/>
        <w:gridCol w:w="109"/>
        <w:gridCol w:w="421"/>
        <w:gridCol w:w="421"/>
        <w:gridCol w:w="423"/>
        <w:gridCol w:w="133"/>
        <w:gridCol w:w="133"/>
        <w:gridCol w:w="133"/>
        <w:gridCol w:w="109"/>
        <w:gridCol w:w="109"/>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4"/>
              </w:rPr>
            </w:pPr>
            <w:r>
              <w:rPr>
                <w:rFonts w:ascii="Times New Roman;serif" w:hAnsi="Times New Roman;serif"/>
                <w:b w:val="false"/>
                <w:color w:val="000000"/>
                <w:sz w:val="14"/>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4"/>
              </w:rPr>
            </w:pPr>
            <w:r>
              <w:rPr>
                <w:rFonts w:ascii="Times New Roman;serif" w:hAnsi="Times New Roman;serif"/>
                <w:b w:val="false"/>
                <w:color w:val="000000"/>
                <w:sz w:val="14"/>
              </w:rPr>
              <w:t>Accelerated filer</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4"/>
              </w:rPr>
            </w:pPr>
            <w:r>
              <w:rPr>
                <w:rFonts w:ascii="Times New Roman;serif" w:hAnsi="Times New Roman;serif"/>
                <w:b w:val="false"/>
                <w:color w:val="000000"/>
                <w:sz w:val="14"/>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64"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4"/>
              </w:rPr>
            </w:pPr>
            <w:r>
              <w:rPr>
                <w:rFonts w:ascii="Times New Roman;serif" w:hAnsi="Times New Roman;serif"/>
                <w:b w:val="false"/>
                <w:color w:val="000000"/>
                <w:sz w:val="14"/>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6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4"/>
              </w:rPr>
            </w:pPr>
            <w:r>
              <w:rPr>
                <w:rFonts w:ascii="Times New Roman;serif" w:hAnsi="Times New Roman;serif"/>
                <w:b w:val="false"/>
                <w:color w:val="000000"/>
                <w:sz w:val="14"/>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bl>
    <w:p>
      <w:pPr>
        <w:pStyle w:val="TextBody"/>
        <w:bidi w:val="0"/>
        <w:spacing w:lineRule="auto" w:line="276" w:before="0" w:after="60"/>
        <w:jc w:val="both"/>
        <w:rPr/>
      </w:pPr>
      <w:r>
        <w:rPr>
          <w:rFonts w:ascii="Times New Roman;serif" w:hAnsi="Times New Roman;serif"/>
          <w:b w:val="false"/>
          <w:color w:val="000000"/>
          <w:sz w:val="14"/>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76" w:before="0" w:after="0"/>
        <w:jc w:val="both"/>
        <w:rPr/>
      </w:pPr>
      <w:r>
        <w:rPr>
          <w:rFonts w:ascii="Times New Roman;serif" w:hAnsi="Times New Roman;serif"/>
          <w:b w:val="false"/>
          <w:color w:val="000000"/>
          <w:sz w:val="1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60" w:after="60"/>
        <w:jc w:val="left"/>
        <w:rPr/>
      </w:pPr>
      <w:r>
        <w:rPr>
          <w:rFonts w:ascii="Times New Roman;serif" w:hAnsi="Times New Roman;serif"/>
          <w:b w:val="false"/>
          <w:color w:val="000000"/>
          <w:sz w:val="14"/>
        </w:rPr>
        <w:t>If securities are registered pursuant to Section 12(b) of the Act, indicate by check mark whether the financial statements of the registrant included in the filing reflect the correction of an error to previously issued financial statements.</w:t>
      </w:r>
      <w:r>
        <w:rPr>
          <w:color w:val="000000"/>
        </w:rPr>
        <w:t xml:space="preserve"> ☐</w:t>
      </w:r>
    </w:p>
    <w:p>
      <w:pPr>
        <w:pStyle w:val="TextBody"/>
        <w:bidi w:val="0"/>
        <w:spacing w:lineRule="auto" w:line="288" w:before="60" w:after="60"/>
        <w:jc w:val="left"/>
        <w:rPr/>
      </w:pPr>
      <w:r>
        <w:rPr>
          <w:rFonts w:ascii="Times New Roman;serif" w:hAnsi="Times New Roman;serif"/>
          <w:b w:val="false"/>
          <w:color w:val="000000"/>
          <w:sz w:val="14"/>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60" w:after="60"/>
        <w:jc w:val="both"/>
        <w:rPr/>
      </w:pPr>
      <w:r>
        <w:rPr>
          <w:rFonts w:ascii="Times New Roman;serif" w:hAnsi="Times New Roman;serif"/>
          <w:b w:val="false"/>
          <w:color w:val="000000"/>
          <w:sz w:val="14"/>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4"/>
        </w:rPr>
        <w:t>No </w:t>
      </w:r>
      <w:r>
        <w:rPr>
          <w:color w:val="000000"/>
        </w:rPr>
        <w:t>☑</w:t>
      </w:r>
    </w:p>
    <w:p>
      <w:pPr>
        <w:pStyle w:val="TextBody"/>
        <w:bidi w:val="0"/>
        <w:spacing w:lineRule="auto" w:line="288" w:before="60" w:after="60"/>
        <w:jc w:val="both"/>
        <w:rPr>
          <w:rFonts w:ascii="Times New Roman;serif" w:hAnsi="Times New Roman;serif"/>
          <w:b w:val="false"/>
          <w:color w:val="000000"/>
          <w:sz w:val="14"/>
        </w:rPr>
      </w:pPr>
      <w:r>
        <w:rPr>
          <w:rFonts w:ascii="Times New Roman;serif" w:hAnsi="Times New Roman;serif"/>
          <w:b w:val="false"/>
          <w:color w:val="000000"/>
          <w:sz w:val="14"/>
        </w:rPr>
        <w:t>As of February 27, 2026, 3,000 shares of the registrant’s common stock were outstanding, all of which were owned indirectly by Brighthouse Financial, Inc.</w:t>
      </w:r>
    </w:p>
    <w:p>
      <w:pPr>
        <w:pStyle w:val="TextBody"/>
        <w:bidi w:val="0"/>
        <w:spacing w:lineRule="auto" w:line="288" w:before="120" w:after="283"/>
        <w:jc w:val="center"/>
        <w:rPr>
          <w:rFonts w:ascii="Times New Roman;serif" w:hAnsi="Times New Roman;serif"/>
          <w:b/>
          <w:color w:val="000000"/>
          <w:sz w:val="14"/>
        </w:rPr>
      </w:pPr>
      <w:r>
        <w:rPr>
          <w:rFonts w:ascii="Times New Roman;serif" w:hAnsi="Times New Roman;serif"/>
          <w:b/>
          <w:color w:val="000000"/>
          <w:sz w:val="14"/>
        </w:rPr>
        <w:t>REDUCED DISCLOSURE FORMAT</w:t>
      </w:r>
    </w:p>
    <w:p>
      <w:pPr>
        <w:pStyle w:val="TextBody"/>
        <w:bidi w:val="0"/>
        <w:spacing w:lineRule="auto" w:line="288" w:before="120" w:after="283"/>
        <w:jc w:val="center"/>
        <w:rPr>
          <w:rFonts w:ascii="Times New Roman;serif" w:hAnsi="Times New Roman;serif"/>
          <w:b/>
          <w:color w:val="000000"/>
          <w:sz w:val="14"/>
        </w:rPr>
      </w:pPr>
      <w:r>
        <w:rPr>
          <w:rFonts w:ascii="Times New Roman;serif" w:hAnsi="Times New Roman;serif"/>
          <w:b/>
          <w:color w:val="000000"/>
          <w:sz w:val="14"/>
        </w:rPr>
        <w:t>The registrant meets the conditions set forth in General Instruction I(1)(a) and (b) of Form 10-K and is therefore filing this Annual Report on Form 10-K with the reduced disclosure format.</w:t>
      </w:r>
    </w:p>
    <w:p>
      <w:pPr>
        <w:pStyle w:val="TextBody"/>
        <w:bidi w:val="0"/>
        <w:spacing w:lineRule="auto" w:line="288" w:before="60" w:after="283"/>
        <w:jc w:val="center"/>
        <w:rPr>
          <w:rFonts w:ascii="Times New Roman;serif" w:hAnsi="Times New Roman;serif"/>
          <w:b/>
          <w:color w:val="000000"/>
          <w:sz w:val="14"/>
        </w:rPr>
      </w:pPr>
      <w:r>
        <w:rPr>
          <w:rFonts w:ascii="Times New Roman;serif" w:hAnsi="Times New Roman;serif"/>
          <w:b/>
          <w:color w:val="000000"/>
          <w:sz w:val="14"/>
        </w:rPr>
        <w:t>DOCUMENTS INCORPORATED BY REFERENCE: NONE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89560"/>
                <wp:effectExtent l="0" t="0" r="0" b="0"/>
                <wp:wrapNone/>
                <wp:docPr id="2" name="Frame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ind w:left="0" w:right="0" w:firstLine="3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txbxContent>
                </v:textbox>
                <w10:wrap type="none"/>
              </v:rect>
            </w:pict>
          </mc:Fallback>
        </mc:AlternateContent>
      </w:r>
    </w:p>
    <w:p>
      <w:pPr>
        <w:pStyle w:val="TextBody"/>
        <w:bidi w:val="0"/>
        <w:spacing w:before="180" w:after="283"/>
        <w:ind w:left="0" w:right="0" w:firstLine="360"/>
        <w:jc w:val="center"/>
        <w:rPr/>
      </w:pPr>
      <w:r>
        <w:rPr/>
      </w:r>
    </w:p>
    <w:p>
      <w:pPr>
        <w:pStyle w:val="TextBody"/>
        <w:bidi w:val="0"/>
        <w:spacing w:lineRule="auto" w:line="288" w:before="180" w:after="300"/>
        <w:ind w:left="0" w:right="0" w:firstLine="36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68"/>
        <w:gridCol w:w="324"/>
        <w:gridCol w:w="329"/>
        <w:gridCol w:w="109"/>
        <w:gridCol w:w="109"/>
        <w:gridCol w:w="109"/>
        <w:gridCol w:w="2681"/>
        <w:gridCol w:w="2635"/>
        <w:gridCol w:w="2642"/>
        <w:gridCol w:w="109"/>
        <w:gridCol w:w="109"/>
        <w:gridCol w:w="109"/>
        <w:gridCol w:w="167"/>
        <w:gridCol w:w="167"/>
        <w:gridCol w:w="238"/>
      </w:tblGrid>
      <w:tr>
        <w:trPr/>
        <w:tc>
          <w:tcPr>
            <w:tcW w:w="36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2635" w:type="dxa"/>
            <w:tcBorders/>
            <w:vAlign w:val="center"/>
          </w:tcPr>
          <w:p>
            <w:pPr>
              <w:pStyle w:val="TableContents"/>
              <w:bidi w:val="0"/>
              <w:spacing w:before="0" w:after="283"/>
              <w:jc w:val="left"/>
              <w:rPr>
                <w:sz w:val="4"/>
                <w:szCs w:val="4"/>
              </w:rPr>
            </w:pPr>
            <w:r>
              <w:rPr>
                <w:sz w:val="4"/>
                <w:szCs w:val="4"/>
              </w:rPr>
            </w:r>
          </w:p>
        </w:tc>
        <w:tc>
          <w:tcPr>
            <w:tcW w:w="2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3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c4b9e6b138e4c15b462f76456fc5e4b_19">
              <w:r>
                <w:rPr>
                  <w:rStyle w:val="InternetLink"/>
                  <w:rFonts w:ascii="Times New Roman;serif" w:hAnsi="Times New Roman;serif"/>
                  <w:b w:val="false"/>
                  <w:color w:val="0000FF"/>
                  <w:sz w:val="20"/>
                  <w:u w:val="single"/>
                </w:rPr>
                <w:t>Business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19">
              <w:r>
                <w:rPr>
                  <w:rStyle w:val="InternetLink"/>
                  <w:rFonts w:ascii="Times New Roman;serif" w:hAnsi="Times New Roman;serif"/>
                  <w:b w:val="false"/>
                  <w:color w:val="0000FF"/>
                  <w:sz w:val="20"/>
                  <w:u w:val="single"/>
                </w:rPr>
                <w:t>5</w:t>
              </w:r>
            </w:hyperlink>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c4b9e6b138e4c15b462f76456fc5e4b_73">
              <w:r>
                <w:rPr>
                  <w:rStyle w:val="InternetLink"/>
                  <w:rFonts w:ascii="Times New Roman;serif" w:hAnsi="Times New Roman;serif"/>
                  <w:b w:val="false"/>
                  <w:color w:val="0000FF"/>
                  <w:sz w:val="20"/>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73">
              <w:r>
                <w:rPr>
                  <w:rStyle w:val="InternetLink"/>
                  <w:rFonts w:ascii="Times New Roman;serif" w:hAnsi="Times New Roman;serif"/>
                  <w:b w:val="false"/>
                  <w:color w:val="0000FF"/>
                  <w:sz w:val="20"/>
                  <w:u w:val="single"/>
                </w:rPr>
                <w:t>22</w:t>
              </w:r>
            </w:hyperlink>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c4b9e6b138e4c15b462f76456fc5e4b_97">
              <w:r>
                <w:rPr>
                  <w:rStyle w:val="InternetLink"/>
                  <w:rFonts w:ascii="Times New Roman;serif" w:hAnsi="Times New Roman;serif"/>
                  <w:b w:val="false"/>
                  <w:color w:val="0000FF"/>
                  <w:sz w:val="20"/>
                  <w:u w:val="single"/>
                </w:rPr>
                <w:t>Unresolved Staff Comments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97">
              <w:r>
                <w:rPr>
                  <w:rStyle w:val="InternetLink"/>
                  <w:rFonts w:ascii="Times New Roman;serif" w:hAnsi="Times New Roman;serif"/>
                  <w:b w:val="false"/>
                  <w:color w:val="0000FF"/>
                  <w:sz w:val="20"/>
                  <w:u w:val="single"/>
                </w:rPr>
                <w:t>44</w:t>
              </w:r>
            </w:hyperlink>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c4b9e6b138e4c15b462f76456fc5e4b_100">
              <w:r>
                <w:rPr>
                  <w:rStyle w:val="InternetLink"/>
                  <w:rFonts w:ascii="Times New Roman;serif" w:hAnsi="Times New Roman;serif"/>
                  <w:b w:val="false"/>
                  <w:color w:val="0000FF"/>
                  <w:sz w:val="20"/>
                  <w:u w:val="single"/>
                </w:rPr>
                <w:t>Cybersecurity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100">
              <w:r>
                <w:rPr>
                  <w:rStyle w:val="InternetLink"/>
                  <w:rFonts w:ascii="Times New Roman;serif" w:hAnsi="Times New Roman;serif"/>
                  <w:b w:val="false"/>
                  <w:color w:val="0000FF"/>
                  <w:sz w:val="20"/>
                  <w:u w:val="single"/>
                </w:rPr>
                <w:t>44</w:t>
              </w:r>
            </w:hyperlink>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c4b9e6b138e4c15b462f76456fc5e4b_103">
              <w:r>
                <w:rPr>
                  <w:rStyle w:val="InternetLink"/>
                  <w:rFonts w:ascii="Times New Roman;serif" w:hAnsi="Times New Roman;serif"/>
                  <w:b w:val="false"/>
                  <w:color w:val="0000FF"/>
                  <w:sz w:val="20"/>
                  <w:u w:val="single"/>
                </w:rPr>
                <w:t>Properties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103">
              <w:r>
                <w:rPr>
                  <w:rStyle w:val="InternetLink"/>
                  <w:rFonts w:ascii="Times New Roman;serif" w:hAnsi="Times New Roman;serif"/>
                  <w:b w:val="false"/>
                  <w:color w:val="0000FF"/>
                  <w:sz w:val="20"/>
                  <w:u w:val="single"/>
                </w:rPr>
                <w:t>45</w:t>
              </w:r>
            </w:hyperlink>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c4b9e6b138e4c15b462f76456fc5e4b_106">
              <w:r>
                <w:rPr>
                  <w:rStyle w:val="InternetLink"/>
                  <w:rFonts w:ascii="Times New Roman;serif" w:hAnsi="Times New Roman;serif"/>
                  <w:b w:val="false"/>
                  <w:color w:val="0000FF"/>
                  <w:sz w:val="20"/>
                  <w:u w:val="single"/>
                </w:rPr>
                <w:t>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106">
              <w:r>
                <w:rPr>
                  <w:rStyle w:val="InternetLink"/>
                  <w:rFonts w:ascii="Times New Roman;serif" w:hAnsi="Times New Roman;serif"/>
                  <w:b w:val="false"/>
                  <w:color w:val="0000FF"/>
                  <w:sz w:val="20"/>
                  <w:u w:val="single"/>
                </w:rPr>
                <w:t>45</w:t>
              </w:r>
            </w:hyperlink>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c4b9e6b138e4c15b462f76456fc5e4b_109">
              <w:r>
                <w:rPr>
                  <w:rStyle w:val="InternetLink"/>
                  <w:rFonts w:ascii="Times New Roman;serif" w:hAnsi="Times New Roman;serif"/>
                  <w:b w:val="false"/>
                  <w:color w:val="0000FF"/>
                  <w:sz w:val="20"/>
                  <w:u w:val="single"/>
                </w:rPr>
                <w:t>Mine Safety Disclosures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109">
              <w:r>
                <w:rPr>
                  <w:rStyle w:val="InternetLink"/>
                  <w:rFonts w:ascii="Times New Roman;serif" w:hAnsi="Times New Roman;serif"/>
                  <w:b w:val="false"/>
                  <w:color w:val="0000FF"/>
                  <w:sz w:val="20"/>
                  <w:u w:val="single"/>
                </w:rPr>
                <w:t>45</w:t>
              </w:r>
            </w:hyperlink>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c4b9e6b138e4c15b462f76456fc5e4b_115">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115">
              <w:r>
                <w:rPr>
                  <w:rStyle w:val="InternetLink"/>
                  <w:rFonts w:ascii="Times New Roman;serif" w:hAnsi="Times New Roman;serif"/>
                  <w:b w:val="false"/>
                  <w:color w:val="0000FF"/>
                  <w:sz w:val="20"/>
                  <w:u w:val="single"/>
                </w:rPr>
                <w:t>46</w:t>
              </w:r>
            </w:hyperlink>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c4b9e6b138e4c15b462f76456fc5e4b_118">
              <w:r>
                <w:rPr>
                  <w:rStyle w:val="InternetLink"/>
                  <w:rFonts w:ascii="Times New Roman;serif" w:hAnsi="Times New Roman;serif"/>
                  <w:b w:val="false"/>
                  <w:color w:val="0000FF"/>
                  <w:sz w:val="20"/>
                  <w:u w:val="single"/>
                </w:rPr>
                <w:t>[Reserved]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118">
              <w:r>
                <w:rPr>
                  <w:rStyle w:val="InternetLink"/>
                  <w:rFonts w:ascii="Times New Roman;serif" w:hAnsi="Times New Roman;serif"/>
                  <w:b w:val="false"/>
                  <w:color w:val="0000FF"/>
                  <w:sz w:val="20"/>
                  <w:u w:val="single"/>
                </w:rPr>
                <w:t>46</w:t>
              </w:r>
            </w:hyperlink>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c4b9e6b138e4c15b462f76456fc5e4b_121">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121">
              <w:r>
                <w:rPr>
                  <w:rStyle w:val="InternetLink"/>
                  <w:rFonts w:ascii="Times New Roman;serif" w:hAnsi="Times New Roman;serif"/>
                  <w:b w:val="false"/>
                  <w:color w:val="0000FF"/>
                  <w:sz w:val="20"/>
                  <w:u w:val="single"/>
                </w:rPr>
                <w:t>47</w:t>
              </w:r>
            </w:hyperlink>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c4b9e6b138e4c15b462f76456fc5e4b_181">
              <w:r>
                <w:rPr>
                  <w:rStyle w:val="InternetLink"/>
                  <w:rFonts w:ascii="Times New Roman;serif" w:hAnsi="Times New Roman;serif"/>
                  <w:b w:val="false"/>
                  <w:color w:val="0000FF"/>
                  <w:sz w:val="20"/>
                  <w:u w:val="single"/>
                </w:rPr>
                <w:t>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181">
              <w:r>
                <w:rPr>
                  <w:rStyle w:val="InternetLink"/>
                  <w:rFonts w:ascii="Times New Roman;serif" w:hAnsi="Times New Roman;serif"/>
                  <w:b w:val="false"/>
                  <w:color w:val="0000FF"/>
                  <w:sz w:val="20"/>
                  <w:u w:val="single"/>
                </w:rPr>
                <w:t>64</w:t>
              </w:r>
            </w:hyperlink>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c4b9e6b138e4c15b462f76456fc5e4b_193">
              <w:r>
                <w:rPr>
                  <w:rStyle w:val="InternetLink"/>
                  <w:rFonts w:ascii="Times New Roman;serif" w:hAnsi="Times New Roman;serif"/>
                  <w:b w:val="false"/>
                  <w:color w:val="0000FF"/>
                  <w:sz w:val="20"/>
                  <w:u w:val="single"/>
                </w:rPr>
                <w:t>Financial Statements and Supplementary Data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193">
              <w:r>
                <w:rPr>
                  <w:rStyle w:val="InternetLink"/>
                  <w:rFonts w:ascii="Times New Roman;serif" w:hAnsi="Times New Roman;serif"/>
                  <w:b w:val="false"/>
                  <w:color w:val="0000FF"/>
                  <w:sz w:val="20"/>
                  <w:u w:val="single"/>
                </w:rPr>
                <w:t>68</w:t>
              </w:r>
            </w:hyperlink>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c4b9e6b138e4c15b462f76456fc5e4b_505">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505">
              <w:r>
                <w:rPr>
                  <w:rStyle w:val="InternetLink"/>
                  <w:rFonts w:ascii="Times New Roman;serif" w:hAnsi="Times New Roman;serif"/>
                  <w:b w:val="false"/>
                  <w:color w:val="0000FF"/>
                  <w:sz w:val="20"/>
                  <w:u w:val="single"/>
                </w:rPr>
                <w:t>160</w:t>
              </w:r>
            </w:hyperlink>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c4b9e6b138e4c15b462f76456fc5e4b_508">
              <w:r>
                <w:rPr>
                  <w:rStyle w:val="InternetLink"/>
                  <w:rFonts w:ascii="Times New Roman;serif" w:hAnsi="Times New Roman;serif"/>
                  <w:b w:val="false"/>
                  <w:color w:val="0000FF"/>
                  <w:sz w:val="20"/>
                  <w:u w:val="single"/>
                </w:rPr>
                <w:t>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508">
              <w:r>
                <w:rPr>
                  <w:rStyle w:val="InternetLink"/>
                  <w:rFonts w:ascii="Times New Roman;serif" w:hAnsi="Times New Roman;serif"/>
                  <w:b w:val="false"/>
                  <w:color w:val="0000FF"/>
                  <w:sz w:val="20"/>
                  <w:u w:val="single"/>
                </w:rPr>
                <w:t>160</w:t>
              </w:r>
            </w:hyperlink>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c4b9e6b138e4c15b462f76456fc5e4b_511">
              <w:r>
                <w:rPr>
                  <w:rStyle w:val="InternetLink"/>
                  <w:rFonts w:ascii="Times New Roman;serif" w:hAnsi="Times New Roman;serif"/>
                  <w:b w:val="false"/>
                  <w:color w:val="0000FF"/>
                  <w:sz w:val="20"/>
                  <w:u w:val="single"/>
                </w:rPr>
                <w:t>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511">
              <w:r>
                <w:rPr>
                  <w:rStyle w:val="InternetLink"/>
                  <w:rFonts w:ascii="Times New Roman;serif" w:hAnsi="Times New Roman;serif"/>
                  <w:b w:val="false"/>
                  <w:color w:val="0000FF"/>
                  <w:sz w:val="20"/>
                  <w:u w:val="single"/>
                </w:rPr>
                <w:t>160</w:t>
              </w:r>
            </w:hyperlink>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c4b9e6b138e4c15b462f76456fc5e4b_514">
              <w:r>
                <w:rPr>
                  <w:rStyle w:val="InternetLink"/>
                  <w:rFonts w:ascii="Times New Roman;serif" w:hAnsi="Times New Roman;serif"/>
                  <w:b w:val="false"/>
                  <w:color w:val="0000FF"/>
                  <w:sz w:val="20"/>
                  <w:u w:val="single"/>
                </w:rPr>
                <w:t>Disclosure Regarding Foreign Jurisdictions that Prevent Inspections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514">
              <w:r>
                <w:rPr>
                  <w:rStyle w:val="InternetLink"/>
                  <w:rFonts w:ascii="Times New Roman;serif" w:hAnsi="Times New Roman;serif"/>
                  <w:b w:val="false"/>
                  <w:color w:val="0000FF"/>
                  <w:sz w:val="20"/>
                  <w:u w:val="single"/>
                </w:rPr>
                <w:t>160</w:t>
              </w:r>
            </w:hyperlink>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c4b9e6b138e4c15b462f76456fc5e4b_520">
              <w:r>
                <w:rPr>
                  <w:rStyle w:val="InternetLink"/>
                  <w:rFonts w:ascii="Times New Roman;serif" w:hAnsi="Times New Roman;serif"/>
                  <w:b w:val="false"/>
                  <w:color w:val="0000FF"/>
                  <w:sz w:val="20"/>
                  <w:u w:val="single"/>
                </w:rPr>
                <w:t>Directors, Executive Officers and Corporate Governance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520">
              <w:r>
                <w:rPr>
                  <w:rStyle w:val="InternetLink"/>
                  <w:rFonts w:ascii="Times New Roman;serif" w:hAnsi="Times New Roman;serif"/>
                  <w:b w:val="false"/>
                  <w:color w:val="0000FF"/>
                  <w:sz w:val="20"/>
                  <w:u w:val="single"/>
                </w:rPr>
                <w:t>161</w:t>
              </w:r>
            </w:hyperlink>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c4b9e6b138e4c15b462f76456fc5e4b_523">
              <w:r>
                <w:rPr>
                  <w:rStyle w:val="InternetLink"/>
                  <w:rFonts w:ascii="Times New Roman;serif" w:hAnsi="Times New Roman;serif"/>
                  <w:b w:val="false"/>
                  <w:color w:val="0000FF"/>
                  <w:sz w:val="20"/>
                  <w:u w:val="single"/>
                </w:rPr>
                <w:t>Executive 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523">
              <w:r>
                <w:rPr>
                  <w:rStyle w:val="InternetLink"/>
                  <w:rFonts w:ascii="Times New Roman;serif" w:hAnsi="Times New Roman;serif"/>
                  <w:b w:val="false"/>
                  <w:color w:val="0000FF"/>
                  <w:sz w:val="20"/>
                  <w:u w:val="single"/>
                </w:rPr>
                <w:t>161</w:t>
              </w:r>
            </w:hyperlink>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c4b9e6b138e4c15b462f76456fc5e4b_526">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526">
              <w:r>
                <w:rPr>
                  <w:rStyle w:val="InternetLink"/>
                  <w:rFonts w:ascii="Times New Roman;serif" w:hAnsi="Times New Roman;serif"/>
                  <w:b w:val="false"/>
                  <w:color w:val="0000FF"/>
                  <w:sz w:val="20"/>
                  <w:u w:val="single"/>
                </w:rPr>
                <w:t>161</w:t>
              </w:r>
            </w:hyperlink>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c4b9e6b138e4c15b462f76456fc5e4b_529">
              <w:r>
                <w:rPr>
                  <w:rStyle w:val="InternetLink"/>
                  <w:rFonts w:ascii="Times New Roman;serif" w:hAnsi="Times New Roman;serif"/>
                  <w:b w:val="false"/>
                  <w:color w:val="0000FF"/>
                  <w:sz w:val="20"/>
                  <w:u w:val="single"/>
                </w:rPr>
                <w:t>Certain Relationships, Related Person Transactions and Director Independence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529">
              <w:r>
                <w:rPr>
                  <w:rStyle w:val="InternetLink"/>
                  <w:rFonts w:ascii="Times New Roman;serif" w:hAnsi="Times New Roman;serif"/>
                  <w:b w:val="false"/>
                  <w:color w:val="0000FF"/>
                  <w:sz w:val="20"/>
                  <w:u w:val="single"/>
                </w:rPr>
                <w:t>161</w:t>
              </w:r>
            </w:hyperlink>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c4b9e6b138e4c15b462f76456fc5e4b_532">
              <w:r>
                <w:rPr>
                  <w:rStyle w:val="InternetLink"/>
                  <w:rFonts w:ascii="Times New Roman;serif" w:hAnsi="Times New Roman;serif"/>
                  <w:b w:val="false"/>
                  <w:color w:val="0000FF"/>
                  <w:sz w:val="20"/>
                  <w:u w:val="single"/>
                </w:rPr>
                <w:t>Principal Accountant Fees and Services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532">
              <w:r>
                <w:rPr>
                  <w:rStyle w:val="InternetLink"/>
                  <w:rFonts w:ascii="Times New Roman;serif" w:hAnsi="Times New Roman;serif"/>
                  <w:b w:val="false"/>
                  <w:color w:val="0000FF"/>
                  <w:sz w:val="20"/>
                  <w:u w:val="single"/>
                </w:rPr>
                <w:t>161</w:t>
              </w:r>
            </w:hyperlink>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c4b9e6b138e4c15b462f76456fc5e4b_538">
              <w:r>
                <w:rPr>
                  <w:rStyle w:val="InternetLink"/>
                  <w:rFonts w:ascii="Times New Roman;serif" w:hAnsi="Times New Roman;serif"/>
                  <w:b w:val="false"/>
                  <w:color w:val="0000FF"/>
                  <w:sz w:val="20"/>
                  <w:u w:val="single"/>
                </w:rPr>
                <w:t>Exhibits and Financial Statement Schedules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538">
              <w:r>
                <w:rPr>
                  <w:rStyle w:val="InternetLink"/>
                  <w:rFonts w:ascii="Times New Roman;serif" w:hAnsi="Times New Roman;serif"/>
                  <w:b w:val="false"/>
                  <w:color w:val="0000FF"/>
                  <w:sz w:val="20"/>
                  <w:u w:val="single"/>
                </w:rPr>
                <w:t>162</w:t>
              </w:r>
            </w:hyperlink>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c4b9e6b138e4c15b462f76456fc5e4b_541">
              <w:r>
                <w:rPr>
                  <w:rStyle w:val="InternetLink"/>
                  <w:rFonts w:ascii="Times New Roman;serif" w:hAnsi="Times New Roman;serif"/>
                  <w:b w:val="false"/>
                  <w:color w:val="0000FF"/>
                  <w:sz w:val="20"/>
                  <w:u w:val="single"/>
                </w:rPr>
                <w:t>Form 10-K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541">
              <w:r>
                <w:rPr>
                  <w:rStyle w:val="InternetLink"/>
                  <w:rFonts w:ascii="Times New Roman;serif" w:hAnsi="Times New Roman;serif"/>
                  <w:b w:val="false"/>
                  <w:color w:val="0000FF"/>
                  <w:sz w:val="20"/>
                  <w:u w:val="single"/>
                </w:rPr>
                <w:t>162</w:t>
              </w:r>
            </w:hyperlink>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3c4b9e6b138e4c15b462f76456fc5e4b_544">
              <w:r>
                <w:rPr>
                  <w:rStyle w:val="InternetLink"/>
                  <w:rFonts w:ascii="Times New Roman;serif" w:hAnsi="Times New Roman;serif"/>
                  <w:b/>
                  <w:color w:val="0000FF"/>
                  <w:sz w:val="20"/>
                  <w:u w:val="single"/>
                </w:rPr>
                <w:t>Exhibit 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544">
              <w:r>
                <w:rPr>
                  <w:rStyle w:val="InternetLink"/>
                  <w:rFonts w:ascii="Times New Roman;serif" w:hAnsi="Times New Roman;serif"/>
                  <w:b w:val="false"/>
                  <w:color w:val="0000FF"/>
                  <w:sz w:val="20"/>
                  <w:u w:val="single"/>
                </w:rPr>
                <w:t>163</w:t>
              </w:r>
            </w:hyperlink>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4b9e6b138e4c15b462f76456fc5e4b_547">
              <w:r>
                <w:rPr>
                  <w:rStyle w:val="InternetLink"/>
                  <w:rFonts w:ascii="Times New Roman;serif" w:hAnsi="Times New Roman;serif"/>
                  <w:b/>
                  <w:color w:val="0000FF"/>
                  <w:sz w:val="20"/>
                  <w:u w:val="single"/>
                </w:rPr>
                <w:t>Signatures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547">
              <w:r>
                <w:rPr>
                  <w:rStyle w:val="InternetLink"/>
                  <w:rFonts w:ascii="Times New Roman;serif" w:hAnsi="Times New Roman;serif"/>
                  <w:b w:val="false"/>
                  <w:color w:val="0000FF"/>
                  <w:sz w:val="20"/>
                  <w:u w:val="single"/>
                </w:rPr>
                <w:t>164</w:t>
              </w:r>
            </w:hyperlink>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89560"/>
                <wp:effectExtent l="0" t="0" r="0" b="0"/>
                <wp:wrapNone/>
                <wp:docPr id="3" name="Frame2"/>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ind w:left="0" w:right="0" w:firstLine="3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Throughout this Annual Report on Form 10-K, “BLIC,” the “Company,” “we,” “our” and “us” refer to Brighthouse Life Insurance Company and its subsidiaries, and “Brighthouse Life Insurance Company” refers solely to Brighthouse Life Insurance Company and not to any of its subsidiaries. Brighthouse Life Insurance Company is an indirect wholly-owned subsidiary of Brighthouse Financial, Inc. (“BHF” and, together with its subsidiaries, “Brighthouse Financial”). The term “Separation” refers to the separation of a substantial portion of MetLife, Inc.’s (together with its subsidiaries and affiliates, “MetLife”) former Retail segment, as well as certain portions of its former Corporate Benefit Funding segment, into a separate, publicly-traded company, Brighthouse Financial, which was completed on August 4, 2017. Actions or activity prior to the completion of the Separation described herein, including with respect to our products, relate to predecessor entities and are provided for historical context.</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On November 6, 2025, BHF entered into an Agreement and Plan of Merger (the “Merger Agreement”) with Aquarian Holdings VI L.P., a Delaware limited partnership (“Aquarian Parent”), Aquarian Beacon Merger Sub Inc., a Delaware corporation and an indirect wholly-owned subsidiary of Aquarian Parent (“Merger Sub”), and Aquarian Holdings LLC, a Delaware limited liability company, solely for the purpose of certain provisions, pursuant to which, at the closing of the transactions contemplated by the Merger Agreement, Merger Sub will merge with and into BHF, with BHF surviving as a wholly-owned subsidiary of Aquarian Parent (the “Merger”).</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Regarding Forward-Looking Statements and Summary of Risk Factors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report and other oral or written statements that we make from time to time may contain information that includes or is based upon forward-looking statements within the meaning of the Private Securities Litigation Reform Act of 1995. Such forward-looking statements involve substantial risks and uncertainties. We have tried, wherever possible, to identify such statements using words such as “anticipate,” “estimate,” “expect,” “project,” “may,” “will,” “could,” “intend,” “goal,” “target,” “guidance,” “forecast,” “preliminary,” “objective,” “continue,” “aim,” “plan,” “believe” and other words and terms of similar meaning, or that are tied to future periods, in connection with a discussion of future operating or financial performance. In particular, these include, without limitation, statements relating to future actions, prospective services or products, financial projections, future performance or results of current and anticipated services or products, sales efforts, expenses, the outcome of contingencies such as legal proceedings, as well as trends in operating and financial results. The list below is also a summary of the material risks and uncertainties that could adversely affect our business, financial condition and results of operations. You should read this summary together with the more detailed description of the risks and uncertainties in “Risk Factors.”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or all forward-looking statements may turn out to be wrong. They can be affected by inaccurate assumptions or by known or unknown risks and uncertainties. Many such factors will be important in determining the actual future results of BLIC. These statements are based on current expectations and the current economic environment and involve a number of risks and uncertainties that are difficult to predict. These statements are not guarantees of future performance. Actual results could differ materially from those expressed or implied in the forward-looking statements due to a variety of known and unknown risks, uncertainties and other factors. Although it is not possible to identify all of these risks and factors, they include, among others: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BHF’s ability to complete the Merger in the timeframe or manner currently anticipated or at all, including due to a failure to obtain the regulatory approvals required for the closing of the Merger or the occurrence of any event, change or other circumstance that could give rise to the right of one or both of the parties to terminate the Merger Agreement;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effect of the pendency of the Merger on Brighthouse Financial’s ongoing business and operations, including disruption to business relationships, or the diversion of management’s attention from ongoing business operations and opportunities, or the outcome of any legal proceedings that may be instituted against Aquarian Parent or BHF following announcement of the Merger;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restrictions on the conduct of Brighthouse Financial’s business prior to the closing of the Merger and on Brighthouse Financial’s ability to pursue alternatives to the Merger;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possibility that the Merger may be more expensive to complete than anticipated, including as a result of unexpected factors or events;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differences between actual experience and actuarial assumptions and the effectiveness of our actuarial models;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risk management costs and exposure to increased market risk due to guarantees within certain of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60985"/>
                <wp:effectExtent l="0" t="0" r="0" b="0"/>
                <wp:wrapNone/>
                <wp:docPr id="4" name="Frame3"/>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effectiveness of our risk management strategy and the impacts of such strategy on volatility in our profitability measures and the negative effects on our statutory capital;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material differences between actual outcomes and the sensitivities calculated under certain scenarios that we may utilize in connection with our risk management strategies;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impact of interest rates on our future universal life with secondary guarantees (“ULSG”) policyholder obligations and net income volatility;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potential material adverse effect of changes in accounting standards, practices or policies applicable to us;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loss of business and other negative impacts resulting from a downgrade or a potential downgrade in our financial strength ratings;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availability of reinsurance and the ability of the counterparties to our reinsurance or indemnification arrangements to perform their obligations thereunder;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heightened competition, including with respect to service, product features, product mix, scale, price, actual or perceived financial strength, claims-paying ratings, e-business capabilities and name recognition;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market and distribute our products through distribution channels and maintain relationships with key distribution partners;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any failure of third parties to provide services we need, any failure of the practices and procedures of such third parties and any inability to obtain information or assistance we need from third parties;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Brighthouse Life Insurance Company’s ability to pay dividends, as well as the ability of its subsidiaries to pay dividends to Brighthouse Life Insurance Company;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risks associated with climate change;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adverse impact of public health crises, extreme mortality events or similar occurrences on our business and the economy in general;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impact of adverse capital and credit market conditions, including with respect to our ability to meet liquidity needs and access capital;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impact of economic conditions in the capital markets and the U.S. and global economy, as well as geopolitical events, tariffs imposed or threatened by the U.S. or foreign governments, military actions or catastrophic events, on our profitability measures as well as our investment portfolio, including on realized and unrealized losses and impairments, net investment spread and net investment income;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financial risks that our investment portfolio is subject to, including credit risk, interest rate risk, inflation risk, market valuation risk, liquidity risk, real estate risk, derivatives risk, and other factors outside our control;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impact of changes in regulation and in supervisory and enforcement policies or interpretations thereof on our business or other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potential material negative tax impact of potential future tax legislation that could make some of our products less attractive to consumers or increase our tax liability;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effectiveness of our policies, procedures and processes in managing risk;</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loss or disclosure of confidential information, damage to our reputation and impairment of our ability to conduct business effectively as a result of any failure in cyber- or other information security systems;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whether all or any portion of the tax consequences of the Separation are not as expected, leading to material additional taxes or material adverse consequences to tax attributes that impact us;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other factors described in this report and from time to time in documents that we file with the U.S. Securities and Exchange Commission (“SEC”).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60985"/>
                <wp:effectExtent l="0" t="0" r="0" b="0"/>
                <wp:wrapNone/>
                <wp:docPr id="5" name="Frame4"/>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reasons described above, we caution you against relying on any forward-looking statements, which should also be read in conjunction with the other cautionary statements included and the risks, uncertainties and other factors identified in this Annual Report on Form 10-K, particularly in the sections entitled “Risk Factors” and “Quantitative and Qualitative Disclosures About Market Risk,” as well as in our other subsequent filings with the SEC.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except as otherwise may be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Regarding Reliance on Statements in Our Contracts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“Exhibit Index — Note Regarding Reliance on Statements in Our Contracts” for information regarding agreements included as exhibits to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60985"/>
                <wp:effectExtent l="0" t="0" r="0" b="0"/>
                <wp:wrapNone/>
                <wp:docPr id="6" name="Frame5"/>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1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Index to Business</w:t>
      </w:r>
    </w:p>
    <w:tbl>
      <w:tblPr>
        <w:tblW w:w="2416" w:type="dxa"/>
        <w:jc w:val="center"/>
        <w:tblInd w:w="0" w:type="dxa"/>
        <w:tblLayout w:type="fixed"/>
        <w:tblCellMar>
          <w:top w:w="28" w:type="dxa"/>
          <w:left w:w="28" w:type="dxa"/>
          <w:bottom w:w="28" w:type="dxa"/>
          <w:right w:w="28" w:type="dxa"/>
        </w:tblCellMar>
      </w:tblPr>
      <w:tblGrid>
        <w:gridCol w:w="669"/>
        <w:gridCol w:w="586"/>
        <w:gridCol w:w="590"/>
        <w:gridCol w:w="167"/>
        <w:gridCol w:w="167"/>
        <w:gridCol w:w="237"/>
      </w:tblGrid>
      <w:tr>
        <w:trPr/>
        <w:tc>
          <w:tcPr>
            <w:tcW w:w="66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4b9e6b138e4c15b462f76456fc5e4b_22">
              <w:r>
                <w:rPr>
                  <w:rStyle w:val="InternetLink"/>
                  <w:rFonts w:ascii="Times New Roman;serif" w:hAnsi="Times New Roman;serif"/>
                  <w:b w:val="false"/>
                  <w:color w:val="0000FF"/>
                  <w:sz w:val="20"/>
                  <w:u w:val="single"/>
                </w:rPr>
                <w:t>Our Company</w:t>
              </w:r>
            </w:hyperlink>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3c4b9e6b138e4c15b462f76456fc5e4b_22">
              <w:r>
                <w:rPr>
                  <w:rStyle w:val="InternetLink"/>
                  <w:rFonts w:ascii="Times New Roman;serif" w:hAnsi="Times New Roman;serif"/>
                  <w:b w:val="false"/>
                  <w:color w:val="0000FF"/>
                  <w:sz w:val="20"/>
                  <w:u w:val="single"/>
                </w:rPr>
                <w:t>6</w:t>
              </w:r>
            </w:hyperlink>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4b9e6b138e4c15b462f76456fc5e4b_25">
              <w:r>
                <w:rPr>
                  <w:rStyle w:val="InternetLink"/>
                  <w:rFonts w:ascii="Times New Roman;serif" w:hAnsi="Times New Roman;serif"/>
                  <w:b w:val="false"/>
                  <w:color w:val="0000FF"/>
                  <w:sz w:val="20"/>
                  <w:u w:val="single"/>
                </w:rPr>
                <w:t>Segment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25">
              <w:r>
                <w:rPr>
                  <w:rStyle w:val="InternetLink"/>
                  <w:rFonts w:ascii="Times New Roman;serif" w:hAnsi="Times New Roman;serif"/>
                  <w:b w:val="false"/>
                  <w:color w:val="0000FF"/>
                  <w:sz w:val="20"/>
                  <w:u w:val="single"/>
                </w:rPr>
                <w:t>6</w:t>
              </w:r>
            </w:hyperlink>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4b9e6b138e4c15b462f76456fc5e4b_28">
              <w:r>
                <w:rPr>
                  <w:rStyle w:val="InternetLink"/>
                  <w:rFonts w:ascii="Times New Roman;serif" w:hAnsi="Times New Roman;serif"/>
                  <w:b w:val="false"/>
                  <w:color w:val="0000FF"/>
                  <w:sz w:val="20"/>
                  <w:u w:val="single"/>
                </w:rPr>
                <w:t>Reinsurance Activity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28">
              <w:r>
                <w:rPr>
                  <w:rStyle w:val="InternetLink"/>
                  <w:rFonts w:ascii="Times New Roman;serif" w:hAnsi="Times New Roman;serif"/>
                  <w:b w:val="false"/>
                  <w:color w:val="0000FF"/>
                  <w:sz w:val="20"/>
                  <w:u w:val="single"/>
                </w:rPr>
                <w:t>6</w:t>
              </w:r>
            </w:hyperlink>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4b9e6b138e4c15b462f76456fc5e4b_31">
              <w:r>
                <w:rPr>
                  <w:rStyle w:val="InternetLink"/>
                  <w:rFonts w:ascii="Times New Roman;serif" w:hAnsi="Times New Roman;serif"/>
                  <w:b w:val="false"/>
                  <w:color w:val="0000FF"/>
                  <w:sz w:val="20"/>
                  <w:u w:val="single"/>
                </w:rPr>
                <w:t>Sales Distribution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31">
              <w:r>
                <w:rPr>
                  <w:rStyle w:val="InternetLink"/>
                  <w:rFonts w:ascii="Times New Roman;serif" w:hAnsi="Times New Roman;serif"/>
                  <w:b w:val="false"/>
                  <w:color w:val="0000FF"/>
                  <w:sz w:val="20"/>
                  <w:u w:val="single"/>
                </w:rPr>
                <w:t>8</w:t>
              </w:r>
            </w:hyperlink>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4b9e6b138e4c15b462f76456fc5e4b_34">
              <w:r>
                <w:rPr>
                  <w:rStyle w:val="InternetLink"/>
                  <w:rFonts w:ascii="Times New Roman;serif" w:hAnsi="Times New Roman;serif"/>
                  <w:b w:val="false"/>
                  <w:color w:val="0000FF"/>
                  <w:sz w:val="20"/>
                  <w:u w:val="single"/>
                </w:rPr>
                <w:t>Regulation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34">
              <w:r>
                <w:rPr>
                  <w:rStyle w:val="InternetLink"/>
                  <w:rFonts w:ascii="Times New Roman;serif" w:hAnsi="Times New Roman;serif"/>
                  <w:b w:val="false"/>
                  <w:color w:val="0000FF"/>
                  <w:sz w:val="20"/>
                  <w:u w:val="single"/>
                </w:rPr>
                <w:t>9</w:t>
              </w:r>
            </w:hyperlink>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4b9e6b138e4c15b462f76456fc5e4b_70">
              <w:r>
                <w:rPr>
                  <w:rStyle w:val="InternetLink"/>
                  <w:rFonts w:ascii="Times New Roman;serif" w:hAnsi="Times New Roman;serif"/>
                  <w:b w:val="false"/>
                  <w:color w:val="0000FF"/>
                  <w:sz w:val="20"/>
                  <w:u w:val="single"/>
                </w:rPr>
                <w:t>Competition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70">
              <w:r>
                <w:rPr>
                  <w:rStyle w:val="InternetLink"/>
                  <w:rFonts w:ascii="Times New Roman;serif" w:hAnsi="Times New Roman;serif"/>
                  <w:b w:val="false"/>
                  <w:color w:val="0000FF"/>
                  <w:sz w:val="20"/>
                  <w:u w:val="single"/>
                </w:rPr>
                <w:t>21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60985"/>
                <wp:effectExtent l="0" t="0" r="0" b="0"/>
                <wp:wrapNone/>
                <wp:docPr id="7" name="Frame6"/>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Our Company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offer a range of annuity and life insurance products to individuals and deliver our products through multiple independent distribution channels and marketing arrangements with a diverse network of distribution partners. Brighthouse Life Insurance Company, a Delaware corporation, is licensed to write business in all U.S. states (except New York), the District of Columbia, the Bahamas, Guam, Puerto Rico, the British Virgin Islands and the U.S. Virgin Islands. Brighthouse Life Insurance Company of NY (“BHNY”), a wholly-owned subsidiary of Brighthouse Life Insurance Company, is domiciled in New York and licensed to write business only in New York.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Segment Information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organized into the following reportable segments: Annuities; Life; Run-off; and Corporate &amp; Other. In addition to the discussion that follows, refer to Note 2 of the Notes to the Consolidated Financial Statements for additional information regarding each of our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Annuities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Our Annuities segment consists of a variety of variable, fixed, index-linked and income annuities designed to address contract holders’ needs for protected wealth accumulation on a tax-deferred basis, wealth transfer and income security. The “variable” and “fixed” classifications describe generally whether we or the contract holder bears the investment risk of the assets supporting the contract and determine the manner in which we earn profits from these products, as asset-based fees charged for variable products or generally as investment spreads for fixed products. Index-linked annuities allow the contract holder to participate in returns from specified equity indices and, in the case of our flagship suite of Shield</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Level Annuities (“Shield,” “Shield Annuity” and “Shield Annuities”), provide a specified level of market downside protection. Income annuities provide a guaranteed monthly income for a specified period of years or for the life of the annuitant.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Life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Life segment consists of insurance products, including term, universal, whole and variable life products designed to address policyholders’ needs for financial security and protected wealth transfer, which may be on a tax-advantaged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Run-off</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Run-off segment consists primarily of products that are no longer actively sold and are separately managed, including ULSG, structured settlements, pension risk transfer contracts, certain company-owned life insurance policies and certain funding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Corporate &amp; Other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Corporate &amp; Other segment consists of activities related to funding agreements associated with our institutional spread margin business, excess capital not allocated to the other segments and interest expense related to our outstanding debt, as well as expenses associated with certain legal proceedings and income tax audit issues. Corporate &amp; Other also includes long-term care business reinsured through 100% quota share reinsurance agreements. See Note 3 of the Notes to the Consolidated Financial Statements for additional information on funding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Reinsurance Activity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Unaffiliated Third-Party Reinsurance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our risk management efforts and in order to provide opportunities for growth and capital management, we enter into reinsurance arrangements pursuant to which we cede certain insurance risks to unaffiliated third-party reinsurers. We cede risks to third parties in order to limit losses, minimize exposure to significant risks and provide capacity for future growth. We enter into various agreements with reinsurers that cover groups of risks, as well as individual risks. Our ceded reinsurance to third parties is primarily structured on a treaty basis as coinsurance, yearly renewable term, excess or catastrophe excess of retention insurance. These reinsurance arrangements are an important part of our risk management strategy because they permit us to spread risk and minimize the effect of losses. The extent of each risk retained by us depends on our evaluation of the specific risk, subject, in certain circumstances, to maximum retention limits based on the characteristics and relative cost of reinsurance. We also cede first dollar mortality risk under certain contracts. In addition to reinsuring mortality risk, we cede other risks, as well as specific coverages.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60985"/>
                <wp:effectExtent l="0" t="0" r="0" b="0"/>
                <wp:wrapNone/>
                <wp:docPr id="8" name="Frame7"/>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terms of the reinsurance agreements, the reinsurer agrees to reimburse us for the ceded amount in the event that we pay a claim. Cessions under reinsurance agreements do not discharge our obligations as the primary insurer. In the event the reinsurers do not meet their obligations under the terms of the reinsurance agreements, reinsurance recoverable balances could become uncollectible. See “Risk Factors — Risks Related to Our Business — If the counterparties to our reinsurance or indemnification arrangements or to the derivatives we use to hedge our business risks default or fail to perform, we may be exposed to risks we had sought to mitigate, which could materially adversely affect our financial condition and results of operations.”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historically reinsured the mortality risk on our life insurance policies primarily on an excess of retention basis or on a quota share basis. When we cede risks to a reinsurer on an excess of retention basis, we retain the liability up to a contractually specified amount and the reinsurer is responsible for indemnifying us for amounts in excess of the liability we retain, which may be subject to a cap. When we cede risks on a quota share basis, we share a portion of the risk within a contractually specified layer of reinsurance coverage. We reinsure on a facultative basis for risks with specified characteristics. On a case-by-case basis, we may retain up to $20 million per life and reinsure 100% of the risk in excess of the amount we retain. We also reinsure portions of the risk associated with certain whole life policies to a former affiliate, and we assume certain term life policies and universal life policies with secondary death benefit guarantees issued by a former affiliate. We routinely evaluate our reinsurance program and may increase or decrease our retention at any time.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reinsurance is diversified with a group of primarily highly rated reinsurers. We analyze recent trends in arbitration and litigation outcomes in disputes, if any, with our reinsurers and monitor ratings and the financial strength of our reinsurers. In addition, the reinsurance recoverable balance due from each reinsurer and the recoverability of such balance is evaluated as part of this overall monitoring process. We generally secure large reinsurance recoverable balances with various forms of collateral, including secured trusts, funds withheld accounts and irrevocable letters of credit.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reinsure, through 100% quota share reinsurance agreements, certain run-off long-term care and workers’ compensation business that we originally wrote. For products in our Run-off segment other than ULSG, we have periodically engaged in reinsurance activities on an opportunistic basis.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In addition, a block of long-term care insurance business with reserves of $5.5 billion at December 31, 2025 is reinsured to Genworth Life Insurance Company and Genworth Life Insurance Company of New York (collectively, the “Genworth reinsurers”) who further retroceded this business to Union Fidelity Life Insurance Company (“UFLIC”), an indirect subsidiary of General Electric Company (“GE”). We acquired this block of long-term care insurance business in 2005 when our former parent acquired The Travelers Insurance Company (“Travelers”) from Citigroup, Inc. (“Citigroup”). Prior to the acquisition, Travelers agreed to reinsure a 90% quota share of its long-term care business to certain affiliates of GE, which following a spin-off became part of Genworth, and subsequently agreed to reinsure the remaining 10% quota share of such long-term care insurance business. The Genworth reinsurers established trust accounts for our benefit to secure their obligations under such arrangements requiring that they maintain qualifying collateral with an aggregate fair market value equal to at least 102% of the statutory reserves attributable to the long-term care business. Additionally, Citigroup agreed to indemnify us for losses and certain other payment obligations we might incur with respect to this block of reinsured long-term care insurance business. The financial strength rating as of December 31, 2025 for each of the Genworth reinsurers was C++ from A.M. Best, and Citigroup’s credit ratings were A3 from Moody’s and BBB+</w:t>
      </w:r>
      <w:r>
        <w:rPr>
          <w:color w:val="000000"/>
        </w:rPr>
        <w:t xml:space="preserve"> </w:t>
      </w:r>
      <w:r>
        <w:rPr>
          <w:rFonts w:ascii="Times New Roman;serif" w:hAnsi="Times New Roman;serif"/>
          <w:b w:val="false"/>
          <w:color w:val="000000"/>
          <w:sz w:val="20"/>
        </w:rPr>
        <w:t>from S&amp;P.</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“Risk Factors — Risks Related to Our Business — If the counterparties to our reinsurance or indemnification arrangements or to the derivatives we use to hedge our business risks default or fail to perform, we may be exposed to risks we had sought to mitigate, which could materially adversely affect our financial condition and results of operations.” Further, as disclosed in Genworth’s filings with the SEC, UFLIC has established trust accounts for the Genworth reinsurers’ benefit to secure UFLIC’s obligations under its arrangements with them concerning this block of long-term care insurance business, and GE has also agreed, under a capital maintenance agreement, to keep sufficient capital in UFLIC to maintain UFLIC’s risk-based capital (“RBC”) above a specified minimum level.</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Affiliated Reinsurance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enter into reinsurance financing and other transactions involving the assumption and cession of insurance risks with affiliated reinsurers and ceding companies (“Affiliated Reinsurance”). Affiliated reinsurance companies are affiliated insurance companies licensed under specific provisions of insurance law of their respective jurisdictions, such as the Special Purpose Financial Captive law adopted by several states, including Delaware.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60985"/>
                <wp:effectExtent l="0" t="0" r="0" b="0"/>
                <wp:wrapNone/>
                <wp:docPr id="9" name="Frame8"/>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Brighthouse Reinsurance Company of Delaware (“BRCD”), our reinsurance subsidiary, was formed to manage our capital and risk exposures and to support our term life insurance and ULSG businesses through the use of affiliated reinsurance arrangements and related reinsurance financing. BRCD is capitalized with cash and invested assets, including funds withheld, at a level we believe to be sufficient to satisfy its future cash obligations under a variety of scenarios, including a permanent level yield curve and interest rates at lower levels, consistent with National Association of Insurance Commissioners (“NAIC”) cash flow testing scenarios. BRCD utilizes reinsurance financing to cover the difference between the sum of the fully required statutory assets (i.e., NAIC Valuation of Life Insurance Policies Model Regulation (“Regulation XXX”) and NAIC Actuarial Guideline 38 (“Guideline AXXX”) reserves) and the target margins less cash, invested assets and funds withheld, on BRCD’s statutory statements. See Notes 11 and 12 of the Notes to the Consolidated Financial Statements for additional information regarding BRCD’s reinsurance financing.</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BRCD provides certain benefits to Brighthouse Financial, including (i) enhancing our ability to hedge the interest rate risk of our reinsurance liabilities, (ii) allowing increased allocation flexibility in managing our investment portfolio and (iii) improving operating flexibility and administrative cost efficiency, however there can be no assurance that such benefits will continue to materialize. See “Risk Factors — Risks Related to Our Business — We may not be able to take credit for reinsurance, our statutory life insurance reinsurance financings may be subject to cost increases and new financings may be subject to limited market capacity” and “— Regulation — Insurance Regulation.” We also assume 100% of the living and death benefit guarantees issued in connection with certain variable annuities issued by our affiliate, New England Life Insurance Company.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Catastrophe Coverage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exposure to catastrophes which could contribute to significant fluctuations in our results of operations. We use excess of retention and quota share reinsurance agreements to provide greater diversification of risk and minimize exposure to larger risks. See “Risk Factors — Risks Related to Our Business — Public health crises, extreme mortality events or similar occurrences may adversely impact our business, financial condition, or results of operations, as well as the economy in general.”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Sales Distribution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distribute our annuity and life insurance products through multiple independent distribution channels and marketing arrangements with a geographically diverse network of over 400 distribution partners. We have successfully built independent distribution relationships since 2001.</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annuity products are distributed through national and regional broker-dealers, banks, independent financial planners, independent marketing organizations and other financial institutions and financial planners. Our life insurance products are distributed through national and regional broker-dealers, general agencies, financial advisors, brokerage general agencies, banks, financial intermediaries and online marketplaces. We believe this strategy permits us to maximize penetration of our target markets and distribution partners without incurring the fixed costs of maintaining a proprietary distribution channel and will facilitate our ability to quickly comply with evolving regulatory requirements applicable to the sale of our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60985"/>
                <wp:effectExtent l="0" t="0" r="0" b="0"/>
                <wp:wrapNone/>
                <wp:docPr id="10" name="Frame9"/>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Regulation</w:t>
      </w:r>
    </w:p>
    <w:p>
      <w:pPr>
        <w:pStyle w:val="TextBody"/>
        <w:bidi w:val="0"/>
        <w:spacing w:lineRule="auto" w:line="417"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Index to Regulation</w:t>
      </w:r>
    </w:p>
    <w:tbl>
      <w:tblPr>
        <w:tblW w:w="5656" w:type="dxa"/>
        <w:jc w:val="center"/>
        <w:tblInd w:w="0" w:type="dxa"/>
        <w:tblLayout w:type="fixed"/>
        <w:tblCellMar>
          <w:top w:w="28" w:type="dxa"/>
          <w:left w:w="28" w:type="dxa"/>
          <w:bottom w:w="28" w:type="dxa"/>
          <w:right w:w="28" w:type="dxa"/>
        </w:tblCellMar>
      </w:tblPr>
      <w:tblGrid>
        <w:gridCol w:w="1835"/>
        <w:gridCol w:w="1620"/>
        <w:gridCol w:w="1630"/>
        <w:gridCol w:w="167"/>
        <w:gridCol w:w="167"/>
        <w:gridCol w:w="237"/>
      </w:tblGrid>
      <w:tr>
        <w:trPr/>
        <w:tc>
          <w:tcPr>
            <w:tcW w:w="1835"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4b9e6b138e4c15b462f76456fc5e4b_37">
              <w:r>
                <w:rPr>
                  <w:rStyle w:val="InternetLink"/>
                  <w:rFonts w:ascii="Times New Roman;serif" w:hAnsi="Times New Roman;serif"/>
                  <w:b w:val="false"/>
                  <w:color w:val="0000FF"/>
                  <w:sz w:val="20"/>
                  <w:u w:val="single"/>
                </w:rPr>
                <w:t>Overview</w:t>
              </w:r>
            </w:hyperlink>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3c4b9e6b138e4c15b462f76456fc5e4b_37">
              <w:r>
                <w:rPr>
                  <w:rStyle w:val="InternetLink"/>
                  <w:rFonts w:ascii="Times New Roman;serif" w:hAnsi="Times New Roman;serif"/>
                  <w:b w:val="false"/>
                  <w:color w:val="0000FF"/>
                  <w:sz w:val="20"/>
                  <w:u w:val="single"/>
                </w:rPr>
                <w:t>10</w:t>
              </w:r>
            </w:hyperlink>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4b9e6b138e4c15b462f76456fc5e4b_40">
              <w:r>
                <w:rPr>
                  <w:rStyle w:val="InternetLink"/>
                  <w:rFonts w:ascii="Times New Roman;serif" w:hAnsi="Times New Roman;serif"/>
                  <w:b w:val="false"/>
                  <w:color w:val="0000FF"/>
                  <w:sz w:val="20"/>
                  <w:u w:val="single"/>
                </w:rPr>
                <w:t>Insurance Regulation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40">
              <w:r>
                <w:rPr>
                  <w:rStyle w:val="InternetLink"/>
                  <w:rFonts w:ascii="Times New Roman;serif" w:hAnsi="Times New Roman;serif"/>
                  <w:b w:val="false"/>
                  <w:color w:val="0000FF"/>
                  <w:sz w:val="20"/>
                  <w:u w:val="single"/>
                </w:rPr>
                <w:t>10</w:t>
              </w:r>
            </w:hyperlink>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4b9e6b138e4c15b462f76456fc5e4b_43">
              <w:r>
                <w:rPr>
                  <w:rStyle w:val="InternetLink"/>
                  <w:rFonts w:ascii="Times New Roman;serif" w:hAnsi="Times New Roman;serif"/>
                  <w:b w:val="false"/>
                  <w:color w:val="0000FF"/>
                  <w:sz w:val="20"/>
                  <w:u w:val="single"/>
                </w:rPr>
                <w:t>Privacy and Cybersecurity Regulation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43">
              <w:r>
                <w:rPr>
                  <w:rStyle w:val="InternetLink"/>
                  <w:rFonts w:ascii="Times New Roman;serif" w:hAnsi="Times New Roman;serif"/>
                  <w:b w:val="false"/>
                  <w:color w:val="0000FF"/>
                  <w:sz w:val="20"/>
                  <w:u w:val="single"/>
                </w:rPr>
                <w:t>15</w:t>
              </w:r>
            </w:hyperlink>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4b9e6b138e4c15b462f76456fc5e4b_46">
              <w:r>
                <w:rPr>
                  <w:rStyle w:val="InternetLink"/>
                  <w:rFonts w:ascii="Times New Roman;serif" w:hAnsi="Times New Roman;serif"/>
                  <w:b w:val="false"/>
                  <w:color w:val="0000FF"/>
                  <w:sz w:val="20"/>
                  <w:u w:val="single"/>
                </w:rPr>
                <w:t>Regulation of the Use of Artificial Intelligence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46">
              <w:r>
                <w:rPr>
                  <w:rStyle w:val="InternetLink"/>
                  <w:rFonts w:ascii="Times New Roman;serif" w:hAnsi="Times New Roman;serif"/>
                  <w:b w:val="false"/>
                  <w:color w:val="0000FF"/>
                  <w:sz w:val="20"/>
                  <w:u w:val="single"/>
                </w:rPr>
                <w:t>16</w:t>
              </w:r>
            </w:hyperlink>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4b9e6b138e4c15b462f76456fc5e4b_49">
              <w:r>
                <w:rPr>
                  <w:rStyle w:val="InternetLink"/>
                  <w:rFonts w:ascii="Times New Roman;serif" w:hAnsi="Times New Roman;serif"/>
                  <w:b w:val="false"/>
                  <w:color w:val="0000FF"/>
                  <w:sz w:val="20"/>
                  <w:u w:val="single"/>
                </w:rPr>
                <w:t>Securities, Broker-Dealer and Investment Advisor Regulation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49">
              <w:r>
                <w:rPr>
                  <w:rStyle w:val="InternetLink"/>
                  <w:rFonts w:ascii="Times New Roman;serif" w:hAnsi="Times New Roman;serif"/>
                  <w:b w:val="false"/>
                  <w:color w:val="0000FF"/>
                  <w:sz w:val="20"/>
                  <w:u w:val="single"/>
                </w:rPr>
                <w:t>16</w:t>
              </w:r>
            </w:hyperlink>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4b9e6b138e4c15b462f76456fc5e4b_52">
              <w:r>
                <w:rPr>
                  <w:rStyle w:val="InternetLink"/>
                  <w:rFonts w:ascii="Times New Roman;serif" w:hAnsi="Times New Roman;serif"/>
                  <w:b w:val="false"/>
                  <w:color w:val="0000FF"/>
                  <w:sz w:val="20"/>
                  <w:u w:val="single"/>
                </w:rPr>
                <w:t>Department of Labor and ERISA Considerations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52">
              <w:r>
                <w:rPr>
                  <w:rStyle w:val="InternetLink"/>
                  <w:rFonts w:ascii="Times New Roman;serif" w:hAnsi="Times New Roman;serif"/>
                  <w:b w:val="false"/>
                  <w:color w:val="0000FF"/>
                  <w:sz w:val="20"/>
                  <w:u w:val="single"/>
                </w:rPr>
                <w:t>17</w:t>
              </w:r>
            </w:hyperlink>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4b9e6b138e4c15b462f76456fc5e4b_55">
              <w:r>
                <w:rPr>
                  <w:rStyle w:val="InternetLink"/>
                  <w:rFonts w:ascii="Times New Roman;serif" w:hAnsi="Times New Roman;serif"/>
                  <w:b w:val="false"/>
                  <w:color w:val="0000FF"/>
                  <w:sz w:val="20"/>
                  <w:u w:val="single"/>
                </w:rPr>
                <w:t>Standard of Conduct Regulation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55">
              <w:r>
                <w:rPr>
                  <w:rStyle w:val="InternetLink"/>
                  <w:rFonts w:ascii="Times New Roman;serif" w:hAnsi="Times New Roman;serif"/>
                  <w:b w:val="false"/>
                  <w:color w:val="0000FF"/>
                  <w:sz w:val="20"/>
                  <w:u w:val="single"/>
                </w:rPr>
                <w:t>17</w:t>
              </w:r>
            </w:hyperlink>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4b9e6b138e4c15b462f76456fc5e4b_58">
              <w:r>
                <w:rPr>
                  <w:rStyle w:val="InternetLink"/>
                  <w:rFonts w:ascii="Times New Roman;serif" w:hAnsi="Times New Roman;serif"/>
                  <w:b w:val="false"/>
                  <w:color w:val="0000FF"/>
                  <w:sz w:val="20"/>
                  <w:u w:val="single"/>
                </w:rPr>
                <w:t>Federal Tax Reform</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58">
              <w:r>
                <w:rPr>
                  <w:rStyle w:val="InternetLink"/>
                  <w:rFonts w:ascii="Times New Roman;serif" w:hAnsi="Times New Roman;serif"/>
                  <w:b w:val="false"/>
                  <w:color w:val="0000FF"/>
                  <w:sz w:val="20"/>
                  <w:u w:val="single"/>
                </w:rPr>
                <w:t>19</w:t>
              </w:r>
            </w:hyperlink>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4b9e6b138e4c15b462f76456fc5e4b_61">
              <w:r>
                <w:rPr>
                  <w:rStyle w:val="InternetLink"/>
                  <w:rFonts w:ascii="Times New Roman;serif" w:hAnsi="Times New Roman;serif"/>
                  <w:b w:val="false"/>
                  <w:color w:val="0000FF"/>
                  <w:sz w:val="20"/>
                  <w:u w:val="single"/>
                </w:rPr>
                <w:t>Regulation of Over-the-Counter Derivatives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61">
              <w:r>
                <w:rPr>
                  <w:rStyle w:val="InternetLink"/>
                  <w:rFonts w:ascii="Times New Roman;serif" w:hAnsi="Times New Roman;serif"/>
                  <w:b w:val="false"/>
                  <w:color w:val="0000FF"/>
                  <w:sz w:val="20"/>
                  <w:u w:val="single"/>
                </w:rPr>
                <w:t>20</w:t>
              </w:r>
            </w:hyperlink>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4b9e6b138e4c15b462f76456fc5e4b_64">
              <w:r>
                <w:rPr>
                  <w:rStyle w:val="InternetLink"/>
                  <w:rFonts w:ascii="Times New Roman;serif" w:hAnsi="Times New Roman;serif"/>
                  <w:b w:val="false"/>
                  <w:color w:val="0000FF"/>
                  <w:sz w:val="20"/>
                  <w:u w:val="single"/>
                </w:rPr>
                <w:t>Environmental Considerations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64">
              <w:r>
                <w:rPr>
                  <w:rStyle w:val="InternetLink"/>
                  <w:rFonts w:ascii="Times New Roman;serif" w:hAnsi="Times New Roman;serif"/>
                  <w:b w:val="false"/>
                  <w:color w:val="0000FF"/>
                  <w:sz w:val="20"/>
                  <w:u w:val="single"/>
                </w:rPr>
                <w:t>20</w:t>
              </w:r>
            </w:hyperlink>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4b9e6b138e4c15b462f76456fc5e4b_67">
              <w:r>
                <w:rPr>
                  <w:rStyle w:val="InternetLink"/>
                  <w:rFonts w:ascii="Times New Roman;serif" w:hAnsi="Times New Roman;serif"/>
                  <w:b w:val="false"/>
                  <w:color w:val="0000FF"/>
                  <w:sz w:val="20"/>
                  <w:u w:val="single"/>
                </w:rPr>
                <w:t>Unclaimed Property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67">
              <w:r>
                <w:rPr>
                  <w:rStyle w:val="InternetLink"/>
                  <w:rFonts w:ascii="Times New Roman;serif" w:hAnsi="Times New Roman;serif"/>
                  <w:b w:val="false"/>
                  <w:color w:val="0000FF"/>
                  <w:sz w:val="20"/>
                  <w:u w:val="single"/>
                </w:rPr>
                <w:t>21</w:t>
              </w:r>
            </w:hyperlink>
          </w:p>
        </w:tc>
      </w:tr>
    </w:tbl>
    <w:p>
      <w:pPr>
        <w:pStyle w:val="TextBody"/>
        <w:bidi w:val="0"/>
        <w:spacing w:before="180" w:after="283"/>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60985"/>
                <wp:effectExtent l="0" t="0" r="0" b="0"/>
                <wp:wrapNone/>
                <wp:docPr id="11" name="Frame10"/>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including our insurance subsidiary, BHNY, and our reinsurance subsidiary, BRCD, are primarily regulated at the state level, with some products and services also subject to federal regulation. In addition, Brighthouse Life Insurance Company and BHNY are subject to regulation under the insurance holding company laws of various U.S. jurisdictions. Furthermore, some of our operations, products and services are subject to the Employee Retirement Income Security Act of 1974, as amended (“ERISA”), consumer protection laws, securities, broker-dealer and investment advisor regulations, and environmental and unclaimed property laws and regulations. See “Risk Factors — Regulatory and Legal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Insurance Regulation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State insurance regulation generally aims at supervising and regulating insurers, with the goal of protecting policyholders and ensuring that insurance companies remain solvent. Insurance regulators have increasingly sought information about the potential impact of activities in holding company systems as a whole and have adopted laws and regulations enhancing “group-wide” supervision. See “— Holding Company Regulation” for information regarding an enterprise risk report.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Brighthouse Life Insurance Company and BHNY are licensed and regulated in each U.S. jurisdiction where they conduct insurance business. Brighthouse Life Insurance Company is licensed to issue insurance products in all U.S. states (except New York), the District of Columbia, the Bahamas, Guam, Puerto Rico, the British Virgin Islands and the U.S. Virgin Islands. BHNY is only licensed to issue insurance products in New York. The primary regulator of an insurance company, however, is the insurance regulator in its state of domicile. Brighthouse Life Insurance Company is domiciled in Delaware and regulated by the Delaware Department of Insurance (the “Delaware DOI”), and BHNY is domiciled in New York and regulated by the New York State Department of Financial Services (“NYDFS”). In addition, BRCD, which provides reinsurance to Brighthouse Life Insurance Company and an affiliate, is domiciled in Delaware and regulated by the Delaware DOI.</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extent of such regulation varies, but most jurisdictions have laws and regulations governing certain financial aspects of insurers and the administration and design of their respective products, as well as the business conduct of insurers and distributors. State laws in the U.S. grant insurance regulatory authorities broad administrative powers with respect to, among other things: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licensing companies and agents to transact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calculating the value of assets to determine compliance with statutory requirements;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mandating certain insurance benefits;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regulating certain premium rates;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reviewing and approving certain policy forms and rates;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regulating unfair trade and claims practices, including through the imposition of restrictions on marketing and sales practices, distribution arrangements and payment of inducements, and identifying and paying to the states benefits and other property that are not claimed by the owners;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regulating underwriting, advertising and marketing of insurance products, including the use of external data and information, as well as the use of certain emerging technologies;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protecting privacy and establishing cybersecurity requirements;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establishing statutory accounting and reserve requirements and solvency standards (including RBC);</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specifying the conditions under which a ceding company can take credit for reinsurance in its statutory financial statements (i.e., reduce its reserves by the amount of reserves ceded to a reinsurer);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fixing maximum interest rates on insurance policy loans and minimum rates for guaranteed crediting rates on life insurance policies and annuity contracts;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adopting and enforcing replacement, best interest, or suitability standards with respect to the sale of life insurance policies and annuity contracts;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approving changes in control of insurance companies;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restricting the payment of dividends to affiliates, as well as certain other transactions between affiliates;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regulating the types, amounts and valuation of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99515"/>
                <wp:effectExtent l="0" t="0" r="0" b="0"/>
                <wp:wrapNone/>
                <wp:docPr id="12" name="Frame11"/>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required to file reports, generally including detailed annual financial statements, with insurance regulatory authorities in each of the jurisdictions in which we do business, and our operations and accounts are subject to periodic examination by such authorities. Brighthouse Life Insurance Company and BHNY must also file, and in many jurisdictions and for some lines of insurance obtain regulatory approval for, rules, rates and forms relating to the insurance written in the jurisdictions in which they operate.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State and federal insurance and securities regulatory authorities and other state law enforcement agencies and attorneys general from time to time may make inquiries regarding our compliance with insurance, securities and other laws and regulations regarding the conduct of our insurance and securities businesses. We cooperate with such inquiries and take corrective action when warranted. See Note 15 of the Notes to the Consolidated Financial Statements.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Statutory Accounting, Reserves and Risk-Based Capital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NAIC is an organization whose mission is to assist state insurance regulatory authorities in serving the public interest and achieving the insurance regulatory goals of its members, the state insurance regulatory officials. Through the NAIC, state insurance regulators establish standards and best practices, conduct peer reviews, and coordinate their regulatory oversight. The NAIC provides standardized insurance industry accounting and reporting guidance through its Accounting Practices and Procedures Manual. The NAIC also provides guidance for the computation of reserves through its Valuation Manual, which states have largely adopted by regulation. However, statutory accounting principles and reserve requirements continue to be established by individual state laws, regulations and permitted practices, which may differ from the guidance provided by the NAIC. Changes to accounting, reporting or reserve guidance, or modifications to any laws, regulations or permitted practices by the various states, may impact our statutory capital and surplus.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NAIC has established RBC requirements that are used by regulators to assess the minimum amount of statutory capital and surplus needed for an insurance company to support its operations, based on its size and risk profile (referred to as “company action level RBC”). Insurers are required to maintain their capital and surplus at or above minimum levels. Companies below 100% of the company action level RBC are subject to corrective action. Regulators have discretionary authority, in connection with the continued licensing of an insurer, to limit or prohibit the insurer’s sales to policyholders if, in their judgment, the regulators determine that such insurer has not maintained the minimum surplus or capital or that the further transaction of business will be hazardous to policyholders. Brighthouse Life Insurance Company and BHNY are subject to RBC requirements and other minimum statutory capital and surplus requirements imposed under the laws of Delaware and New York, respectively. RBC is based on a formula calculated by applying factors to various asset, premium, claim, expense and statutory reserve items. The formula takes into account the risk characteristics of the insurer and is calculated for NAIC reporting purposes on an annual basis. The major categories of risk involved are asset risk, insurance risk, interest rate risk, market risk and business risk. The RBC ratio is a method of measuring an insurance company’s capital and is based on statutory financial statements. The RBC ratio, which is the basis for determining regulatory compliance, is equal to total adjusted capital (“TAC”) divided by the applicable company action level RBC.</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RBC framework is used as an early warning regulatory tool to identify possible inadequately capitalized insurers for purposes of initiating regulatory action, and not as a means to rank insurers generally. State insurance laws provide insurance regulators the authority to require various actions by, or take various actions against, insurers whose TAC does not meet or exceed certain RBC levels. See “Risk Factors — Regulatory and Legal Risks — A decrease in the RBC ratio of Brighthouse Life Insurance Company or BHNY (as a result of a reduction in statutory capital and surplus or an increase in the required RBC capital charges), or a change in the rating agency proprietary capital models, could result in increased scrutiny by insurance regulators and rating agencies and could have a material adverse effect on our financial condition and results of operations,” “Management’s Discussion and Analysis of Financial Condition and Results of Operations — Liquidity and Capital Resources” and Note 12 of the Notes to the Consolidated Financial Statements.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NAIC regularly reviews statutory accounting, reserve and RBC guidance and periodically makes changes to such requirements.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August 2025, the NAIC adopted Actuarial Guideline LV (“AG 55”) to establish asset adequacy testing requirements that apply to U.S. life insurers ceding “asset-intensive” business to offshore reinsurers. AG 55 applies to life and annuity reinsurance treaties established on or after January 1, 2016, that meet certain risk and size criteria and requires the use of cash flow testing methodology in evaluating the adequacy of assets supporting ceded reserves. The new requirements are initially effective for year-end 2025 reporting on a disclosure only basis, with the NAIC expected to evaluate results and consider additional changes in the future. While we currently do not expect AG 55 to have a material impact on our business, there can be no assurance that there will not be any material impacts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99515"/>
                <wp:effectExtent l="0" t="0" r="0" b="0"/>
                <wp:wrapNone/>
                <wp:docPr id="13" name="Frame12"/>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August 2025, the NAIC adopted amendments to the Valuation Manual establishing a new principle-based reserving framework for non-variable annuities. The new principle-based reserving framework for non-variable annuities is similar to the framework applicable to life insurance and variable annuities. The new Valuation Manual requirements became effective on January 1, 2026, with a three-year implementation period.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August 2025, the NAIC adopted amendments to the Valuation Manual requiring companies to use a new Generator of Economic Scenarios (“GOES”) for obtaining the economic scenarios required for principles-based reserve and RBC market risk calculations. The Valuation Manual changes became effective on January 1, 2026, with adoption required by December 31, 2026 and the ability to phase-in the impacts over three years. The NAIC is considering additional changes to the RBC market risk requirements to better align the overall market risk framework with the new GOES requirements. The adoption of the Valuation Manual changes, along with any future changes to the RBC market risk requirements, could negatively impact our statutory surplus and required capital.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March 2024, the NAIC adopted a new principles-based bond definition and related financial reporting changes, that became effective as of January 1, 2025. The new guidance modified the classification requirements for certain fixed income instruments resulting in changes in their measurement basis and RBC requirements.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2023, the NAIC began updating the methodology for determining RBC on collateralized loan obligations. The NAIC is currently evaluating two alternative approaches, one which would assign risk weights based on its own modeling rather than credit ratings, and the other a principles-based framework that could be applied more broadly to all asset-backed security classes. In December 2025, the NAIC adopted a proposal to delay the effective date of any such changes to December 31, 2026.</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“Risk Factors — Regulatory and Legal Risks — Our business is highly regulated, and changes in regulation and in supervisory and enforcement policies or interpretations thereof may materially impact our capitalization or cash flows, reduce our profitability and limit our growth.”</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Holding Company Regulation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Insurance holding company laws and regulations vary from jurisdiction to jurisdiction, but generally require a controlled insurance company (i.e., insurers that are subsidiaries of insurance holding companies) to register with state regulatory authorities and to file with those authorities certain reports, including information concerning its capital structure, ownership, financial condition, certain intercompany transactions and general business operations. Most states have adopted substantially similar versions of the NAIC Insurance Holding Company System Model Act and the Insurance Holding Company System Model Regulation. Other states, including New York, have adopted modified versions, although their supporting regulation is substantially similar to the model regulation.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Insurance holding company regulations generally provide that no person, corporation or other entity may acquire control of an insurance company, or a controlling interest in any parent company of an insurance company, without the prior approval of such insurance company’s domiciliary state insurance regulator. Under the laws of both Delaware and New York, any person acquiring, directly or indirectly, 10% or more of the voting securities of an insurance company (or any holding company of the insurance company) is presumed to have acquired “control” of the company. This statutory presumption of control may be rebutted by a showing that control does not exist, in fact. The state insurance regulators, however, may find that “control” exists in circumstances in which a person owns or controls less than 10% of an insurance company’s voting securities. The laws and regulations regarding acquisition of control transactions may discourage potential acquisition proposals and may delay, deter or prevent a change of control involving us, including through unsolicited transactions.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insurance holding company laws and regulations include a requirement that the ultimate controlling person of a U.S. insurer file an annual enterprise risk report with the lead state of the insurance holding company system identifying risks likely to have a material adverse effect upon the financial condition or liquidity of the insurer or its insurance holding company system as a whole. All of the states where Brighthouse Financial has domestic insurers have enacted this enterprise risk reporting requirement.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State insurance statutes also typically place restrictions and limitations on the amount of dividends or other distributions payable by insurance subsidiaries to their parent companies, as well as on transactions between an insurer and its affiliates. Dividends in excess of prescribed limits and transactions above a specified size between an insurer and its affiliates require the prior approval of the insurance regulator in the insurer’s state of domicile.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Delaware Insurance Commissioner (the “Delaware Commissioner”) and the New York Superintendent of Financial Services have broad discretion in determining whether the financial condition of a stock life insurance company would support the payment of such dividends to its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99515"/>
                <wp:effectExtent l="0" t="0" r="0" b="0"/>
                <wp:wrapNone/>
                <wp:docPr id="14" name="Frame13"/>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12 of the Notes to the Consolidated Financial Statements for a discussion of dividend restrictions under the insurance laws of Delaware and New York, as well as the dividend restrictions under BRCD’s plan of operations.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Group Capital Contribution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NAIC adopted a group capital calculation tool, implemented by Brighthouse Financial in 2022, that uses an RBC aggregation methodology for all entities within an insurance holding company system. The NAIC has stated that the calculation is a tool to assist regulators in assessing group risks and capital adequacy and does not constitute a minimum capital requirement or standard; however, there is no guarantee that will be the case in the future. It is unclear how the group capital calculation will interact with existing capital requirements for insurance companies in the U.S.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Own Risk and Solvency Assessment Model Act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2012, the NAIC adopted the Risk Management and Own Risk and Solvency Assessment Model Act (“ORSA”), which has been enacted by Delaware and New York. ORSA requires that insurers maintain a risk management framework and conduct an internal own risk and solvency assessment of the insurer’s material risks in normal and stressed environments. The assessment must be documented in a confidential annual summary report, a copy of which must be made available to regulators as required or upon request.</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Captive Reinsurer Regulation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2014, the NAIC approved a framework applicable to the use of captive insurers in connection with Regulation XXX and Guideline AXXX transactions. Among other things, the framework called for more disclosure of an insurer’s use of captives in its statutory financial statements and narrows the types of assets permitted to back statutory reserves that are required to support the insurer’s future obligations. In 2014, the NAIC implemented the framework through an actuarial guideline (“AG 48”), which requires the ceding insurer’s actuary to opine on the insurer’s reserves and to issue a qualified opinion if the framework is not followed. The requirements of AG 48 are effective in all U.S. states, and such requirements apply to policies issued and new reinsurance transactions entered into on or after January 1, 2015. In 2016, the NAIC adopted a model regulation containing similar substantive requirements to AG 48.</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Federal Initiatives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the insurance business in the U.S. is primarily regulated by the states, federal initiatives often have an impact on our business in a variety of ways. Federal regulation of financial services, securities, derivatives and pensions, as well as legislation affecting cybersecurity, privacy, tort reform and taxation, may significantly and adversely affect the insurance business. In addition, various forms of direct and indirect federal regulation of insurance have been proposed from time to time, including proposals for the establishment of an optional federal charter for insurance companies.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Guaranty Associations and Similar Arrangements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of the jurisdictions in which we are admitted to transact business require life insurers doing business within the jurisdiction to participate in guaranty associations, which are organized to pay contractual benefits owed pursuant to insurance policies issued by impaired, insolvent or failed insurers, or those that may become impaired, insolvent or fail, for example, following the occurrence of one or more catastrophic events. These associations levy assessments, up to prescribed limits, on all member insurers in a particular state on the basis of the proportionate share of the premiums written by member insurers in the lines of business in which the impaired, insolvent or failed insurer is engaged. Some states permit member insurers to recover assessments paid through full or partial premium tax offsets.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Over the past several years, the aggregate assessments levied against us have not been material. We have established liabilities for guaranty fund assessments that we consider adequate.</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Insurance Regulatory Examinations and Other Activities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part of their regulatory oversight process, state insurance departments conduct periodic detailed examinations of the books, records, accounts, and business practices of insurers domiciled in their states, including periodic financial examinations and market conduct examinations, some of which are currently in process. State insurance departments also have the authority to conduct examinations of non-domiciliary insurers that are licensed in their states, and such states routinely conduct examinations of us. Over the past several years, there have been no material adverse findings in connection with any examinations of us conducted by state insurance departments, although there can be no assurance that there will not be any material adverse findings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99515"/>
                <wp:effectExtent l="0" t="0" r="0" b="0"/>
                <wp:wrapNone/>
                <wp:docPr id="15" name="Frame14"/>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State regulatory authorities, the Financial Industry Regulatory Authority, Inc. (“FINRA”), and the SEC have conducted investigations or inquiries relating to sales or administration of individual life insurance policies, annuities or other products by Brighthouse Life Insurance Company and BHNY. These investigations have focused on the conduct of particular financial services representatives, the sale of unregistered or unsuitable products, the misuse of client assets, and sales and replacements of annuities and certain riders on such annuities. Over the past several years, these and a number of investigations of Brighthouse Life Insurance Company and BHNY by other regulatory authorities were resolved for monetary payments and certain other relief, including restitution payments. We may continue to receive, and may resolve, further investigations and actions on these matters through monetary payments or other relief, including restitution payments. In addition, insurance companies’ claims payment, abandoned property and escheatment practices have received increased scrutiny from regulators.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FINRA periodically conducts routine or special examinations of Brighthouse Securities, LLC (“Brighthouse Securities”), an affiliate. These examinations focus on the regulation of Brighthouse Securities under FINRA rules and the federal securities laws. Similarly, the SEC periodically conducts routine or special examinations of Brighthouse Funds Trusts I &amp; II (the “Trusts”), the registered funds available in certain variable products, Brighthouse Investment Advisers, LLC (“Brighthouse Advisers”), the registered adviser to the Trusts, and the registered separate accounts through which Brighthouse Financial issues variable contracts. These examinations focus on the regulation of these entities under the federal securities laws. Over the past several years, there have been no material adverse findings in connection with any examinations of us conducted by FINRA or the SEC, although there can be no assurance that there will not be any material adverse findings in the future.</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Policy and Contract Reserve Adequacy Analysis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Annually, we are required to conduct an analysis of the adequacy of all statutory reserves. In each case, a qualified actuary must submit an opinion which states that the statutory reserves make adequate provision, according to accepted actuarial standards of practice, for the anticipated cash flows required by the contractual obligations and related expenses of the insurance company. The adequacy of the statutory reserves is considered in light of the assets held by the insurer with respect to such reserves and related actuarial items, including, but not limited to, the investment earnings on such assets, and the consideration anticipated to be received and retained under the related policies and contracts. An insurance company may increase reserves in order to submit an opinion without qualification, which is required by the Delaware DOI and the NYDFS, and we have provided such opinions without qualifications.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Regulation of Investments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Brighthouse Life Insurance Company and BHNY are subject to state laws and regulations that require diversification of investment portfolios and limit the amount of investments that an insurer may have in certain asset categories, such as below investment grade fixed income securities, real estate equity, other equity investments, and derivatives, and we have internal procedures designed to ensure that our investments comply with such laws and regulations. Failure to comply with these laws and regulations would cause investments exceeding regulatory limitations to be treated as non-admitted assets for purposes of measuring surplus and, in some instances, would require divestiture of such non-qualifying investments.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NYDFS Insurance Regulation 47</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August 2022, the NYDFS amended Insurance Regulation 47 (as amended, “Regulation 47”), which implemented new requirements for certain annuity products. Certain sections of Regulation 47 became effective as of January 1, 2023, and the remainder became effective on January 1, 2024. The regulation has opened the New York market to new competitors, and we continue to assess the impacts of these new factors on our sales in New York. See “Risk Factors — Risks Related to Our Business — Factors affecting our competitiveness may adversely affect our market share and profitability” and “Risk Factors — Risks Related to Our Business — Brighthouse Financial may experience difficulty in marketing and distributing products through our distribution channels.”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NYDFS Insurance Regulation 210</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March 2018, NYDFS Insurance Regulation 210: Life Insurance and Annuity Non-Guaranteed Elements took effect. The regulation establishes standards for the determination and readjustment of non-guaranteed elements (“NGE”) that may vary at the insurer’s discretion for life insurance policies and annuity contracts delivered or issued for delivery in New York. In addition, the regulation establishes guidelines for related disclosure to the NYDFS and policy owners prior to any adverse change in NGEs. The regulation applies to all individual life insurance policies, individual annuity contracts and certain group life insurance and group annuity certificates that contain NGEs. NGEs include premiums, expense charges, cost of insurance (“COI”) rates and interest credits.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99515"/>
                <wp:effectExtent l="0" t="0" r="0" b="0"/>
                <wp:wrapNone/>
                <wp:docPr id="16" name="Frame15"/>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Privacy and Cybersecurity Regulation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course of our business, we and our distributors collect and maintain customer data, including personally identifiable nonpublic financial and health information. We also collect and handle the personal information of our associates and certain third parties who distribute our products. As a result, we and the third parties who distribute our products are subject to U.S. federal and state privacy laws and regulations, including the Health Insurance Portability and Accountability Act as well as additional regulations and those described below. These laws and regulations require that we implement and maintain certain policies and procedures to safeguard this information from improper use or disclosure and that we provide notice of our practices related to the collection and disclosure of such information. Other laws and regulations require us to notify affected individuals and regulators of security breaches.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Congress and many states have enacted privacy and information security laws and regulations that impose compliance obligations applicable to our business, including obligations to protect sensitive personal and creditworthiness information, as well as limitations on the use and sharing of such information. For example, the NYDFS’s Part 500 </w:t>
      </w:r>
      <w:r>
        <w:rPr>
          <w:color w:val="000000"/>
        </w:rPr>
        <w:t xml:space="preserve">– </w:t>
      </w:r>
      <w:r>
        <w:rPr>
          <w:rFonts w:ascii="Times New Roman;serif" w:hAnsi="Times New Roman;serif"/>
          <w:b w:val="false"/>
          <w:color w:val="000000"/>
          <w:sz w:val="20"/>
        </w:rPr>
        <w:t>Cybersecurity Regulation (the “NYDFS Cybersecurity Regulation”), which became effective in March 2017, requires companies to establish a cybersecurity risk management program. In November 2023, the NYDFS announced amendments to the NYDFS Cybersecurity Regulation. The amended NYDFS Cybersecurity Regulation went into effect in phases beginning November 1, 2023 and continuing through November 1, 2025, and it includes additional and new requirements regarding certification, governance, audit requirements, technology and business continuity, security control and training requirements, and notification obligations.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California Consumer Privacy Act of 2018 (the “CCPA”), which became effective in January 2020, affords California residents expanded privacy protections and control over the collection, use and sharing of their personal information. The CCPA requires companies to make certain disclosures to California consumers regarding personal information, among other privacy protective measures. Failure to comply with the CCPA risks regulatory fines, and the CCPA grants a private right of action and statutory damages for any unauthorized access and exfiltration, theft, or disclosure of certain types of personal information resulting from the Company’s violation of a duty to maintain reasonable security procedures and practices. The CCPA, as amended by the California Privacy Rights Act (the “CPRA”), effective as of January 1, 2023, and its implementing regulations required additional investment in compliance programs and potential modifications to business processes. Further, the CCPA, as amended, created the California Privacy Protection Agency (the “CPPA”) to enforce the statute as well as its regulations, and imposed new requirements relating to additional consumer rights, data minimization, and other obligations. The California legislature did not extend certain exemptions under the amended CCPA, specifically information collected in employment or business-to-business contexts, and such information therefore is now covered by the CCPA. Enforcement of the CCPA, as amended by the CPRA, began on July 1, 2023. In July 2025, the CPPA adopted regulations effective January 1, 2026, requiring certain companies to conduct data protection risk assessments for high-risk processing activities and complete annual cybersecurity audits. The regulations also implemented consumers’ rights to access and opt-out of companies’ use of automated decision-making technology.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2017, the NAIC adopted the Insurance Data Security Model Law, which established standards for data security and for the investigation and notification of insurance commissioners of cybersecurity events involving unauthorized access to, or the misuse of, certain nonpublic information. More than 20 U.S. states have enacted the Insurance Data Security Model Law or similar laws, and we expect more states to follow.</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June 2024, the NAIC released draft amendments to the Privacy of Consumer Financial and Health Information Regulation #672. The NAIC is working with stakeholders to receive comments on each section of the draft amendment to Model Law #672. The current draft of the amended Model Law #672 focuses on four key privacy principles: (i) third-party arrangements; (ii) the right to access, correct, and delete data; (iii) the sale of personal information; and (iv) the processing and handling of personal information. Model Law #672 is still being exposed for comment to stakeholders and could undergo additional changes.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July 2023, the SEC adopted the Risk Management, Strategy, Governance, and Incident Disclosure Final Rule (the “Cybersecurity Final Rule”) that enhances the disclosure requirements for registered companies covering cybersecurity risk and management. The Cybersecurity Final Rule requires registrants to disclose material cybersecurity incidents on Form 8-K. The Cybersecurity Final Rule also requires periodic disclosures of the Company’s cybersecurity risk management processes, governance, and management’s role in overseeing such a compliance program. See “Cybersecurity” for a discussion of our cybersecurity risk management and governance framework.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99515"/>
                <wp:effectExtent l="0" t="0" r="0" b="0"/>
                <wp:wrapNone/>
                <wp:docPr id="17" name="Frame16"/>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U.S. states, the District of Columbia, and U.S. territories also require entities to provide notification to affected residents and, in certain instances, state regulators, such as state attorneys general or state insurance commissioners, in the event of certain security breaches affecting personal information. Also, as noted above, state governments, Congress, and agencies may consider and enact additional legislation or promulgate regulations governing privacy, cybersecurity, and data breach reporting requirements. We cannot predict whether such legislation will be enacted, or what impact, if any, such legislation may have on our business practices, results of operations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Regulation of the Use of Artificial Intelligence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State legislatures and insurance regulators have shown increasing concern about the use of artificial intelligence (“AI”) and the potential for discrimination and bias in insurance practices.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certain state legislatures adopting their own regulations and guidance, in December 2023, the NAIC adopted the Model Bulletin on the Use of Artificial Intelligence Systems by Insurers (the “Model Bulletin”) which has been adopted in more than 20 states. The Model Bulletin puts forth comprehensive guidance for the governance of AI systems that make or support decisions related to regulated insurance practices.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we currently do not expect any of the existing regulations to have a material impact on our business, there can be no assurance that there will not be any material impacts in the future.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state legislatures and insurance regulators, as well as U.S. state and federal agencies, may also adopt regulations and guidance that govern the use of AI. For example, on December 11, 2025, President Trump issued an executive order establishing, among other things, a national framework for AI regulation, an AI Litigation Task Force to challenge state AI laws inconsistent with the national framework, and conditional federal funding for state AI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Securities, Broker-Dealer and Investment Adviser Regulation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Some of our activities in offering and selling variable insurance products, as well as certain fixed interest rate or index-linked contracts (“Securities Products”), are subject to extensive regulation under the federal securities laws administered by the SEC or state securities laws. Federal and state securities laws and regulations treat variable insurance products and certain fixed interest rate or index-linked contracts as securities that must be registered with the SEC under the Securities Act of 1933, as amended (the “Securities Act”), and distributed through broker-dealers registered under the Securities Exchange Act of 1934, as amended (the “Exchange Act”). These registered broker-dealers are also FINRA members; therefore, sales of these registered products are also subject to the requirements of FINRA rules.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utilize Brighthouse Securities to distribute our variable and registered fixed products. Brighthouse Securities is a FINRA member and a broker-dealer registered with the SEC and applicable state regulators.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issue variable insurance products through separate accounts that are registered with the SEC as investment companies under the Investment Company Act of 1940, as amended (the “Investment Company Act”). Each registered separate account is generally divided into subaccounts, each of which invests in an underlying fund which is itself a registered investment company under the Investment Company Act. Our affiliate, Brighthouse Advisers, is registered as an investment adviser with the SEC under the Investment Advisers Act of 1940, as amended (the “Advisers Act”), and its primary business is to serve as investment adviser to certain of the registered funds that underlie our variable annuity contracts and variable life insurance policies. Certain variable contract separate accounts sponsored by Brighthouse Life Insurance Company and BHNY are exempt from registration under the Securities Act and the Investment Company Act but may be subject to other provisions of the federal securities laws.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Federal, state and other securities regulatory authorities, including the SEC and FINRA, may from time to time make inquiries and conduct examinations regarding our compliance with securities and other laws and regulations. We will cooperate with such inquiries and examinations and take corrective action when warranted. See “— Insurance Regulation — Insurance Regulatory Examinations and Other Activities.”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Federal and state securities laws and regulations are primarily intended to ensure the integrity of the financial markets, to protect investors in the securities markets, and to protect investment advisory or brokerage clients, and generally grant regulatory agencies broad rulemaking and enforcement powers, including the power to limit or restrict the conduct of business for failure to comply with such laws and regulations. Our offering and selling of Securities Products, including with respect to Brighthouse Securities and Brighthouse Advisers, may be impacted by SEC regulatory initiatives impacting the industry.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99515"/>
                <wp:effectExtent l="0" t="0" r="0" b="0"/>
                <wp:wrapNone/>
                <wp:docPr id="18" name="Frame17"/>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Department of Labor and ERISA Considerations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manufacture individual retirement annuities that are subject to the Internal Revenue Code of 1986, as amended (the “Tax Code”), for third parties to sell to individuals. Also, a portion of our in-force life insurance products and annuity products are held by tax-qualified pension and retirement plans that are subject to ERISA or the Tax Code. While we currently believe manufacturers do not have as much exposure to ERISA and the Tax Code as distributors, certain activities are subject to the restrictions imposed by ERISA and the Tax Code, including restrictions on the provision of investment advice to ERISA qualified plans, plan participants and individual retirement annuity and individual retirement account (collectively, “IRAs”) owners if the investment recommendation results in fees paid to an individual advisor, the firm that employs the advisor or their affiliates. In recent years, the Department of Labor (“DOL”) issued a final regulation updating the definition of “investment advice,” which was subsequently stayed by judicial action. See “— Standard of Conduct Regulation — Department of Labor Fiduciary Advice Rule” for additional details regarding the status of the DOL Fiduciary Advice Rule (as defined below).</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DOL has issued a number of regulations regarding disclosure that must be provided to plan sponsors and participants. The participant disclosure regulations and the regulations which require service providers to disclose fee and other information to plan sponsors took effect in 2012. Brighthouse Life Insurance Company and BHNY have taken and continue to take steps designed to ensure compliance with regulations requiring service providers to disclose fee and other information to plan sponsors.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In </w:t>
      </w:r>
      <w:r>
        <w:rPr>
          <w:rFonts w:ascii="Times New Roman;serif" w:hAnsi="Times New Roman;serif"/>
          <w:b w:val="false"/>
          <w:i/>
          <w:color w:val="000000"/>
          <w:sz w:val="20"/>
        </w:rPr>
        <w:t>John Hancock Mutual Life Insurance Company v. Harris Trust and Savings Bank</w:t>
      </w:r>
      <w:r>
        <w:rPr>
          <w:color w:val="000000"/>
        </w:rPr>
        <w:t xml:space="preserve"> </w:t>
      </w:r>
      <w:r>
        <w:rPr>
          <w:rFonts w:ascii="Times New Roman;serif" w:hAnsi="Times New Roman;serif"/>
          <w:b w:val="false"/>
          <w:color w:val="000000"/>
          <w:sz w:val="20"/>
        </w:rPr>
        <w:t>(1993), the U.S. Supreme Court held that certain assets in excess of amounts necessary to satisfy guaranteed obligations under a participating group annuity general account contract are “plan assets.” Therefore, these assets are subject to certain fiduciary obligations under ERISA, which requires fiduciaries to perform their duties solely in the interest of participants and beneficiaries of a plan subject to Title I of ERISA (an “ERISA Plan”). DOL regulations issued thereafter provide that, if an insurer satisfies certain requirements, assets supporting a policy backed by the insurer’s general account and issued before 1999 will not constitute “plan assets.” We have taken and continue to take steps designed to ensure compliance with these regulations. An insurer issuing a new policy that is backed by its general account and is issued to or for an employee benefit plan after December 31, 1998 is generally subject to fiduciary obligations under ERISA, unless the policy is an insurance policy or contract that provides for benefits the amount of which is guaranteed by the insurer (a “guaranteed benefit policy”), in which case, the assets would not be considered “plan assets.” We have taken and continue to take steps designed to ensure that policies issued to ERISA Plans after 1998 qualify as guaranteed benefit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Standard of Conduct Regulation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of overlapping efforts by the DOL, the NAIC, individual states and the SEC to impose fiduciary-like requirements in connection with the sale of annuities, life insurance policies and securities, which are each discussed in more detail below, there have been a number of proposed or adopted changes to the laws and regulations that govern the conduct of our business and the firms that distribute our products. As a manufacturer of annuity and life insurance products, we do not directly distribute our products to consumers. However, regulations establishing standards of conduct in connection with the distribution and sale of these products could affect our business by imposing greater compliance, oversight, disclosure and notification requirements on our distributors or us, which may in either case increase our costs or limit distribution of our products. We cannot predict what other proposals may be made, what legislation or regulations may be introduced or enacted, or what impact any future legislation or regulations may have on our business, financial condition and results of operations.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Department of Labor Fiduciary Advice Rule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technical amendment issued by the DOL, which became effective on July 7, 2020, reinstated the text of the DOL’s 1975 investment advice regulation (the “Fiduciary Advice Rule”) defining what constitutes fiduciary “investment advice.” In connection with the Fiduciary Advice Rule, the DOL also issued a new exemption, Prohibited Transaction Exemption 2020-02 (“PTE 2020-02”), which became effective February 16, 2021. PTE 2020-02 broadened the circumstances under which financial institutions, including insurance companies, could be considered fiduciaries under ERISA or the Tax Code. In particular, the DOL stated that a recommendation to “roll over” assets from a qualified retirement plan to an IRA or from an IRA to another IRA, could be considered fiduciary investment advice if provided by someone with an existing relationship with the ERISA Plan or an IRA owner (or in anticipation of establishing such a relationship). This guidance reversed an earlier DOL interpretation suggesting that roll over advice does not constitute investment advice giving rise to a fiduciary relationship.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99515"/>
                <wp:effectExtent l="0" t="0" r="0" b="0"/>
                <wp:wrapNone/>
                <wp:docPr id="19" name="Frame18"/>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PTE 2020-02 expands the definition of fiduciary “investment advice” to include, in many circumstances, providing one-time advice (including rollover advice) to ERISA Plans and IRAs, among other conduct. Individuals or entities providing investment advice would be considered fiduciaries under ERISA or the Tax Code, as applicable, and would therefore be required to act solely in the interest of ERISA Plan participants or IRA beneficiaries, or risk exposure to fiduciary liability with respect to their advice. They would further be prohibited from receiving compensation for this advice, unless an exemption applied.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PTE 2020-02 allows fiduciaries to receive compensation in connection with providing investment advice, including advice with respect to roll overs, that would otherwise be prohibited as a result of their fiduciary relationship to the ERISA Plan or IRA. In order to be eligible for the exemption, among other conditions, the investment advice fiduciary is required to acknowledge its fiduciary status, refrain from putting its own interests ahead of the plan beneficiaries’ interests or making material misleading statements, act in accordance with ERISA’s “prudent person” standard of care and receive no more than reasonable compensation for the advice.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23, 2024, the DOL updated the Fiduciary Advice Rule that amended the definition of an “investment advice fiduciary” under ERISA and amended related administrative PTEs, including PTE 2020-02 and PTE 84-24 (together, the “PTE Amendments”). PTE 84-24 allows investment advice fiduciaries, under certain circumstances, to receive compensation for selling insurance and annuity products to ERISA plans and IRAs that would otherwise be prohibited as a result of their fiduciary relationship to an ERISA plan or IRA. As amended, PTE 84-24 would be available exclusively to independent producer fiduciaries receiving reasonable compensation for products that are not considered securities in connection with providing investment advice, including advice with respect to roll overs, that would otherwise be prohibited as a result of a fiduciary relationship to an ERISA plan or IRA. The Fiduciary Advice Rule broadened the circumstances under which financial institutions, including insurance companies, could be considered fiduciaries to ERISA plans and IRA investors.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25, 2024, the U.S. District Court for the Eastern District of Texas and, on July 26, 2024, the U.S. District Court for the Northern District of Texas issued decisions, which, together, stayed the effective date for implementation of the Fiduciary Advice Rule and the PTE Amendments. In September 2024, the DOL appealed these rulings but subsequently withdrew its appeal of the stays, and the U.S. Court of Appeals for the Fifth Circuit issued an order dismissing the appeal.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DOL has indicated that it intends to engage in further rulemaking concerning what constitutes fiduciary “investment advice” to ERISA Plans and IRAs. While we cannot predict the outcome of that rulemaking, future regulations could have adverse effects on sales of our products and may also lead to further changes to our product offerings and compensation practices, as well as increase our litigation risk, any of which could adversely affect our financial condition and results of operations. We may also need to take certain additional actions to comply with, or assist our distributors in their compliance with, forthcoming regulations.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State Law Standard of Conduct Rules and Regulations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NAIC adopted a Suitability in Annuity Transactions Regulation (the “NAIC SAT”) that includes a best interest standard on February 13, 2020 in an effort to promote harmonization across various regulators, including the SEC Regulation Best Interest. The NAIC SAT model standard requires producers to act in the best interest of the consumer when recommending annuities. All jurisdictions other than the District of Columbia have adopted the NAIC SAT model, which became effective in 2021. The NAIC adopted the Best Interest Safe Harbor Guidance for NAIC SAT in December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certain regulators have issued proposals to impose a fiduciary duty on some investment professionals, and other states may be considering similar regulations. We continue to assess the impact of these issued and proposed standards on our business, and we expect that we and our third-party distributors will need to implement additional compliance measures that could ultimately impact sales of our products.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NYDFS Insurance Regulation 187</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July 2018, the NYDFS amended Insurance Regulation 187 (as amended, “Regulation 187”), adopting a “best interest” standard for the sale of annuities and life insurance products in New York. Regulation 187 generally requires that an insurance producer or insurer consider only a consumer’s best interest, and not the financial interests of the producer or insurer, in making a recommendation as to which life insurance or annuity product a consumer should purchase. In addition, Regulation 187 imposes a best interest standard on consumer in-force transactions. We have assessed the impact to our annuity and life insurance businesses and have adopted certain changes to promote compliance with the provisions by their respective effective 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99515"/>
                <wp:effectExtent l="0" t="0" r="0" b="0"/>
                <wp:wrapNone/>
                <wp:docPr id="20" name="Frame19"/>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SEC Rules Addressing Standards of Conduct for Broker-Dealers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5, 2019, the SEC adopted a comprehensive set of rules and interpretations for broker-dealers and investment advisers, including Regulation Best Interest, which went into effect in June 2020. Among other things, this regulatory package: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requires broker-dealers and their financial professionals to act in the best interest of retail customers when making recommendations to such customers without placing their own interests ahead of the customers’ interests, including by satisfying obligations relating to disclosure, care, mitigation of conflicts of interest, and compliance policies and procedures;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clarifies the nature of the fiduciary obligations owed by registered investment advisers to their clients;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imposes requirements on broker-dealers and investment advisers to deliver Form CRS relationship summaries designed to assist customers in understanding key facts regarding their relationships with their investment professionals and differences between the broker-dealer and investment adviser business models; and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restricts broker-dealers and their financial professionals from using certain compensation practices and the terms “adviser” or “advisor.”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intent of Regulation Best Interest is to impose an enhanced standard of care on broker-dealers and their financial professionals which is more similar to that of an investment adviser. Among other things, this requires broker-dealers to mitigate conflicts of interest arising from transaction-based financial arrangements for their employees.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Regulation Best Interest may change the way broker-dealers sell securities such as variable annuities to their retail customers as well as their associated costs. Moreover, it may impact broker-dealer sales of other annuity products that are not securities because it could be difficult for broker-dealers to differentiate their sales practices by product. In addition, individual states and their securities regulators may adopt their own enhanced conduct standards for broker-dealers that may further impact their practices, and it is uncertain to what extent they would be preempted by Regulation Best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Federal Tax Reform</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16, 2022, the Inflation Reduction Act was signed into law by President Biden. The Inflation Reduction Act establishes a 15% corporate alternative minimum tax (the “CAMT”) for corporations whose average annual adjusted financial statement income for any consecutive three–tax year period ending after December 31, 2021 and preceding the tax year exceeds $1.0 billion.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12, 2024, the Internal Revenue Service (“IRS”) and the U.S. Department of Treasury (the “U.S. Treasury”) issued proposed regulations with respect to the CAMT. On September 30, 2025, the IRS issued Notice 2025-46 and Notice 2025-49, and on February 18, 2026, the IRS issued Notice 2026-7, (collectively, the “Notices”) that provide interim guidance on certain matters and signal the Treasury’s intent to partially withdraw and amend the prior proposed regulations. There remain significant uncertainties regarding the application of the CAMT, and there can be no assurance that final regulations, if adopted, will be adopted in a form consistent with the existing guidance. The Company is currently assessing the impact of the proposed regulations and the Notices, including the impact on the applicability of the CAMT.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Based on the Company’s interpretation of guidance issued by the U.S. Treasury and the IRS to date, the Company was not subject to the CAMT for the years ended December 31, 2025, 2024 and 2023. However, the Company will continue to assess the applicability of the CAMT on an annual basis and may be subject to the CAMT in future years.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(the “OBBBA”), which includes certain changes to U.S. corporate tax provisions and extends many of the provisions of the Tax Cuts and Jobs Act that were set to expire at the end of 2025, was enacted. The Company does not expect the OBBBA to have a material impact on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99515"/>
                <wp:effectExtent l="0" t="0" r="0" b="0"/>
                <wp:wrapNone/>
                <wp:docPr id="21" name="Frame20"/>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Regulation of Over-the-Counter Derivatives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Dodd-Frank Wall Street Reform and Consumer Protection Act (“Dodd-Frank”) includes a framework of regulation of the over-the-counter (“OTC”) derivatives markets which requires clearing of certain types of derivatives and imposes additional costs, including new reporting and margin requirements. We use derivatives to mitigate a wide range of risks in connection with our businesses, including the impact of increased benefit exposures from certain of our annuity products that offer guaranteed benefits. Our costs of risk mitigation have increased under Dodd-Frank. For example, Dodd-Frank imposes requirements for (i) the mandatory clearing of certain OTC derivative transactions that must be cleared and settled through central clearing counterparties (“OTC-cleared”), and (ii) the mandatory exchange of margin for OTC in-scope derivative transactions that are bilateral contracts between two counterparties (“OTC-bilateral” or “uncleared”). The initial margin requirements for OTC-bilateral derivative transactions, which requires the collecting and posting of collateral to reduce future exposure to a given counterparty, became applicable to us in September 2021. The increased margin requirements, combined with increased capital charges for our counterparties and central clearinghouses with respect to non-cash collateral, may result in increased holdings of cash and highly liquid securities with lower yields causing a reduction in income and less favorable pricing for cleared and OTC-bilateral derivative transactions. Centralized clearing of certain derivatives also exposes us to the risk of a default by a clearing member or clearinghouse with respect to our cleared derivative transactions. We could be subject to higher costs of entering into derivative transactions (including customized derivatives) and the reduced availability of customized derivatives that might result from the implementation of Dodd-Frank and comparable international derivatives regulations.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Federal banking regulators adopted rules that apply to certain qualified financial contracts, including many derivatives contracts, securities lending agreements and repurchase agreements, with certain banking institutions and certain of their affiliates. These rules, which became effective on January 1, 2019, generally require the banking institutions and their applicable affiliates to include contractual provisions in their qualified financial contracts that limit or delay certain rights of their counterparties arising in connection with the banking institution or an applicable affiliate becoming subject to a bankruptcy, insolvency, resolution or similar proceeding. Certain of our derivatives, securities lending agreements and repurchase agreements are subject to these rules, and as a result, we are subject to greater risk and more limited recovery in the event of a default by such banking institutions or their applicable affiliates.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Environmental Considerations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hold equity interests in companies that may be subject to extensive federal, state and local environmental laws and regulations and, accordingly, could potentially be subject to environmental liabilities. Our properties routinely have environmental assessments performed with respect to real estate being acquired for investment and real property to be acquired through foreclosure. We cannot provide assurance that unexpected environmental liabilities will not arise. However, based on information currently available to us, we believe that any costs associated with compliance with environmental laws and regulations or any remediation of properties in our investment portfolio will not have a material adverse effect on our results of operations or financial condition. See Note 8 of the Notes to the Consolidated Financial Statements for a discussion on certain limitations and interests regarding our arrangements in or with variable interest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California Climate Disclosure</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In October 2023, California enacted the Climate Corporate Data Accountability Act (“CCDAA”), or SB 253, and the Climate-Related Financial Risk Act (“CRFRA”), or SB 261. The CCDAA requires companies with annual revenues exceeding $1.0 billion that conduct business in California to report their Scope 1 and 2 greenhouse gas (“GHG”) emissions annually starting in 2026; and Scope 3 GHG emissions starting in 2027. The CRFRA applies to companies with annual revenues over $500 million that conduct business in California and requires biennial disclosure of climate-related financial risks and mitigation measures taken to address such risks. The CCDAA and CRFRA remain subject to litigation. In November 2025, the U.S. Court of Appeals for the Ninth Circuit issued an order in </w:t>
      </w:r>
      <w:r>
        <w:rPr>
          <w:rFonts w:ascii="Times New Roman;serif" w:hAnsi="Times New Roman;serif"/>
          <w:b w:val="false"/>
          <w:i/>
          <w:color w:val="000000"/>
          <w:sz w:val="20"/>
        </w:rPr>
        <w:t>U.S. Chamber of Commerce v. Randolph</w:t>
      </w:r>
      <w:r>
        <w:rPr>
          <w:color w:val="000000"/>
        </w:rPr>
        <w:t xml:space="preserve"> </w:t>
      </w:r>
      <w:r>
        <w:rPr>
          <w:rFonts w:ascii="Times New Roman;serif" w:hAnsi="Times New Roman;serif"/>
          <w:b w:val="false"/>
          <w:color w:val="000000"/>
          <w:sz w:val="20"/>
        </w:rPr>
        <w:t xml:space="preserve">granting an injunction against enforcement of the CRFRA pending resolution of the appeal of the district court’s preliminary injunction denial. The injunction in </w:t>
      </w:r>
      <w:r>
        <w:rPr>
          <w:rFonts w:ascii="Times New Roman;serif" w:hAnsi="Times New Roman;serif"/>
          <w:b w:val="false"/>
          <w:i/>
          <w:color w:val="000000"/>
          <w:sz w:val="20"/>
        </w:rPr>
        <w:t>U.S. Chamber of Commerce v. Randolph</w:t>
      </w:r>
      <w:r>
        <w:rPr>
          <w:rFonts w:ascii="Times New Roman;serif" w:hAnsi="Times New Roman;serif"/>
          <w:b w:val="false"/>
          <w:color w:val="000000"/>
          <w:sz w:val="20"/>
        </w:rPr>
        <w:t>, however, did not extend to the CCDAA. The California Air Resources Board announced an August 10, 2026 deadline for reporting Scope 1 and 2 GHG emissions under the CCDAA, which will remain in effect pending further ruling on the enforceability of the CCDAA. The Company continues to monitor the litigation.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99515"/>
                <wp:effectExtent l="0" t="0" r="0" b="0"/>
                <wp:wrapNone/>
                <wp:docPr id="22" name="Frame21"/>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Unclaimed Property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the laws and regulations of states and other jurisdictions concerning identification, reporting and escheatment of unclaimed or abandoned funds, and are subject to audit and examination for compliance with these requirements, which may result in fines or penalties. Litigation may be brought by, or on behalf of, one or more entities, seeking to recover unclaimed or abandoned funds and interest. The claimant or claimants also may allege entitlement to other damages or penalties, including for alleged false claims.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Both the annuities and the life insurance markets are very competitive, with many participants and no one company dominating the market for all products. According to the American Council of Life Insurers (Life Insurers Fact Book 2025), the U.S. life insurance industry is made up of 711 companies with sales and operations across the country and U.S. territories. We compete with major, well-established stock and mutual life insurance companies and non-insurance financial services companies (e.g., banks, private equity firms, broker-dealers and asset managers) in all of our product offerings, including certain of our distributors that currently manufacture competing products or may manufacture competing products in the future. Our Annuities segment also faces competition from other financial service providers that focus on retirement products and advice. Our competitive positioning overall is focused on access to distribution channels, product features and financial strength.</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Principal competitive factors in the annuities business include product features, distribution channel relationships, ease of doing business, annual fees, investment performance, speed to market, brand recognition, technology and the financial strength ratings of the insurance company. In particular for the variable annuity business, our living benefit rider product features and the quality of our relationship management and wholesaling support are key drivers in our competitive position. In the fixed annuity business, the crediting rates and guaranteed payout product features are the primary competitive factors, while for index-linked annuities the competitiveness of the crediting methodology is the primary driver. For income annuities, the competitiveness of the lifetime income payment amount is generally the principal factor.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Principal competitive factors in the life insurance business include product and underwriting features, customer service and distribution channel relationships, price, the financial strength ratings of the insurance company, technology and financial stability. For our hybrid indexed universal life with long-term care product, product features, long-term care benefits and our underwriting process are the primary competitive factors. The principal factors for our income product are its guaranteed distributions, crediting strategies and underwriting process.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99515"/>
                <wp:effectExtent l="0" t="0" r="0" b="0"/>
                <wp:wrapNone/>
                <wp:docPr id="23" name="Frame22"/>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Index to Risk Factors</w:t>
      </w:r>
    </w:p>
    <w:tbl>
      <w:tblPr>
        <w:tblW w:w="7336" w:type="dxa"/>
        <w:jc w:val="center"/>
        <w:tblInd w:w="0" w:type="dxa"/>
        <w:tblLayout w:type="fixed"/>
        <w:tblCellMar>
          <w:top w:w="28" w:type="dxa"/>
          <w:left w:w="28" w:type="dxa"/>
          <w:bottom w:w="28" w:type="dxa"/>
          <w:right w:w="28" w:type="dxa"/>
        </w:tblCellMar>
      </w:tblPr>
      <w:tblGrid>
        <w:gridCol w:w="2449"/>
        <w:gridCol w:w="2155"/>
        <w:gridCol w:w="2161"/>
        <w:gridCol w:w="167"/>
        <w:gridCol w:w="167"/>
        <w:gridCol w:w="237"/>
      </w:tblGrid>
      <w:tr>
        <w:trPr/>
        <w:tc>
          <w:tcPr>
            <w:tcW w:w="2449"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6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4b9e6b138e4c15b462f76456fc5e4b_76">
              <w:r>
                <w:rPr>
                  <w:rStyle w:val="InternetLink"/>
                  <w:rFonts w:ascii="Times New Roman;serif" w:hAnsi="Times New Roman;serif"/>
                  <w:b w:val="false"/>
                  <w:color w:val="0000FF"/>
                  <w:sz w:val="20"/>
                  <w:u w:val="single"/>
                </w:rPr>
                <w:t>Overview</w:t>
              </w:r>
            </w:hyperlink>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3c4b9e6b138e4c15b462f76456fc5e4b_79">
              <w:r>
                <w:rPr>
                  <w:rStyle w:val="InternetLink"/>
                  <w:rFonts w:ascii="Times New Roman;serif" w:hAnsi="Times New Roman;serif"/>
                  <w:b w:val="false"/>
                  <w:color w:val="0000FF"/>
                  <w:sz w:val="20"/>
                  <w:u w:val="single"/>
                </w:rPr>
                <w:t>24</w:t>
              </w:r>
            </w:hyperlink>
          </w:p>
        </w:tc>
      </w:tr>
      <w:tr>
        <w:trPr/>
        <w:tc>
          <w:tcPr>
            <w:tcW w:w="6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4b9e6b138e4c15b462f76456fc5e4b_4355">
              <w:r>
                <w:rPr>
                  <w:rStyle w:val="InternetLink"/>
                  <w:rFonts w:ascii="Times New Roman;serif" w:hAnsi="Times New Roman;serif"/>
                  <w:b w:val="false"/>
                  <w:color w:val="0000FF"/>
                  <w:sz w:val="20"/>
                  <w:u w:val="single"/>
                </w:rPr>
                <w:t>Risks Related to the Merger</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4355">
              <w:r>
                <w:rPr>
                  <w:rStyle w:val="InternetLink"/>
                  <w:rFonts w:ascii="Times New Roman;serif" w:hAnsi="Times New Roman;serif"/>
                  <w:b w:val="false"/>
                  <w:color w:val="0000FF"/>
                  <w:sz w:val="20"/>
                  <w:u w:val="single"/>
                </w:rPr>
                <w:t>23</w:t>
              </w:r>
            </w:hyperlink>
          </w:p>
        </w:tc>
      </w:tr>
      <w:tr>
        <w:trPr/>
        <w:tc>
          <w:tcPr>
            <w:tcW w:w="6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4b9e6b138e4c15b462f76456fc5e4b_79">
              <w:r>
                <w:rPr>
                  <w:rStyle w:val="InternetLink"/>
                  <w:rFonts w:ascii="Times New Roman;serif" w:hAnsi="Times New Roman;serif"/>
                  <w:b w:val="false"/>
                  <w:color w:val="0000FF"/>
                  <w:sz w:val="20"/>
                  <w:u w:val="single"/>
                </w:rPr>
                <w:t>Risks Related to Our Business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79">
              <w:r>
                <w:rPr>
                  <w:rStyle w:val="InternetLink"/>
                  <w:rFonts w:ascii="Times New Roman;serif" w:hAnsi="Times New Roman;serif"/>
                  <w:b w:val="false"/>
                  <w:color w:val="0000FF"/>
                  <w:sz w:val="20"/>
                  <w:u w:val="single"/>
                </w:rPr>
                <w:t>24</w:t>
              </w:r>
            </w:hyperlink>
          </w:p>
        </w:tc>
      </w:tr>
      <w:tr>
        <w:trPr/>
        <w:tc>
          <w:tcPr>
            <w:tcW w:w="6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4b9e6b138e4c15b462f76456fc5e4b_82">
              <w:r>
                <w:rPr>
                  <w:rStyle w:val="InternetLink"/>
                  <w:rFonts w:ascii="Times New Roman;serif" w:hAnsi="Times New Roman;serif"/>
                  <w:b w:val="false"/>
                  <w:color w:val="0000FF"/>
                  <w:sz w:val="20"/>
                  <w:u w:val="single"/>
                </w:rPr>
                <w:t>Economic Environment and Capital Markets-Related Risks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82">
              <w:r>
                <w:rPr>
                  <w:rStyle w:val="InternetLink"/>
                  <w:rFonts w:ascii="Times New Roman;serif" w:hAnsi="Times New Roman;serif"/>
                  <w:b w:val="false"/>
                  <w:color w:val="0000FF"/>
                  <w:sz w:val="20"/>
                  <w:u w:val="single"/>
                </w:rPr>
                <w:t>32</w:t>
              </w:r>
            </w:hyperlink>
          </w:p>
        </w:tc>
      </w:tr>
      <w:tr>
        <w:trPr/>
        <w:tc>
          <w:tcPr>
            <w:tcW w:w="6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4b9e6b138e4c15b462f76456fc5e4b_85">
              <w:r>
                <w:rPr>
                  <w:rStyle w:val="InternetLink"/>
                  <w:rFonts w:ascii="Times New Roman;serif" w:hAnsi="Times New Roman;serif"/>
                  <w:b w:val="false"/>
                  <w:color w:val="0000FF"/>
                  <w:sz w:val="20"/>
                  <w:u w:val="single"/>
                </w:rPr>
                <w:t>Risks Related to Our Investment Portfolio</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85">
              <w:r>
                <w:rPr>
                  <w:rStyle w:val="InternetLink"/>
                  <w:rFonts w:ascii="Times New Roman;serif" w:hAnsi="Times New Roman;serif"/>
                  <w:b w:val="false"/>
                  <w:color w:val="0000FF"/>
                  <w:sz w:val="20"/>
                  <w:u w:val="single"/>
                </w:rPr>
                <w:t>35</w:t>
              </w:r>
            </w:hyperlink>
          </w:p>
        </w:tc>
      </w:tr>
      <w:tr>
        <w:trPr/>
        <w:tc>
          <w:tcPr>
            <w:tcW w:w="6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4b9e6b138e4c15b462f76456fc5e4b_88">
              <w:r>
                <w:rPr>
                  <w:rStyle w:val="InternetLink"/>
                  <w:rFonts w:ascii="Times New Roman;serif" w:hAnsi="Times New Roman;serif"/>
                  <w:b w:val="false"/>
                  <w:color w:val="0000FF"/>
                  <w:sz w:val="20"/>
                  <w:u w:val="single"/>
                </w:rPr>
                <w:t>Regulatory and Legal Risks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88">
              <w:r>
                <w:rPr>
                  <w:rStyle w:val="InternetLink"/>
                  <w:rFonts w:ascii="Times New Roman;serif" w:hAnsi="Times New Roman;serif"/>
                  <w:b w:val="false"/>
                  <w:color w:val="0000FF"/>
                  <w:sz w:val="20"/>
                  <w:u w:val="single"/>
                </w:rPr>
                <w:t>38</w:t>
              </w:r>
            </w:hyperlink>
          </w:p>
        </w:tc>
      </w:tr>
      <w:tr>
        <w:trPr/>
        <w:tc>
          <w:tcPr>
            <w:tcW w:w="6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4b9e6b138e4c15b462f76456fc5e4b_91">
              <w:r>
                <w:rPr>
                  <w:rStyle w:val="InternetLink"/>
                  <w:rFonts w:ascii="Times New Roman;serif" w:hAnsi="Times New Roman;serif"/>
                  <w:b w:val="false"/>
                  <w:color w:val="0000FF"/>
                  <w:sz w:val="20"/>
                  <w:u w:val="single"/>
                </w:rPr>
                <w:t>Operational Risks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91">
              <w:r>
                <w:rPr>
                  <w:rStyle w:val="InternetLink"/>
                  <w:rFonts w:ascii="Times New Roman;serif" w:hAnsi="Times New Roman;serif"/>
                  <w:b w:val="false"/>
                  <w:color w:val="0000FF"/>
                  <w:sz w:val="20"/>
                  <w:u w:val="single"/>
                </w:rPr>
                <w:t>40</w:t>
              </w:r>
            </w:hyperlink>
          </w:p>
        </w:tc>
      </w:tr>
      <w:tr>
        <w:trPr/>
        <w:tc>
          <w:tcPr>
            <w:tcW w:w="6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4b9e6b138e4c15b462f76456fc5e4b_94">
              <w:r>
                <w:rPr>
                  <w:rStyle w:val="InternetLink"/>
                  <w:rFonts w:ascii="Times New Roman;serif" w:hAnsi="Times New Roman;serif"/>
                  <w:b w:val="false"/>
                  <w:color w:val="0000FF"/>
                  <w:sz w:val="20"/>
                  <w:u w:val="single"/>
                </w:rPr>
                <w:t>Risks Related to Our Separation from, and Continuing Relationship with, MetLife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94">
              <w:r>
                <w:rPr>
                  <w:rStyle w:val="InternetLink"/>
                  <w:rFonts w:ascii="Times New Roman;serif" w:hAnsi="Times New Roman;serif"/>
                  <w:b w:val="false"/>
                  <w:color w:val="0000FF"/>
                  <w:sz w:val="20"/>
                  <w:u w:val="single"/>
                </w:rPr>
                <w:t>43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99515"/>
                <wp:effectExtent l="0" t="0" r="0" b="0"/>
                <wp:wrapNone/>
                <wp:docPr id="24" name="Frame23"/>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You should carefully consider the factors described below, in addition to the other information set forth in this Annual Report on Form 10-K. These risk factors are important to understanding the contents of this Annual Report on Form 10-K and our other filings with the SEC. If any of the following events occur, our business, financial condition and results of operations could be materially adversely affected. In that event, the trading price of our securities could decline, and you could lose all or part of your investment. A summary of the factors described below can be found in “Note Regarding Forward-Looking Statements and Summary of Risk Factors.”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materialization of any risks and uncertainties set forth below or identified in “Note Regarding Forward-Looking Statements and Summary of Risk Factors” contained in this Annual Report on Form 10-K and “Note Regarding Forward-Looking Statements” in our other filings with the SEC or those that are presently unforeseen or that we currently believe to be immaterial could result in significant adverse effects on our business, financial condition, results of operations and cash flows. See “Note Regarding Forward-Looking Statements and Summary of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Risks Related to the Merger</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The completion of the Merger is subject to a number of conditions, many of which are largely outside the parties’ control, and, if these conditions are not satisfied or waived, the Merger may not be completed within the expected timeframe or at all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6, 2025, BHF entered into the Merger Agreement, pursuant to which, at the closing of the transactions contemplated by the Merger Agreement, Merger Sub will merge with and into BHF, and the separate corporate existence of Merger Sub will cease, with BHF continuing as the surviving corporation and as a wholly-owned subsidiary of Aquarian Parent. The Merger Agreement was adopted by stockholders at the special meeting held on February 12, 2026, and the applicable waiting period under the Hart-Scott Rodino Antitrust Improvement Act of 1976, as amended, has expired. The completion of the Merger remains subject to the satisfaction or waiver of certain other customary conditions, including, among others, (i) receipt of required regulatory approvals from insurance regulators in Delaware, New York and Massachusetts, (ii) receipt of approval from Financial Industry Regulatory Authority, Inc. of a change in control of Brighthouse Securities, LLC under FINRA Rule 1017, (iii) the absence of any judgment, order, injunction or other legal restraint prohibiting the Merger and (iv) the absence of a “Company Material Adverse Effect” or “Burdensome Condition,” as each is defined in the Merger Agreement. In addition, the obligation of each party to complete the Merger is conditioned upon, among other things, the accuracy of the representations and warranties of each party (subject to certain materiality exceptions) and material compliance by each party with its obligations, covenants and agreements under the Merger Agreement.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Merger is expected to close in 2026. However, there can be no assurance that the conditions to completion of the Merger will be satisfied or waived on a timely basis or at all. If such conditions are not satisfied or waived, BHF may be unable to complete the Merger in the timeframe or manner currently anticipated or at all.</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Failure to complete the Merger could adversely affect Brighthouse Financial’s business, results of operations or financial condition, including in the event BHF is required to pay the termination fee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Merger is not completed within the expected timeframe or at all, the ongoing business of Brighthouse Financial could be adversely affected and will be subject to certain risks, including, among others, the following: (i) Brighthouse Financial will have incurred, and may continue to incur, significant expenses for professional services and other transaction costs in connection with the Merger for which Brighthouse Financial will have received little or no benefit if the Merger is not completed and (ii) failure to complete the Merger may result in negative publicity or result in a negative impression of Brighthouse Financial with policyholders and other stakeholders.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pursuant to the Merger Agreement, Brighthouse Financial is subject to certain restrictions on the conduct of its business prior to the closing of the Merger, which may adversely affect its ability to execute certain of its business strategies. If the Merger is not completed, these risks could materially affect the business and financial results of Brighthouse Financial.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if the Merger is terminated, in certain circumstances, BHF could be required to pay a termination fee of approximately $144 million. In such circumstances, BHF may be required to use available cash that would have otherwise been available for general corporate purposes or other uses, which may materially and adversely affect its business, results of operations or financial condition, and consequently, could have a material adverse effect on our financial condition, results of operations and liquidity.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99515"/>
                <wp:effectExtent l="0" t="0" r="0" b="0"/>
                <wp:wrapNone/>
                <wp:docPr id="25" name="Frame24"/>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While the Merger is pending, Brighthouse Financial will be subject to business uncertainties and certain contractual restrictions that could adversely affect our business, results of operations or financial condition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Brighthouse Financial has expended, and continues to expend, significant management time and resources in an effort to complete the Merger, which may have a negative impact on our ongoing business and operations. Uncertainty regarding the outcome of the Merger and our future could disrupt our business relationships with our existing and potential customers, suppliers, distributors, vendors and other business partners, who may attempt to negotiate changes to existing business relationships or consider entering into business relationships with parties other than us. Uncertainty regarding the outcome of the Merger could also adversely affect our ability to recruit and retain key personnel and other associates. Furthermore, following the announcement that BHF entered into the Merger Agreement, rating agencies took certain actions relating to our financial strength ratings. See “Management’s Discussion and Analysis of Financial Condition and Results of Operations — Liquidity and Capital Resources — Rating Agencies.”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due to certain restrictions in the Merger Agreement on the conduct of business prior to completing the Merger, Brighthouse Financial may be unable (without Aquarian Parent’s prior written consent), during the pendency of the Merger, to pursue strategic transactions, undertake certain significant financing transactions and otherwise pursue other actions, even if such actions would prove beneficial, and may cause Brighthouse Financial to forego certain opportunities it might otherwise pursue.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two complaints were filed and BHF received several demand letters related to BHF’s proxy statement filed with the SEC in connection with the Merger. The pendency of the Merger may lead to other litigation against BHF and its directors and officers. Such litigation could result in significant costs and divert management’s attention and resources from the closing of the Merger and our ongoing business activities.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occurrence of any of these events, individually or in combination, could have a material and adverse effect on our business,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Risks Related to Our Business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Differences between actual experience and actuarial assumptions may adversely affect our financial results, capitalization and financial condition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earnings significantly depend upon the extent to which our actual claims experience and benefit payments on our products are consistent with the assumptions we use in setting prices for our products and establishing liabilities for future policy benefits and claims. Such liabilities are established based on actuarial estimates of how much we will need to pay for future benefits and claims. To the extent that actual claims and benefits experience differs from the underlying assumptions we used in establishing such liabilities, we could be required to increase our liabilities. We make assumptions regarding policyholder behavior at the time of pricing, including the selection and utilization of the guaranteed options inherent within certain of our products and persistency (i.e., the probability that a policy or contract will remain in-force from one period to the next). Persistency could be adversely affected by a number of factors, including adverse economic conditions, as well as by developments affecting policyholder perception of us, including perceptions arising from any potential adverse publicity or adverse rating agency actions. The pricing of our annuity products that contain living benefit guarantees, including our variable annuity products, is also based on assumptions about utilization rates (i.e., the percentage of contracts that will utilize the benefit during the contract duration), including the timing of the first withdrawal. Differences between actual and expected benefit utilization may cause our earnings to vary. A material increase in the valuation of the liability could result to the extent that emerging and actual experience deviates from these policyholder option utilization assumptions; in certain circumstances this deviation may impair our solvency. We conduct an annual actuarial review (the “AAR”) of the key inputs into our actuarial models that rely on management judgment and update any models where we have credible evidence from actual experience, industry data or other relevant sources to seek to ensure our price-setting criteria and reserve valuation practices continue to be appropriate. If actual experience or revised future expectations, including as part of an AAR, result in future projected losses, we may be required to increase our product liabilities through a charge in the then current period, which could negatively affect our business, financial condition and results of operations.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Due to the nature of the underlying risks and the uncertainty associated with the determination of liabilities for future policy benefits and claims, we cannot precisely determine the amounts which we will ultimately pay to settle these liabilities. Such amounts may vary materially from the estimated amounts, particularly when those payments may not occur until well into the future. We evaluate our liabilities periodically based on accounting requirements (which change from time to time), the assumptions and models used to establish the liabilities, as well as our actual experience. If the liabilities originally established for future benefit payments and claims prove inadequate, we will be required to increase them.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199515"/>
                <wp:effectExtent l="0" t="0" r="0" b="0"/>
                <wp:wrapNone/>
                <wp:docPr id="26" name="Frame25"/>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 increase in our reserves for any of the above reasons, individually or in the aggregate, could have a material adverse effect on our financial condition and results of operations and our profitability measures, as well as materially impact our capitalization, Brighthouse Life Insurance Company’s ability to pay dividends, the ability of BHNY or BRCD to pay dividends to Brighthouse Life Insurance Company and our liquidity. This could in turn impact our RBC ratios and our financial strength ratings, which are necessary to support our product sales, and, in certain circumstances, ultimately impact our solvency.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“Management’s Discussion and Analysis of Financial Condition and Results of Operations — Policyholder Liabilities.”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Guarantees within certain of our annuity products may decrease our earnings, decrease our capitalization, increase the volatility of our results, result in higher risk management costs and expose us to increased market risk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of the variable annuity and Shield Annuity products we offer include guaranteed benefits designed to protect contract holders against significant changes in equity markets and interest rates, including guaranteed minimum death benefits and guaranteed minimum withdrawal benefits. While we have guaranteed minimum accumulation benefits (“GMAB”) and guaranteed minimum income benefits (“GMIB”) in-force with respect to which we are obligated to perform, we no longer sell new products that include GMABs or GMIBs. We hold liabilities based on the value of the benefits we expect to be payable under such guarantees in excess of the contract holders’ projected account balances. As a result, any periods of significant and sustained negative or low separate account returns, increased equity volatility, or reduced interest rates could result in an increase in the valuation of our liabilities associated with these guarantees.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we make assumptions regarding policyholder behavior at the time of pricing, including the selection and utilization of the guaranteed options inherent within our products (e.g., utilization of option to annuitize within a GMIB product). An increase in the valuation of the liability could result to the extent emerging and actual experience deviates from these policyholder persistency and option utilization assumptions. We review key actuarial assumptions used to record our variable annuity liabilities on an annual basis, including the assumptions regarding policyholder behavior. Changes to assumptions based on our AAR in future years could result in an increase in the liabilities we record for these guarantees.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Furthermore, our Shield Annuities are index-linked annuities with guarantees for a defined amount of equity loss protection and upside participation. If the separate account assets are insufficient to support the increased liabilities, we may be required to fund such separate accounts with additional assets from our general account. We use derivatives to hedge against equity index movements, and margin calls on such options could have a negative impact on our liquidity.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An increase in our variable annuity or Shield Annuity guarantee liabilities for any of the above reasons, individually or in the aggregate, could have a material adverse effect on our financial condition and results of operations and our profitability measures, as well as materially impact our capitalization, Brighthouse Life Insurance Company’s ability to pay dividends, the ability of BHNY or BRCD to pay dividends to Brighthouse Life Insurance Company and our liquidity. This could in turn impact our RBC ratios and our financial strength ratings, which are necessary to support our product sales, and, in certain circumstances, ultimately impact our solvency.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“Management’s Discussion and Analysis of Financial Condition and Results of Operations — Results of Operations — Annual Actuarial Review” and “Management’s Discussion and Analysis of Financial Condition and Results of Operations — Overview — Financial and Economic Environment.”</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hedging strategy may not be effective, which may result in significant volatility in our profitability measures or may negatively affect our statutory capital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risk management strategy seeks to mitigate the potential adverse effects of changes in capital markets, specifically equity markets and interest rates. Our risk management strategy includes product design strategies, hedging using derivative instruments, as well as reinsurance. We utilize a combination of short-term and longer-term derivative instruments to have a laddered maturity of protection and reduce roll-over risk during periods of market disruption or higher volatility.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However, our hedging strategy, which is a component of our risk management strategy, may not be fully effective. In connection with our risk management strategy, we may determine to seek the approval of applicable regulatory authorities to permit us to increase our hedge limits consistent with those contemplated by the strategy. No assurance can be given that any of our requested approvals will be obtained, and, even if obtained, any such approvals may be subject to qualifications, limitations or conditions. If our capital is depleted due to adverse changes in the capital markets, such depletion may result in a need for additional capital, or the purchase of additional or more expensive hedging protection. Under our hedging strategy, period-to-period changes in the valuation of our hedges relative to the guarantee liabilities may result in significant volatility in certain of our profitability measures, which in certain circumstances could be more significant than has been the case historically.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99515"/>
                <wp:effectExtent l="0" t="0" r="0" b="0"/>
                <wp:wrapNone/>
                <wp:docPr id="27" name="Frame26"/>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hedging instruments we enter into may not effectively offset the costs of the guarantees within certain of our annuity products or may otherwise be insufficient in relation to our obligations. For example, in the event that derivative counterparties or central clearinghouses are unable or unwilling to honor their obligations, we would remain liable for the guaranteed benefits. Furthermore, we are subject to the risk that changes in policyholder behavior or mortality, combined with adverse market events, could produce economic losses outside the scope of our risk management strategy.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cost of our hedging strategy may also be greater than anticipated if adverse market conditions were to limit the availability, and increase the costs of, the derivatives we intend to employ, and such costs may not be recovered in the pricing of the underlying products we offer.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above factors, individually or in the aggregate, could have a material adverse effect on our financial condition and results of operations and our profitability measures, as well as materially impact our capitalization, Brighthouse Life Insurance Company’s ability to pay dividends, the ability of BHNY or BRCD to pay dividends to Brighthouse Life Insurance Company and our liquidity. This could in turn impact our RBC ratios and our financial strength ratings, which are necessary to support our product sales, and, in certain circumstances, ultimately impact our solvency.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may not have sufficient assets to meet our future ULSG policyholder obligations, and changes in interest rates may result in volatility of our profitability measures and capital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primary market risk associated with our ULSG block is the uncertainty around the future levels of U.S. interest rates and bond yields. To help ensure we have sufficient assets to meet future ULSG policyholder obligations, we have employed an actuarial approach based upon Statutory Cash Flow Testing (“ULSG CFT”) to set our ULSG asset requirement target for BRCD, which reinsures the majority of the ULSG business that was previously written by Brighthouse Life Insurance Company. For the business retained by Brighthouse Life Insurance Company, we set our ULSG asset requirement target to equal the actuarially determined statutory reserves, which, taken together with our ULSG asset requirement target for BRCD, comprises our total ULSG asset requirement target (“ULSG Target”). Under the ULSG CFT approach, we assume that interest rates remain flat or lower than current levels, and our actuarial assumptions include a provision for adverse deviation. These underlying assumptions used in ULSG CFT include scenarios that are more conservative than those required under accounting principles generally accepted in the United States of America (“GAAP”), which assumes a long-term mean reversion of interest rates and best estimate actuarial assumptions without additional provisions for adverse deviation.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seek to mitigate exposure to interest rate risk associated with these liabilities by holding invested assets and interest rate derivatives to closely match our ULSG Target in different interest rate environments.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ULSG Target is sensitive to the actual and future expected level of long-term U.S. interest rates. If interest rates fall, our ULSG Target will likely increase, and conversely, if interest rates rise, our ULSG Target will likely decline. We may use interest rate swaps, swaptions and interest rate forwards, among other instruments, to protect our statutory capitalization from increases in the ULSG Target in lower interest rate environments. This risk mitigation strategy may negatively impact our GAAP stockholder’s equity and net income when interest rates rise and our ULSG Target likely declines as a result, since our interest rate derivatives are measured at fair value, while our ULSG liabilities under GAAP are largely insensitive to actual fluctuations in interest rates. The ULSG liabilities under GAAP reflect changes in interest rates only when we revise our long-term assumptions due to sustained changes in the market interest rates, such as when we increased our mean reversion rate from 4.00% to 4.50% in the third quarter of 2025 following our GAAP AAR.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interest rate derivative instruments may not effectively offset the costs of our ULSG policyholder obligations or may otherwise be insufficient. In addition, this risk mitigation strategy may fail to adequately cover a scenario under which our obligations are higher than projected and we may be required to sell investments to cover these increased obligations. If our liquid investments are depleted, we may need to sell higher-yielding, less liquid assets or take other actions, including utilizing contingent liquidity sources or raising capital. The above factors, individually or in the aggregate, could have a material adverse effect on our financial condition and results of operations, or our profitability measures, as well as materially impact our capitalization, Brighthouse Life Insurance Company’s ability to pay dividends, the ability of BHNY or BRCD to pay dividends to Brighthouse Life Insurance Company and our liquidity. This could in turn impact our RBC ratios and our financial strength ratings, which are necessary to support our product sales, and in certain circumstances could ultimately impact our solvency.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199515"/>
                <wp:effectExtent l="0" t="0" r="0" b="0"/>
                <wp:wrapNone/>
                <wp:docPr id="28" name="Frame27"/>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Changes in accounting standards issued by the Financial Accounting Standards Board may adversely affect our financial statements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financial statements are subject to the application of GAAP, which is periodically revised by the Financial Accounting Standards Board (“FASB”). Accordingly, from time to time, we are required to adopt new or revised accounting standards or interpretations issued by the FASB. For example, the FASB issued an accounting standards update that resulted in significant changes to the accounting for long-duration insurance contracts (“LDTI”), which became effective on January 1, 2023. The adoption of LDTI had a significant impact on our financial statements, including total stockholder’s equity. The impact of accounting pronouncements that have been issued but not yet implemented is disclosed in our reports filed with the SEC. The required adoption of future accounting standards could adversely affect our financial statements. See Note 1 of the Notes to the Consolidated Financial Statements.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 downgrade or a potential downgrade in our financial strength ratings could result in a loss of business and materially adversely affect our financial condition and results of operations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Downgrades in our financial strength ratings or changes to our ratings outlooks could have a material adverse effect on our financial condition and results of operations in many ways, including: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reducing new sales of insurance products and annuity products;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losing existing distributors or negatively impacting our ability to establish relationships with new distributors;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adversely affecting our relationships with independent sales intermediaries;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increasing the number or amount of policy surrenders and withdrawals by contract holders and policyholders;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requiring us to reduce prices for many of our products and services to remain competitive;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providing termination rights for the benefit of our derivative instrument counterparties;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providing termination rights to cedents under assumed reinsurance contracts;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adversely affecting our ability to obtain reinsurance at reasonable prices, if at all;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subjecting us to potentially increased regulatory scrutiny;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limiting our access to capital markets or other contingent funding sources;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increasing our cost of capital, which could adversely affect our liquidity.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Credit rating agencies may continue to review and adjust their ratings for the companies that they rate, including us. For example, in July 2025, S&amp;P revised the financial strength ratings for Brighthouse Life Insurance Company and certain affiliates to A from A+, among other revisions. Following the announcement that BHF has entered into the Merger Agreement, rating agencies took certain actions relating to our financial strength ratings. The credit rating agencies also evaluate the insurance industry as a whole and may change our financial strength rating based on their overall view of our industry. See “Management’s Discussion and Analysis of Financial Condition and Results of Operations — Liquidity and Capital Resources — Rating Agencies” for a discussion of the actions taken by rating agencies following the announcement of the Merger and for additional information regarding our financial strength ratings, including current ratings and outlooks.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An inability to access credit facilities could result in a reduction in our liquidity and lead to downgrades in Brighthouse Financial’s credit ratings and our financial strength ratings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Brighthouse Financial had $3.2 billion of total long-term consolidated indebtedness outstanding at December 31, 2025, consisting of debt securities issued to its investors. BHF also has a $1.0 billion senior unsecured revolving credit facility maturing April 15, 2027 (the “Revolving Credit Facility”). The right to borrow funds under the Revolving Credit Facility is subject to the fulfillment of certain conditions, including compliance with all covenants. Failure to comply with the covenants in the Revolving Credit Facility or to fulfill the conditions to borrowings, or the failure of lenders to fund their lending commitments in the amounts provided for under the terms of the Revolving Credit Facility (whether due to insolvency, illiquidity or other reasons), would restrict BHF’s ability to access the Revolving Credit Facility when needed and, consequently, could have a material adverse effect on our financial condition, results of operations and liquidity.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199515"/>
                <wp:effectExtent l="0" t="0" r="0" b="0"/>
                <wp:wrapNone/>
                <wp:docPr id="29" name="Frame28"/>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Reinsurance may not be available, affordable or adequate to protect us against losses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use reinsurance for risk management purposes and to provide opportunities for growth and capital management. While reinsurance agreements generally bind the reinsurer for the life of the business reinsured at generally fixed pricing, market conditions beyond our control determine the availability and cost of the reinsurance protection for new business. The premium rates and other fees that we charge for our products are based, in part, on the assumption that reinsurance will be available at a certain cost. Some of our reinsurance contracts contain provisions that limit the reinsurer’s ability to increase rates on in-force business; however, some do not. We have faced a number of rate increase actions on in-force business in recent years and may face additional increases in the future. There can be no assurance that the outcome of any future rate increase actions would not have a material effect on our financial condition and results of operations. If a reinsurer raises the rates that it charges on a block of in-force business, in some instances, we will not be able to pass the increased costs on to our customers and our profitability will be negatively impacted as a result. Additionally, such a rate increase could result in our recapturing the reinsured business, which could reduce reinsurance receivables and expose us to greater risks. A premium rate increase or our recapturing reinsured business could, in each case, also result in a need to maintain additional reserves. Accordingly, we may be forced to incur additional expenses for reinsurance or may not be able to obtain sufficient reinsurance on acceptable terms, which could limit our opportunities for growth and capital management or result in an increase in the amount of risk that we retain with respect to those policies we issue. See “Business — Reinsurance Activity.”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If the counterparties to our reinsurance or indemnification arrangements or to the derivatives we use to hedge our business risks default or fail to perform, we may be exposed to risks we had sought to mitigate, which could materially adversely affect our financial condition and results of operations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use reinsurance, indemnification and derivatives to mitigate our risks in various circumstances. In general, reinsurance, indemnification and derivatives do not relieve us of our direct liability to our policyholders, even when a third party is liable to us. Accordingly, we bear credit risk with respect to our reinsurers, indemnitors, counterparties and central clearinghouses. A reinsurer’s, indemnitor’s, counterparty’s or central clearinghouse’s insolvency, inability or unwillingness to make payments under the terms of reinsurance agreements, indemnity agreements or derivative agreements with us or inability or unwillingness to return collateral could have a material adverse effect on our financial condition and results of operations.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cede a large block of long-term care insurance business to certain affiliates of Genworth, which results in a significant concentration of reinsurance risk. The Genworth reinsurers’ obligations to us are secured by trust accounts and Citigroup has agreed to indemnify us for losses and certain other payment obligations we might incur with respect to this business. Notwithstanding these arrangements, if the Genworth reinsurers become insolvent and the amounts in the trust accounts are insufficient to pay their obligations to us, it could have a material adverse effect on our financial condition and results of operations. See “Business — Reinsurance Activity — Unaffiliated Third-Party Reinsurance.”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we use derivatives to hedge various business risks. We enter into a variety of OTC-bilateral and OTC-cleared derivatives, including options, forwards, interest rate, credit default and currency swaps. If our counterparties, clearing brokers or central clearinghouses fail or refuse to honor their obligations under these derivatives, our hedges of the related risk will be ineffective. Such failure could have a material adverse effect on our financial condition and results of operations.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may not be able to take credit for reinsurance, our statutory life insurance reinsurance financings may be subject to cost increases and new financings may be subject to limited market capacity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currently utilize reinsurance and capital markets solutions to mitigate the capital impact of the statutory reserve requirements for several of our products, including, but not limited to, our level premium term life products subject to Regulation XXX and ULSG subject to Guideline AXXX. Our primary solution involves BRCD, our reinsurance subsidiary. See “Business — Reinsurance Activity — Affiliated Reinsurance.” BRCD obtained statutory reinsurance financing through a funding structure involving a single financing arrangement supported by a pool of highly rated third-party reinsurers. In connection with this financing arrangement, BRCD, with the explicit permission of the Delaware Commissioner, has included the value of credit-linked notes as admitted assets. See Notes 11 and 12 of the Notes to the Consolidated Financial Statements for a description of the financing arrangement and this associated permitted practice. The financing facility matures in 2039, and we may therefore need to refinance this facility in the future.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NAIC adopted AG 48, which regulates the terms of captive insurer arrangements that are entered into or amended in certain ways after December 31, 2014. See “Business — Regulation — Insurance Regulation — Captive Reinsurer Regulation.” There can be no assurance that, in light of AG 48, future rules and regulations, or changes in interpretations by state insurance departments, we will be able to continue to efficiently implement these arrangements, nor can there be assurances that future capacity for these arrangements will be available in the marketplace. To the extent we cannot continue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199515"/>
                <wp:effectExtent l="0" t="0" r="0" b="0"/>
                <wp:wrapNone/>
                <wp:docPr id="30" name="Frame29"/>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to efficiently implement these arrangements, our statutory capitalization, financial condition and results of operations, as well as our competitiveness, could be adversely affected.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Factors affecting our competitiveness may adversely affect our market share and profitability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competition among insurance companies is based on a number of factors, including service, product features, scale, price, actual or perceived financial strength, claims-paying ratings, e-business capabilities and name recognition. We face intense competition from a large number of other insurance companies, as well as non-insurance financial services companies (e.g., banks, private equity firms, broker-dealers and asset managers). In addition, certain of our distributors also currently offer their own competing products or may offer competing products in the future. Some of our competitors offer a broader array of products, have more competitive pricing or, with respect to other insurance companies, have higher claims-paying ability and financial strength ratings. Some may also have greater financial resources with which to compete. In some circumstances, national banks that sell annuity products of life insurers may also have a pre-existing customer base for financial services products. These competitive pressures may adversely affect the persistency of our products, as well as our ability or decision to sell certain products in the future. In addition, new and disruptive technologies may present competitive risks. If, as a result of competitive factors, our ability to generate profitability consistent with our strategic goals or otherwise, we are unable to generate a sufficient return on products we sell in the future, we may stop selling such products, which could result in adverse rating agency actions and have a material adverse effect on our financial condition and results of operations. See “Business — Competition.”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limited control over many of our costs. For example, we have limited control over the cost of unaffiliated third-party reinsurance, the cost of meeting changing regulatory requirements, and our cost to access capital or financing. There can be no assurance that we will be able to achieve or maintain a cost advantage over our competitors. If our cost structure increases and we are not able to achieve or maintain a cost advantage over our competitors, it could have a material adverse effect on our ability to execute our strategy, as well as on our financial condition and results of operations. If we hold substantially more capital than is needed to support financial strength ratings that are commensurate with our business strategy, over time, our competitive position could be adversely affected.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highly regulated nature of our business, as well as the legislative or other changes affecting the regulatory environment for our business, may, over time, affect our competitive position within the annuities and life insurance industry, and within the broader financial services industry. See “— Regulatory and Legal Risks” and “Business — Regulation.”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Brighthouse Financial may experience difficulty in marketing and distributing products through our distribution channels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distribute our products through a variety of third-party distribution channels. Our agreements with our third-party distributors may be terminated by either party with or without cause. We may periodically renegotiate the terms of these agreements, and there can be no assurance that such terms will remain acceptable to us or such third parties. If we are unable to maintain our relationships, our sales of individual insurance, annuities and investment products could decline, and our financial condition and results of operations could be materially adversely affected. Our distributors may elect to suspend, alter, reduce or terminate their distribution relationships with us for various reasons, including changes in our distribution strategy, adverse developments in our business, adverse rating agency actions, changes in the products we offer, or concerns about market-related risks. We are also at risk that key distribution partners may merge, consolidate, change their business models in ways that affect how our products are sold, or terminate their distribution contracts with us, or that new distribution channels could emerge in the marketplace, any of which could adversely impact the effectiveness of our distribution efforts. Also, if we are unsuccessful in attracting and retaining key internal associates who conduct our business, including wholesalers, our sales could decline.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 interruption or significant change in certain key relationships could materially affect our ability to market our products and could have a material adverse effect on our financial condition and results of operations. In addition, we rely on a core number of our distributors to produce the majority of our sales. If one or more such distributors were to terminate its relationship with us or reduce the amount of sales which it produces for us, our results of operations could be adversely affected. An increase in bank and broker-dealer consolidation activity could increase competition for access to distributors, resulting in greater distribution expenses and an impaired ability to market our products through these channels. Consolidation of distributors or other industry changes may also increase the likelihood that distributors will try to renegotiate the terms of any existing selling agreements to terms less favorable to us.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Because our products are distributed through unaffiliated firms, we may not be able to monitor or control the manner of their distribution despite our training and compliance programs. If our products are distributed by such firms in an inappropriate manner, or to customers for whom such products are not in their best interest, we may suffer reputational and other harm to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199515"/>
                <wp:effectExtent l="0" t="0" r="0" b="0"/>
                <wp:wrapNone/>
                <wp:docPr id="31" name="Frame30"/>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compete with major, well-established stock and mutual life insurance companies and non-insurance financial services companies (e.g., banks, private equity firms, broker-dealers and asset managers) in all of our product offerings, and our distributors sell such competitors’ products along with our products. In addition, certain of our distributors currently offer their own competing products or may offer competing products in the future. If our distributors concentrate their efforts on selling their firm’s own products or our other competitors’ products instead of ours, our sales could be adversely impacted.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The failure of third parties to provide various services to us, or any failure of the practices and procedures that these third parties use to provide services to us, could have a material adverse effect on our business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key part of our operating strategy is to leverage third parties to deliver certain services important to our business, including administrative, operational, technology, financial, investment and actuarial services. There can be no assurance that the services provided to us by third parties (or their suppliers, vendors or subcontractors) will be sufficient to meet our operational and business needs, that such third parties will continue to be able to perform their functions in a manner satisfactory to us, that the practices and procedures of such third parties will continue to enable them to adequately manage any processes they handle on our behalf, or that any remedies available under these third-party arrangements will be sufficient in the event of a dispute or nonperformance. In addition, we continue to leverage third-party service providers for certain administrative systems. There can be no assurance that in connection with any such services, including the transition to new third-party service providers in the future, or in connection with any of the services provided to us by existing third parties (or such third-party’s supplier, vendor or subcontractor), we will not incur unanticipated expenses or experience other economic or reputational harm, service delays or interruptions, or be subject to litigation or regulatory investigations and actions, any of which could have a material adverse effect on our business and financial results.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Furthermore, if a third-party provider (or such third-party’s supplier, vendor or subcontractor) fails to meet contractual obligations or requirements (e.g., compliance with applicable laws and regulations or fails to provide material information on a timely basis) or fails to provide required services due to the result of a cyberattack or other security breach, the loss of key personnel or otherwise, then, in each case, we could suffer economic and reputational harm that could have a material adverse effect on our business and financial reporting. In addition, such failures could result in the loss of key distributors, impact the accuracy of our financial reporting, or subject us to litigation or regulatory investigations and actions, which could have a material adverse effect on our business, financial condition and results of operations. See “— Risks Related to Our Business — Brighthouse Financial may experience difficulty in marketing and distributing products through our distribution channels” and “— Operational Risks — Any failure in our cybersecurity risk management program, as well as the occurrence of events unanticipated in Brighthouse Financial’s or our third-party service providers’ disaster recovery systems and business continuity planning, could result in a loss or disclosure of confidential information, damage to our reputation and impairment of our ability to conduct business effectively.”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Similarly, if any third-party provider (or such third-party’s supplier, vendor or subcontractor) experiences any deficiency in internal controls, determines that its practices and procedures used in providing services to us (including administering any of our policies or managing any of our investments) require review, or otherwise fails to provide services to us in accordance with appropriate standards, we could incur expenses and experience other adverse effects as a result. In such situations, we may be unable to resolve any issues on our own without assistance from the third-party provider, and we could have limited ability to influence the speed and effectiveness of that resolution.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from time to time, certain third parties have brought to our attention practices and procedures used to estimate our reserves with respect to certain products they administer on our behalf that require further review. While we do not believe, based on the information made available to us to date, that any of the matters brought to our attention will require material modifications to reserves or will have a material effect on our business and financial reporting, we are reliant on our third-party service providers to provide further information and assistance with respect to those products. There can also be no assurance that such matters will not require material modifications to reserves or have a material effect on our financial condition or results of operations in the future, or that our third-party service providers will provide further information and assistance.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It may be difficult, disruptive and costly for us to replace some of our third-party providers in a timely manner if in the future they were unwilling or unable to provide us with the services we require (as a result of their financial or business conditions or otherwise), which could have a material adverse effect on our business and financial results. In addition, if a third-party provider raises the rates that it charges us for its services, we may not be able to pass the increased costs onto our customers and our profitability may be negatively impacted as a result.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199515"/>
                <wp:effectExtent l="0" t="0" r="0" b="0"/>
                <wp:wrapNone/>
                <wp:docPr id="32" name="Frame31"/>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Changes in our deferred income tax assets or liabilities, including changes in our ability to realize our deferred income tax assets, could adversely affect our financial condition or results of operations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Deferred income tax represents the tax effect of the differences between the book and tax bases of assets and liabilities. Deferred income tax assets are assessed periodically by management to determine whether they are realizable. Factors in management’s determination include the performance of the business, including the ability to generate future taxable income. If, based on available information, it is more likely than not that the deferred income tax asset will not be realized, then a valuation allowance must be established with a corresponding charge to our profitability measures. Such charges could have a material adverse effect on our financial condition and results of operations. Significant changes in the estimates of future taxable income used in determining a valuation allowance, new information or changes in tax laws, tax regulations or interpretations of such laws or regulations could affect the value of our deferred income tax assets and may require a write-off of some of those assets. See “Management’s Discussion and Analysis of Financial Condition and Results of Operations — Summary of Critical Accounting Estimates.”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Risks associated with climate change could adversely affect our business, financial condition and results of operations.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Climate change could pose a systemic risk to the global financial system. Climate change could increase the frequency and severity of weather-related disasters and pandemics. Efforts to reduce greenhouse gas emissions and limit global warming could impact global investment asset valuations. There is also a risk that some asset sectors could face significantly higher costs and a disorderly adjustment to asset values leading to an adverse impact on the value and future performance of investment assets as a result of climate change or regulatory or other responses. Climate change could also impact our counterparties and other third parties, including, among others, reinsurers and derivative counterparties. Increasing scrutiny and evolving expectations from investors, customers, regulators, and other stakeholders regarding climate change matters may adversely affect our reputation. The above risks could adversely affect our business, financial condition and results of operations.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Public health crises, extreme mortality events or similar occurrences may adversely impact our business, financial condition, or results of operations, as well as the economy in general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Public health crises, extreme mortality events or other similar occurrences could have a major impact on the global economy and the financial markets or the economies of particular countries or regions, including market volatility and disruptions to commerce, the health system, and the food supply, as well as reduced economic activity and labor shortages. In addition, a public health crisis that affected our associates or the employees of our distributors or of other companies with which we do business, including providers of third-party services, could disrupt our business operations. Furthermore, the value of our investment portfolio could be negatively impacted. See “— Risks Related to Our Investment Portfolio — Ongoing military actions, the continued threat of terrorism, climate change as well as other catastrophic events may adversely affect the value of our investment portfolio and the level of claim losses we incur.”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Economic uncertainty resulting from a public health crisis or similar event could impact sales of certain of our products, and we may decide or otherwise be required to provide relief to customers adversely affected by such an event, similar to the relief we provided in connection with the COVID-19 pandemic.</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our life insurance operations are exposed to the risk of catastrophic mortality, such as a pandemic or other event that causes a large number of deaths. For example, the COVID-19 pandemic and several significant influenza pandemics have occurred in the last century. The likelihood, timing, and severity of a future pandemic that may impact our policyholders cannot be predicted. Moreover, the impact of climate change could cause changes in the frequency or severity of outbreaks of certain diseases. Circumstances resulting from a public health crisis or similar event could affect the incidence of claims, utilization of benefits, lapses or surrenders of policies and payments on insurance premiums, any of which could impact the revenues and expenses associated with our products.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Consistent with industry practice and accounting standards, we establish liabilities for claims arising from a catastrophe only after assessing the probable losses arising from the event. We cannot be certain that the liabilities we have established will be adequate to cover actual claim liabilities. A catastrophic event or multiple catastrophic events could have a material adverse effect on our business, financial condition and results of operations. Conversely, improvements in medical care and other developments which positively affect life expectancy can cause our assumptions with respect to longevity, which we use when we price our products, to become incorrect and, accordingly, can adversely affect our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199515"/>
                <wp:effectExtent l="0" t="0" r="0" b="0"/>
                <wp:wrapNone/>
                <wp:docPr id="33" name="Frame32"/>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Brighthouse Financial could face difficulties, unforeseen liabilities, asset impairments or rating actions arising from business acquisitions or dispositions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engage in dispositions or acquisitions of businesses. Such activity exposes us to a number of risks arising from (i) potential difficulties achieving projected financial results, including the costs and benefits of integration or deconsolidation; (ii) unforeseen liabilities or asset impairments; (iii) the scope and duration of rights to indemnification for losses; (iv) the use of capital which could be used for other purposes; (v) rating agency reactions; (vi) regulatory requirements that could impact our operations or capital requirements; (vii) changes in statutory accounting principles or GAAP, practices or policies; and (viii) certain other risks specifically arising from activities relating to a legal entity reorganization.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ability to achieve certain financial benefits we anticipate from any acquisitions of businesses will depend, in part, upon our ability to successfully integrate such businesses in an efficient and effective manner. There may be liabilities or asset impairments that we fail, or are unable, to discover in the course of performing acquisition-related due diligence reviews. Furthermore, even for obligations and liabilities that we do discover during the due diligence process, neither the valuation adjustment nor the contractual protections we negotiate may be sufficient to fully protect us from losses.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from time to time dispose of business or blocks of in-force business through outright sales, reinsurance transactions or by alternate means. After a disposition, we may remain liable to the acquirer or to third parties for certain losses or costs arising from the divested business or on other bases. We also may not realize the anticipated profit on a disposition or incur a loss on the disposition. In anticipation of any disposition, we may need to restructure our operations, which could disrupt such operations and affect our ability to recruit key personnel needed to operate and grow such business pending the completion of such transaction. In addition, the actions of key employees of the business to be divested could adversely affect the success of such disposition as they may be more focused on obtaining employment, or the terms of their employment, than on maximizing the value of the business to be divested. Furthermore, transition services or tax arrangements related to any such disposition could further disrupt our operations and may impose restrictions, liabilities, losses or indemnification obligations on us. Depending on its particulars, a disposition could increase our exposure to certain risks, such as by decreasing the diversification of our sources of revenue. Moreover, we may be unable to timely dissolve all contractual relationships with the divested business in the course of the proposed transaction, which may materially adversely affect our ability to realize value from the disposition. Such disposition could also adversely affect our internal controls and procedures and impair our relationships with key customers, distributors and suppliers. An interruption or significant change in certain key relationships could materially affect our ability to market our products and could have a material adverse effect on our business, financial condition and results of operations.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Continued scrutiny and evolving expectations from investors, customers, regulators and other stakeholders regarding environmental, social and governance matters may adversely affect our reputation or otherwise adversely impact our business and results of operations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is continued scrutiny and evolving expectations, as well as conflicting expectations, from investors, customers, regulators and other stakeholders on environmental, social and governance (“ESG”) practices and disclosures, including those related to environmental stewardship, climate change, workplace conduct and other social and political mandates. Regulators have imposed and may continue to impose ESG-related rules and guidance, which may conflict with one another and impose additional costs on us or expose us to new or additional risks. In view of evolving regulatory expectations, investor scrutiny, and changing consumer preferences and social expectations, ESG issues can represent emerging or unforeseen risks to our long-term operating performance and financial condition. Moreover, certain organizations that provide information to investors have developed ratings for evaluating companies on their approach to different ESG matters, and unfavorable ratings of the Company or our industry may lead to negative investor sentiment and the diversion of investment to other companies or industries.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Economic Environment and Capital Markets-Related Risks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If difficult conditions in the capital markets and the U.S. economy generally persist or are perceived to persist, they may materially adversely affect our business and results of operations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and results of operations are materially affected by conditions in the capital markets and the U.S. economy generally, as well as by the global economy to the extent it affects the U.S. economy. In addition, while our operations are entirely in the U.S., we have foreign investments in our general and separate accounts and, accordingly, conditions in the global capital markets can affect the value of our general account and separate account assets, as well as our financial results. Actual or perceived stressed conditions, volatility and disruptions in financial asset classes or various capital markets can have an adverse effect on us, both because we have a large and well-diversified investment portfolio and our benefit and claim liabilities are sensitive to changing market factors, including interest rates, credit spreads, equity and commodity prices, derivative prices and availability, real estate markets, foreign currency exchange rates and the returns and volatility of capital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199515"/>
                <wp:effectExtent l="0" t="0" r="0" b="0"/>
                <wp:wrapNone/>
                <wp:docPr id="34" name="Frame33"/>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markets. In an economic downturn characterized by rapid increases in inflation, higher unemployment, lower family income, lower corporate earnings, lower business investment or lower consumer spending, the demand for our products could be adversely affected as customers are unwilling or unable to purchase them. In addition, we may experience an elevated incidence of claims, adverse utilization of benefits relative to our best estimate expectations and lapses or surrenders of policies. Furthermore, our policyholders may choose to defer paying insurance premiums or stop paying insurance premiums altogether. Such adverse changes in the economy could negatively affect our earnings and capitalization and have a material adverse effect on our financial condition, our results of operations, Brighthouse Life Insurance Company’s ability to pay dividends and the ability of BHNY or BRCD to pay dividends to Brighthouse Life Insurance Company. In addition, adverse economic conditions could have a material impact on our investment portfolio.</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Significant market volatility in reaction to the evolving and uncertain regulatory, legal and geopolitical landscape in the U.S. and abroad due to tariffs, trade disputes, changing monetary policy, uncertain fiscal policy, military conflicts and the political environment may exacerbate some of the risks we face. Increased market volatility may affect the performance of the various asset classes in which we invest, as well as separate account values. See “Management’s Discussion and Analysis of Financial Condition and Results of Operations — Overview — Financial and Economic Environment.”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Extreme declines or shocks in equity markets, as well as sustained stagnation and persistent low interest rates, could cause us to incur significant capital or operating losses due to, among other reasons, the impact of guarantees related to our annuity products, including increases in liabilities, increased capital requirements, or collateral requirements. Furthermore, periods of sustained stagnation in equity and bond markets, which are characterized by multiple years of low annualized total returns impacting the growth in separate accounts or low level of U.S. interest rates, may materially increase our insurance contract liabilities due to inherent market return guarantees in these liabilities. Similarly, sustained periods of low interest rates and risk asset returns could reduce income from our investment portfolio, increase our insurance contract liabilities, and increase the cost of risk transfer measures such as hedging, causing our profit margins to erode as a result of reduced investment portfolio income and increased insurance liabilities. See also “— Risks Related to Our Business — Guarantees within certain of our annuity products may decrease our earnings, decrease our capitalization, increase the volatility of our results, result in higher risk management costs and expose us to increased market risk” and “— Risks Related to Our Business — Public health crises, extreme mortality events or similar occurrences may adversely impact our business, financial condition, or results of operations, as well as the economy in general.”</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Adverse capital and credit market conditions may significantly affect our ability to meet liquidity needs and our access to capital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capital and credit markets may be subject to periods of extreme volatility. Disruptions in capital markets could adversely affect our liquidity and credit capacity or limit our access to capital which may in the future be needed to operate our business and meet policyholder obligations.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need liquidity to pay our operating expenses, pay interest on our indebtedness and provide our subsidiaries with cash or collateral. Furthermore, we need liquidity to maintain our securities lending activities, to replace certain maturing liabilities and to post collateral for derivative transactions. Without sufficient liquidity, we could be forced to curtail our operations and limit the investments necessary to grow our business.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principal sources of liquidity are insurance premiums and fees paid in connection with annuity products, as well as cash flows from our investment portfolio to the extent consisting of cash and readily marketable securities.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event capital markets or other conditions have an adverse impact on our capital and liquidity, or our stress-testing indicates that such conditions could have an adverse impact beyond expectations and our current resources do not satisfy our needs or regulatory requirements, we may have to seek additional financing to enhance our capital and liquidity position. The availability of additional financing will depend on a variety of factors, such as the then current market conditions, regulatory capital requirements, availability of credit to us and the financial services industry generally, our financial strength ratings and financial leverage, and the perception of our customers and lenders regarding our long- or short-term financial prospects if we incur large operating or investment losses or if the level of our business activity decreases due to a market downturn. Similarly, our access to funds may be impaired if regulatory authorities or rating agencies take negative actions against us. Our internal sources of liquidity may prove to be insufficient and, in such case, we may not be able to successfully obtain additional financing on favorable terms, or at all.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our liquidity requirements may change if, among other things, we are required to return significant amounts of cash collateral on short notice under securities lending agreements or other collateral requirements. See “— Risks Related to Our Investment Portfolio — Our investment portfolio is subject to significant financial risks both in the U.S. and global financial markets, including credit risk, interest rate risk, inflation risk, market valuation risk, liquidity risk, real estate risk,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199515"/>
                <wp:effectExtent l="0" t="0" r="0" b="0"/>
                <wp:wrapNone/>
                <wp:docPr id="35" name="Frame34"/>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derivatives risk, and other factors outside our control, the occurrence of any of which could have a material adverse effect on our financial condition and results of operations.”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financial condition, results of operations, cash flows and statutory capital position could be materially adversely affected by disruptions in the financial markets, as such disruptions may limit our ability to replace, in a timely manner, maturing liabilities, satisfy regulatory capital requirements, and access the capital that may be necessary to grow our business. See “— Regulatory and Legal Risks — Our business is highly regulated, and changes in regulation and in supervisory and enforcement policies or interpretations thereof may materially impact our capitalization or cash flows, reduce our profitability and limit our growth.” As a result, we may be forced to delay raising capital, issue different types of securities than we would have otherwise, less effectively deploy such capital, issue shorter tenor securities than we prefer, or bear an unattractive cost of capital, which could decrease our profitability and significantly reduce our financial flexibility.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are exposed to significant financial and capital markets risks which may adversely affect our financial condition, results of operations and liquidity, and may cause our profitability measures to vary from period-to-period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Economic risks and other factors described below, as well as significant volatility in the markets, individually or collectively, could have a material adverse effect on our financial condition, results of operations, liquidity or cash flows through a change in our insurance liabilities or increases in reserves for future policyholder benefits.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Interest Rate Risk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Some of our current or anticipated future products, principally whole life, universal life, fixed, index-linked and income annuities, as well as funding agreements and structured settlements, expose us to the risk that changes in interest rates will reduce our investment margin or “net investment spread,” or the difference between the amounts that we are required to pay under the contracts in our general account and the rate of return we earn on general account investments intended to support the obligations under such contracts. Our net investment spread is a key component of our profitability measures.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reducing interest crediting rates can help offset decreases in net investment spreads on some products, our ability to reduce these rates is limited to the portion of our in-force product portfolio that has adjustable interest crediting rates and could also be limited by the actions of our competitors or contractually guaranteed minimum rates and may not match the timing or magnitude of changes in asset yields. As a result, a decrease in interest rates could cause our net investment spread to decrease or potentially become negative, which could have a material adverse effect on our financial condition and results of operations. See “Management’s Discussion and Analysis of Financial Condition and Results of Operations — Policyholder Liabilities.”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 increase in interest rates could result in decreased fee revenue associated with a decline in the value of variable annuity account balances invested in fixed income funds. In addition, during periods of declining interest rates, our return on investments that do not support particular policy obligations may decrease. During periods of sustained lower interest rates, our reserves for policy liabilities may not be sufficient to meet future policy obligations and may need to be strengthened. Accordingly, declining and sustained lower interest rates may materially adversely affect our financial condition and results of operations, Brighthouse Life Insurance Company’s ability to pay dividends and the ability of BHNY or BRCD to pay dividends to Brighthouse Life Insurance Company, and significantly reduce our profitability. We may therefore have to accept a lower investment return and lower profitability or face a decline in sales and greater loss of existing contracts and related assets.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because our interest rate hedging program is primarily a risk mitigation strategy intended to reduce our risk to statutory capitalization and long-term economic exposures from sustained low levels of interest rates, this strategy will likely result in higher net income volatility due to the insensitivity of related ULSG GAAP liabilities to the change in interest rate levels. This strategy may adversely affect our financial condition and results of operations. See “— Risks Related to Our Business — We may not have sufficient assets to meet our future ULSG policyholder obligations, and changes in interest rates may result in volatility of our profitability measures and capital.”</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Inflation Risk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Inflation increases our expenses (including, among others, for labor and third-party services), potentially putting pressure on our profitability in the event that such additional costs cannot be passed through to policyholders. High inflation could also cause a change in consumer sentiment and behavior adversely affecting the sales of certain of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199515"/>
                <wp:effectExtent l="0" t="0" r="0" b="0"/>
                <wp:wrapNone/>
                <wp:docPr id="36" name="Frame35"/>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Equity Risk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sell certain spread-based annuity products that expose us to the risk that changes in equity markets will reduce our investment margin, as higher equity markets would require us to credit more under the contracts. These products include index-linked annuities where the crediting rate is determined by reference to the performance of an underlying index. We are also exposed to equity risk related to certain guarantees found in fee-based products, such as variable annuities (as sustained lower equity markets may increase our liabilities) and certain of our businesses where fee income is earned based upon the estimated market value of the assets under management (“AUM”) in both the separate and general account. Because fees generated by such products are primarily related to the value of AUM, a decline in the equity markets could reduce our revenues as a result of the reduction in the value of the investment assets supporting those products and services.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manage our exposures to equity risk through product design strategies such as selling products or introducing product features that provide a risk offset to each other, hedging using derivative instruments, as well as reinsurance. However, such derivatives and reinsurance may become less available and, if they remain available, their price could materially increase in a period characterized by volatile equity markets.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 Risks Related to Our Business — Guarantees within certain of our annuity products may decrease our earnings, decrease our capitalization, increase the volatility of our results, result in higher risk management costs and expose us to increased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Risks Related to Our Investment Portfolio</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Credit Risk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Fixed income securities and mortgage loans represent a significant portion of our investment portfolio. We are also subject to the risk that the issuers or guarantors of the fixed income securities and mortgage loans in our investment portfolio may default on principal and interest payments they owe us. In addition, the underlying collateral within asset-backed securities (“ABS”), including mortgage-backed securities, may default on principal and interest payments causing an adverse change in cash flows. The occurrence of a major economic downturn, acts of corporate malfeasance, widening mortgage or credit spreads, or other events that adversely affect the issuers, guarantors or underlying collateral of these securities and mortgage loans could cause the estimated fair value of our portfolio of fixed income securities and mortgage loans and our earnings to decline and the default rate of the fixed income securities and mortgage loans in our investment portfolio to increase.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Defaults or deteriorating credit of other financial institutions could adversely affect us as we have exposure to many different industries and counterparties and routinely execute transactions with counterparties in the financial services industry, including brokers and dealers, central clearinghouses, commercial banks, investment banks, hedge funds and investment funds and other financial institutions. Many of these transactions expose us to credit risk in the event of the default of our counterparty. In addition, with respect to secured transactions, our credit risk may be exacerbated when the collateral held by us cannot be realized or is liquidated at prices not sufficient to recover the full amount of the loan or derivative exposure due to us. We also have exposure to these financial institutions in the form of unsecured debt instruments, non-redeemable and redeemable preferred securities, derivatives, joint ventures and equity investments. Any losses or impairments to the carrying value of these investments or other changes could materially and adversely affect our financial condition and results of operations.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Interest Rate Risk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exposed to certain risks in a variety of interest rate environments. When interest rates are low, we may be forced to reinvest proceeds from investments that have matured or have been prepaid or sold at lower yields, which will reduce our net investment income. Moreover, borrowers may prepay or redeem the fixed income securities and commercial, agricultural or residential mortgage loans in our investment portfolio with greater frequency in order to borrow at lower market rates, thereby exacerbating this risk.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Increases in interest rates could negatively affect our profitability. In periods of rapidly increasing interest rates, we may not be able to replace, in a timely manner, the investments in our general account with higher-yielding investments needed to fund the higher crediting rates necessary to keep interest rate sensitive products competitive. In addition,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199515"/>
                <wp:effectExtent l="0" t="0" r="0" b="0"/>
                <wp:wrapNone/>
                <wp:docPr id="37" name="Frame36"/>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interest rates rise, policy loans, surrenders and withdrawals may increase as policyholders seek investments with higher perceived returns. This process may result in cash outflows requiring that we sell investments at a time when the prices of those investments are adversely affected by the increase in interest rates, which may result in realized investment losses. An increase in interest rates could also have a material adverse effect on the value of our investments, for example, by decreasing the estimated fair values of the fixed income securities and mortgage loans that comprise a significant portion of our investment portfolio.</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Inflation Risk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sustained or material increase in inflation could affect our business in several ways. During inflationary periods, the value of fixed income investments may fall, which could increase realized and unrealized losses. Interest rates may increase in the future due to central bank policy responses to combat inflation, which may positively impact our business in certain respects, but could also increase the risk of a recession or an equity market downturn and could negatively impact various portions of our business, including our investment portfolio. Prolonged and elevated inflation could adversely affect the financial markets and the economy generally, and dispelling it may require governments to pursue a restrictive fiscal and monetary policy, which could constrain overall economic activity and inhibit revenue growth. See “Management’s Discussion and Analysis of Financial Condition and Results of Operations — Overview — Financial and Economic Environment.”</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Market Valuation Risk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Market valuation risk relates to the variability in the estimated fair value of investments associated with changes in market factors. Our portfolio’s market valuation risks include the following: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u w:val="single"/>
        </w:rPr>
        <w:t>Credit Spread Risk</w:t>
      </w:r>
      <w:r>
        <w:rPr>
          <w:color w:val="000000"/>
        </w:rPr>
        <w:t xml:space="preserve"> – </w:t>
      </w:r>
      <w:r>
        <w:rPr>
          <w:rFonts w:ascii="Times New Roman;serif" w:hAnsi="Times New Roman;serif"/>
          <w:b w:val="false"/>
          <w:color w:val="000000"/>
          <w:sz w:val="20"/>
        </w:rPr>
        <w:t>We are exposed to credit spread risk primarily as a result of market price volatility and investment risk associated with the fluctuation in credit spreads. Widening credit spreads may cause unrealized losses in our investment portfolio and increase losses associated with written credit protection derivatives used in replication transactions. Additionally, an increase in credit spreads relative to U.S. Treasury benchmarks can also adversely affect the cost of our borrowing if we need to access credit markets. Tightening credit spreads may reduce our investment income and cause an increase in the reported value of certain liabilities that are valued using a discount rate that reflects our own credit spread.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u w:val="single"/>
        </w:rPr>
        <w:t>Risks Related to Equity Markets</w:t>
      </w:r>
      <w:r>
        <w:rPr>
          <w:color w:val="000000"/>
        </w:rPr>
        <w:t xml:space="preserve"> – </w:t>
      </w:r>
      <w:r>
        <w:rPr>
          <w:rFonts w:ascii="Times New Roman;serif" w:hAnsi="Times New Roman;serif"/>
          <w:b w:val="false"/>
          <w:color w:val="000000"/>
          <w:sz w:val="20"/>
        </w:rPr>
        <w:t>A portion of our investments are in leveraged buy-out funds and other private equity funds. The amount and timing of net investment income from such funds tends to be uneven as a result of the performance of the underlying investments. As a result, the amount of net investment income from these investments can vary substantially from period-to-period. Significant volatility could adversely impact returns and net investment income on these investments. In addition, the estimated fair value of such investments may be affected by downturns or volatility in equity or other markets.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u w:val="single"/>
        </w:rPr>
        <w:t>Risks Related to the Valuation of Securities</w:t>
      </w:r>
      <w:r>
        <w:rPr>
          <w:color w:val="000000"/>
        </w:rPr>
        <w:t xml:space="preserve"> – </w:t>
      </w:r>
      <w:r>
        <w:rPr>
          <w:rFonts w:ascii="Times New Roman;serif" w:hAnsi="Times New Roman;serif"/>
          <w:b w:val="false"/>
          <w:color w:val="000000"/>
          <w:sz w:val="20"/>
        </w:rPr>
        <w:t>Fixed maturity and equity securities, as well as short-term investments that are reported at estimated fair value, represent the majority of our total cash and investments. See Note 1 to the Notes to the Consolidated Financial Statements for more information on how we calculate fair value. During periods of market disruption, including periods of significantly rising or high interest rates, rapidly widening credit spreads or illiquidity, it may be difficult to value certain of our securities if trading becomes less frequent or market data becomes less observable. In addition, in times of financial market disruption, certain asset classes that were in active markets with significant observable data may become illiquid. In those cases, the valuation process includes inputs that are less observable and require more subjectivity and management judgment. Valuations may result in estimated fair values which vary significantly from the amount at which the investments may ultimately be sold. Further, rapidly changing and unprecedented credit and equity market conditions could materially impact the valuation of securities as reported within our consolidated financial statements and the period-to-period changes in estimated fair value could vary significantly. Decreases in the estimated fair value of securities we hold could have a material adverse effect on our financial condition and results of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u w:val="single"/>
        </w:rPr>
        <w:t>Risks Related to the Determination of Allowances and Impairments</w:t>
      </w:r>
      <w:r>
        <w:rPr>
          <w:color w:val="000000"/>
        </w:rPr>
        <w:t xml:space="preserve"> – </w:t>
      </w:r>
      <w:r>
        <w:rPr>
          <w:rFonts w:ascii="Times New Roman;serif" w:hAnsi="Times New Roman;serif"/>
          <w:b w:val="false"/>
          <w:color w:val="000000"/>
          <w:sz w:val="20"/>
        </w:rPr>
        <w:t xml:space="preserve">The determination of the amount of allowances and impairments is subjective and varies by investment type, which is based on our periodic evaluation and assessment of known and inherent risks associated with the respective asset class. However, historical trends may not be indicative of future impairments or allowances.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u w:val="single"/>
        </w:rPr>
        <w:t>Gross Unrealized Losses on Fixed Maturity Securities and Related Impairment Risks</w:t>
      </w:r>
      <w:r>
        <w:rPr>
          <w:color w:val="000000"/>
        </w:rPr>
        <w:t xml:space="preserve"> – </w:t>
      </w:r>
      <w:r>
        <w:rPr>
          <w:rFonts w:ascii="Times New Roman;serif" w:hAnsi="Times New Roman;serif"/>
          <w:b w:val="false"/>
          <w:color w:val="000000"/>
          <w:sz w:val="20"/>
        </w:rPr>
        <w:t xml:space="preserve">Unrealized gains or losses on fixed maturity securities classified as available-for-sale (“AFS”) securities are recognized as a component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199515"/>
                <wp:effectExtent l="0" t="0" r="0" b="0"/>
                <wp:wrapNone/>
                <wp:docPr id="38" name="Frame37"/>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other comprehensive income (loss) (“OCI”) and are, therefore, excluded from our profitability measures. The accumulated change in estimated fair value of these AFS securities is recognized in our profitability measures when the gain or loss is realized upon the sale of the security or in the event that the decline in estimated fair value is determined to be credit-related and impairment charges are taken.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u w:val="single"/>
        </w:rPr>
        <w:t>Defaults, Downgrades or Other Events Affecting Issuers or Guarantors of Securities and Related Impairment Risks</w:t>
      </w:r>
      <w:r>
        <w:rPr>
          <w:color w:val="000000"/>
        </w:rPr>
        <w:t xml:space="preserve"> – </w:t>
      </w:r>
      <w:r>
        <w:rPr>
          <w:rFonts w:ascii="Times New Roman;serif" w:hAnsi="Times New Roman;serif"/>
          <w:b w:val="false"/>
          <w:color w:val="000000"/>
          <w:sz w:val="20"/>
        </w:rPr>
        <w:t>The occurrence of a major economic downturn, acts of corporate malfeasance, widening credit spreads, or other events that adversely affect the issuers or guarantors of securities or the underlying collateral of residential mortgage-backed securities (“RMBS”), commercial mortgage-backed securities (“CMBS”) and ABS (collectively, “Structured Securities”) could cause the estimated fair value of our fixed maturity securities portfolio and corresponding net investment income to decline and cause the default rate of the fixed maturity securities in our portfolio to increase. A ratings downgrade affecting issuers or guarantors of particular securities, or similar trends that could worsen the credit quality of issuers, such as the corporate issuers of securities in our portfolio, could also have a similar effect. Economic uncertainty can adversely affect credit quality of issuers or guarantors. Similarly, a ratings downgrade affecting a security we hold could indicate the credit quality of that security has deteriorated and could increase the capital we must hold to support that security to maintain our RBC levels. Our intent to sell or assessment of the likelihood that we would be required to sell fixed maturity securities that have declined in value may affect the level of write-downs or impairments.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Liquidity Risk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may be a limited market for certain investments we hold in our investment portfolio, making them relatively illiquid. These include privately-placed fixed maturity securities, derivative instruments such as options, mortgage loans, policy loans, leveraged leases, other limited partnership interests, and real estate equity, such as real estate limited partnerships, limited liability companies and funds. In the past, even some of our very high-quality investments experienced reduced liquidity during periods of market volatility or disruption. If we were forced to sell certain of our investments during periods of market volatility or disruption, market prices may be lower than our carrying value in such investments. This could result in realized losses which could have a material adverse effect on our financial condition and results of operations, as well as our financial ratios, which could affect compliance with our credit instruments and rating agency capital adequacy measures. Moreover, our ability to sell assets could be limited if other market participants are seeking to sell fungible or similar assets at the same time.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Similarly, we loan blocks of our securities to third parties (primarily brokerage firms and commercial banks) through our securities lending program, including fixed maturity securities and short-term investments.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are required to return significant amounts of cash collateral in connection with our securities lending or otherwise need significant amounts of cash on short notice and we are forced to sell securities, we may have difficulty selling such collateral that is invested in securities in a timely manner, be forced to sell securities in a volatile or illiquid market for less than we otherwise would have been able to realize in normal market conditions, or both. In the event of a forced sale, accounting guidance requires the recognition of a loss for securities in an unrealized loss position and may require the impairment of other securities based on our ability to hold those securities, which would negatively impact our financial condition and results of operations, as well as our financial ratios, which could affect compliance with our credit instruments and rating agency capital adequacy measures. In addition, under stressful capital markets and economic conditions, liquidity broadly deteriorates, which could further restrict our ability to sell securities. Furthermore, if we decrease the amount of our securities lending activities over time, the amount of net investment income generated by these activities will also likely decline.</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Real Estate Risk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portion of our investment portfolio consists of mortgage loans on commercial, agricultural and residential real estate. Our exposure to this risk stems from various factors, including the supply and demand of leasable commercial space, creditworthiness of tenants and partners, capital markets volatility, interest rate fluctuations, agricultural prices and farm incomes. Although we manage credit risk and market valuation risk for our commercial, agricultural and residential real estate assets through geographic, property type and product type diversification and asset allocation, general economic conditions in the commercial, agricultural and residential real estate sectors will continue to influence the performance of these investments. These factors, which are beyond our control, could have a material adverse effect on our financial condition, results of operations, liquidity or cash flows.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Mortgage loans in our portfolio also face default risk. An increase in the default rate of our mortgage loan investments or fluctuations in their performance could have a material adverse effect on our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199515"/>
                <wp:effectExtent l="0" t="0" r="0" b="0"/>
                <wp:wrapNone/>
                <wp:docPr id="39" name="Frame38"/>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any geographic or property type concentration of the mortgage loans in our portfolio may have adverse effects on our portfolio and, consequently, on our financial condition and results of operations. Events or developments that have a negative effect on any particular geographic region or sector may have a greater adverse effect on our investment portfolio to the extent that the portfolio is concentrated. See Notes 8 and 10 of the Notes to the Consolidated Financial Statements.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Derivative Risk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use a variety of strategies to manage risk related to our ongoing business operations, including the use of derivatives. Our derivative counterparties’ defaults could have a material adverse effect on our financial condition and results of operations. In addition, ratings downgrades or financial difficulties of derivative counterparties may require us to utilize additional capital with respect to the affected businesses. Furthermore, the valuation of our derivatives could change based on changes to our valuation methodology or the discovery of errors.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Substantially all of our derivative transactions require us to pledge or receive collateral or make payments related to any decline in the net estimated fair value of such derivative transactions. The amount of collateral we may be required to pledge and the payments we may be required to make under our derivative transactions may increase under certain circumstances as a result of the requirement to pledge initial margin or variation margin for OTC-bilateral transactions. Such requirements could adversely affect our liquidity, expose us to central clearinghouse and counterparty credit risk, or increase our costs of hedging. See “Business — Regulation — Regulation of Over-the-Counter Derivatives.”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Other Risks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also exposed to other risks outside of our control, including foreign currency exchange rate risk relating to the variability in currency exchange rates for non-U.S. dollar denominated investments, as well as other financial and operational risks related to using external asset management firms.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Ongoing military actions, the continued threat of terrorism, climate change as well as other catastrophic events may adversely affect the value of our investment portfolio and the level of claim losses we incur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Ongoing military actions (including the ongoing armed conflicts in Europe and the Middle East), the continued threat of terrorism, both within the U.S. and abroad, and heightened security measures in response to these types of threats, as well as climate change and other natural or man-made catastrophic events, may cause significant decline and volatility in global financial markets and result in loss of life, property damage, additional disruptions to commerce, the health system, and the food supply and reduced economic activity. The effects of climate change could cause changes in weather patterns, resulting in more severe and more frequent natural disasters such as forest fires, hurricanes, tornados, floods and storm surges. The value of assets in our investment portfolio may be adversely affected by declines in the credit and equity markets and reduced economic activity caused by the continued threat of catastrophic events. Companies in which we maintain investments may suffer losses as a result of financial, commercial or economic disruptions and such disruptions might affect the ability of those companies to pay interest or principal on their securities or mortgage loans. Catastrophic events could also disrupt our operations as well as the operations of our third-party service providers and also result in higher than anticipated claims under insurance policies that we have issued. See “Management’s Discussion and Analysis of Financial Condition and Results of Operations — Policyholder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Regulatory and Legal Risks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business is highly regulated, and changes in regulation and in supervisory and enforcement policies or interpretations thereof may materially impact our capitalization or cash flows, reduce our profitability and limit our growth</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a wide variety of insurance and other laws and regulations. We are subject to regulation by our primary Delaware state regulators as well as New York state regulators where our subsidiary, BHNY, is domiciled, along with other regulations in states in which we operate. Changes in these laws and regulations could adversely affect our business, financial condition and results of operations. See “Business — Regulation,” as supplemented by discussions of regulatory developments in our subsequently filed Quarterly Reports on Form 10-Q under the caption “Management’s Discussion and Analysis of Financial Condition and Results of Operations — Regulatory Developments.”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we cannot predict what proposals may be made, what legislation or regulations may be introduced or enacted, or what impact any future legislation or regulations could have on our business, financial condition and results of operations, including the cost of any such compliance. Furthermore, regulatory uncertainty could create confusion among our distribution partners and customers, which could negatively impact product sales. See “Business — Regulation — Standard of Conduct Regulation” for a more detailed discussion of particular regulatory efforts by various regulators.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199515"/>
                <wp:effectExtent l="0" t="0" r="0" b="0"/>
                <wp:wrapNone/>
                <wp:docPr id="40" name="Frame39"/>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Changes to the laws and regulations that govern the standards of conduct that apply to the sale of our products, as well as the firms that distribute our products, could adversely affect our operations and profitability. Such changes could increase our regulatory and compliance burden, resulting in increased costs, or limit the type, amount or structure of compensation arrangements into which we may enter with certain of our associates, which could negatively impact our ability to compete with other companies, including with respect to recruiting and retaining key personnel. Additionally, our ability to react to rapidly changing economic conditions and the dynamic, competitive market for our products will depend on the continued efficacy of provisions we have incorporated into our product design allowing frequent and contemporaneous revisions of key pricing elements, as well as our ability to work collaboratively with regulators. Changes in regulatory approval processes, rules and other dynamics in the regulatory process could adversely impact our ability to react to such changing conditions.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cannot predict the impact that “best interest” or fiduciary standards may have on our business, financial condition or results of operations. Compliance with new or changed rules or legislation in this area may increase our regulatory burden and that of our distribution partners, require changes to our compensation practices and product offerings, and increase litigation risk, which could adversely affect our financial condition and results of operations. See “Business — Regulation — Standard of Conduct Regulation — State Law Standard of Conduct Rules and Regulations.”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we are subject to federal, state and other securities and state insurance laws and regulations which, among other things, require that we distribute certain of our products through a registered broker-dealer. The failure to comply with these laws or changes to these laws could have a material adverse effect on our operations and our profitability. Furthermore, changes in laws and regulations that affect our customers and distribution partners or their operations also may affect our business relationships with them and their ability to purchase or distribute our products. Such actions may negatively affect our business and results of operations.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our associates fail to adhere to regulatory requirements or our policies and procedures, we may be subject to penalties, restrictions or other sanctions by applicable regulators, and we may suffer reputational harm. See “Business — Regulation.”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 decrease in the RBC ratio of Brighthouse Life Insurance Company or BHNY (as a result of a reduction in statutory capital and surplus or an increase in the required RBC capital charges), or a change in the rating agency proprietary capital models, could result in increased scrutiny by insurance regulators and rating agencies and could have a material adverse effect on our financial condition and results of operations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NAIC has established model regulations that provide minimum capitalization requirements based on RBC formulas for insurance companies. Brighthouse Life Insurance Company and BHNY are subject to RBC standards or other minimum statutory capital and surplus requirements imposed under the laws of their respective jurisdictions of domicile. See “Business — Regulation — Insurance Regulation — Statutory Accounting, Reserves and Risk-Based Capital.” Failure to meet these requirements could subject Brighthouse Life Insurance Company and BHNY to further examination or corrective action imposed by insurance regulators, including limitations on their ability to write additional business, increased regulatory supervision, or seizure or liquidation. Any corrective action imposed could cause a material adverse effect on our business, financial condition, results of operations and cash flows. A decline in RBC ratios, whether or not it results in a failure to meet applicable RBC requirements, could limit Brighthouse Life Insurance Company’s ability to pay dividends and the ability of BHNY to pay dividends to Brighthouse Life Insurance Company, could result in a loss of customers or new business, or could influence ratings agencies to downgrade our financial strength ratings, each of which could cause a material adverse effect on our business, financial condition and results of operations.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any particular year, TAC amounts, and thus RBC ratios, may fluctuate depending on a variety of factors, including the amount of statutory income or losses generated by Brighthouse Life Insurance Company and BHNY (which itself is sensitive to equity market and credit market conditions), the amount of additional capital such insurer must hold to support business growth, equity and credit market conditions, the value and credit ratings of certain fixed income and equity securities in its investment portfolio, the value of certain derivative instruments, as well as changes to the RBC formulas and the interpretation of the NAIC’s instructions with respect to RBC calculation methodologies. In addition, rating agencies may implement changes to their own proprietary capital models, which differ from the RBC capital model, that have the effect of increasing or decreasing the amount of capital Brighthouse Life Insurance Company and BHNY should hold relative to the rating agencies’ expectations. Under stressed or stagnant capital markets conditions and with the aging of existing insurance liabilities, without offsets from new business, the amount of additional statutory reserves that Brighthouse Life Insurance Company and BHNY are required to hold could materially increase. This increase in reserves would decrease the capital available for use in calculating the RBC ratio of Brighthouse Life Insurance Company or BHNY. To the extent that the RBC ratio of Brighthouse Life Insurance Company or BHNY is deemed to be insufficient, we may seek to take actions either to increase the capitalization of the insurer or to reduce the capitalization requirements. If we were unable to accomplish such actions, the rating agencies could view this as a reason for a ratings downgrade.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199515"/>
                <wp:effectExtent l="0" t="0" r="0" b="0"/>
                <wp:wrapNone/>
                <wp:docPr id="41" name="Frame40"/>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Changes in tax laws or interpretations of such laws could reduce our earnings and materially impact our operations by increasing our corporate taxes and making some of our products less attractive to consumers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Changes in tax laws or interpretations of such laws could have a material adverse effect on our profitability and financial condition and could result in our incurring materially higher statutory taxes. Changes, including changes in tax laws, higher corporate tax rates or differences in interpretation of tax laws may adversely affect our business, financial condition, results of operations and liquidity. In addition, current U.S. federal income tax law permits tax-deferred accumulation of income earned under life insurance and annuity products and permits exclusion from taxation of death benefits paid under life insurance contracts. Changes in tax laws that restrict these tax benefits, or declines in individual income tax rates more generally, could make our products less attractive to consumers. See “Business — Regulation — Federal Tax Reform” for a discussion of the potential impacts of the Inflation Reduction Act and the related corporate alternative minimum tax.</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Legal disputes and regulatory investigations are common in our businesses and may result in significant financial losses or harm to our reputation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face a significant risk of legal disputes and regulatory investigations in the ordinary course of operating our businesses, including the risk of class action lawsuits. Our pending legal actions and regulatory investigations include proceedings specific to us, as well as other proceedings that raise issues that are generally applicable to business practices in the industries in which we operate.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our insurance operations, plaintiffs’ lawyers may bring or are bringing class actions and individual suits alleging, among other things, issues relating to sales or underwriting practices, claims payments and procedures, escheatment, product design, disclosure, administration, investments, denial or delay of benefits, lapse or termination of policies, COI and breaches of fiduciary or other duties to customers. Plaintiffs in class action and other lawsuits against us may seek very large or indeterminate amounts, including punitive and treble damages. Due to the vagaries of litigation, the outcome of a litigation matter and the amount or range of potential loss at particular points in time may be difficult to ascertain. Material pending litigation and other legal disputes, as well as regulatory matters affecting us and risks to our business presented by these proceedings, if any, are discussed in Note 15 of the Notes to the Consolidated Financial Statements.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substantial legal liability or a significant federal, state or other regulatory action against us, as well as regulatory inquiries or investigations, could harm our reputation, result in material fines or penalties, result in significant legal costs and otherwise have a material adverse effect on our business, financial condition and results of operations. Even if we ultimately prevail in the litigation, regulatory action or investigation, our ability to attract new customers and distributors, retain our current customers and distributors, and recruit and retain personnel could be materially and adversely impacted. Regulatory inquiries and legal disputes may also cause volatility in the price of BHF securities and the securities of companies in our industry.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Current claims, litigation, unasserted claims probable of assertion, investigations and other proceedings against us, as well as any other disputes or other matters involving third parties, could have a material adverse effect on our business, financial condition and results of operations. It is also possible that related or unrelated claims, litigation, unasserted claims probable of assertion, investigations and proceedings may be commenced in the future, and we could become subject to further investigations and have lawsuits filed or enforcement actions initiated against us. Increased regulatory scrutiny and any resulting investigations or proceedings in any of the jurisdictions where we operate could result in new legal actions and precedents or changes in laws, rules or regulations that could adversely affect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Operational Risks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Any gaps in our policies, procedures, or processes may leave us exposed to unidentified or unanticipated risk, and our models used by our business may not operate properly and could contain errors, each of which could adversely affect our business, financial condition, or results of operations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developed policies, procedures and processes to enable and support the ongoing review of the actual and potential risks facing the Company. Nonetheless, our policies, procedures and processes may not be fully effective in identifying and assessing such risks, leaving us exposed to unidentified or unanticipated risks. In addition, we rely on third-party providers to administer and service many of our products, and our policies, procedures and processes may not enable us to identify and assess every risk with respect to those products, especially to the extent we rely on those providers for relevant information, including detailed information regarding the holders of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199515"/>
                <wp:effectExtent l="0" t="0" r="0" b="0"/>
                <wp:wrapNone/>
                <wp:docPr id="42" name="Frame41"/>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use models to manage our business and evaluate the associated risk exposures. The models may not operate properly and could contain errors related to model inputs, data, assumptions, calculations, or output that may adversely impact our results of operations. In addition, these models may not fully predict future exposures, which may be significantly greater than our historical measures indicate. For example, we use actuarial models to assist us in establishing reserves for liabilities arising from our insurance policies and annuity contracts. We periodically review the effectiveness of these models, their underlying logic, and, from time to time, implement refinements to our models based on these reviews. We implement refinements after rigorous testing and validation; even after such validation and testing, our models remain subject to inherent limitations. Accordingly, no assurances can be given as to whether or when we will implement refinements to our actuarial models, and, if implemented, whether such refinements will be sufficient. Furthermore, if implemented, any such refinements could cause us to increase the reserves we hold for our insurance policy and annuity contract liabilities. If models are misused or fail to serve their intended purposes, they could produce incorrect or inappropriate results. Business decisions based on incorrect or misused model outputs or reports could have a material adverse impact on our results of operations.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risk management models depend upon the evaluation of information regarding markets, clients, catastrophe occurrence, or other matters that are publicly available or otherwise accessible to us. This information may not always be accurate, complete, up-to-date, or properly evaluated. Furthermore, there can be no assurance that we can effectively review and monitor all risks or that all of our associates will follow our policies, procedures and processes, nor can there be any assurance that our policies, procedures and processes, or the policies, procedures and processes of third parties that administer or service our products, will enable us to accurately identify all risks and limit our exposures based on our assessments. In addition, if our business changes or the markets in which we operate evolve and new risks emerge, we may have to implement more extensive and perhaps different policies, procedures or processes and our risk management framework may not evolve at the same pace as those changes. See “— Risks Related to Our Business — Our hedging strategy may not be effective, which may result in significant volatility in our profitability measures or may negatively affect our statutory capital.”</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Any failure in our cybersecurity risk management program, as well as the occurrence of events unanticipated in Brighthouse Financial’s or our third-party service providers’ disaster recovery systems and business continuity planning, could result in a loss or disclosure of confidential information, damage to our reputation and impairment of our ability to conduct business effectively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heavily rely on communications, information systems (both internal and provided by third parties), and the internet to conduct our business. We rely on these systems throughout our business for a variety of functions, including processing new business, claims, and post-issue transactions, providing information to customers and distributors, performing actuarial analyses, managing our investments and maintaining financial records. A failure in the security of such systems or a failure to maintain the security of such systems, or the confidential information stored thereon, may result in regulatory enforcement action, harm our reputation or otherwise adversely affect our ability to conduct business, our financial condition or results of operations. In addition, our continuous technological evaluations and enhancements, including changes designed and intended to update our protective measures, may increase our risk of a breach or gap in our security, and there can be no assurance that any such efforts will be effective in preventing or limiting the impact of future cyberattacks.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and our vendors, like other commercial entities, have been, and will likely continue to be, subject to a variety of forms of cyberattacks with the objective of gaining unauthorized access to our systems and data, or disrupting our operations. Potential attacks may include, but are not limited to, cyberattacks, phishing attacks, account takeover attempts, the introduction of computer viruses or malicious code (commonly referred to as “malware”), ransomware or other extortion tactics, denial of service attacks, credential stuffing, and other computer-related penetrations, each of which may be facilitated by the use of AI. Hardware, software or applications developed by us or received from third parties may contain exploitable vulnerabilities, bugs, or defects in design, maintenance or manufacture or other issues that could compromise information and cybersecurity. The risk of cyberattacks has also increased and may continue to increase in connection with recent geopolitical conflicts, including in Europe and the Middle East, and other geopolitical events and dynamics that may adversely disrupt or degrade our operations and may compromise our data. Malicious actors may attempt to fraudulently induce associates, customers, or other users of our systems to disclose credentials or other similar sensitive information in order to gain access to our systems or data, or that of our customers, through social engineering, phishing, mobile phone malware, and other methods.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Cybersecurity threats are rapidly evolving, and those threats and the means for obtaining access to our systems are becoming increasingly sophisticated. Cybersecurity threats can originate from a wide variety of sources including terrorists, nation states, financially or politically motivated actors, internal actors such as associates (through malicious or accidental acts), or third parties, such as external service providers, and the techniques used to effectuate such threats change frequently or are often not recognized until after they have been launched. The rapid evolution and increased adoption of AI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199515"/>
                <wp:effectExtent l="0" t="0" r="0" b="0"/>
                <wp:wrapNone/>
                <wp:docPr id="43" name="Frame42"/>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technologies may intensify our cybersecurity or other information security system risks, including the deployment of AI technologies by malicious third parties and threat actors intent on finding and exploiting vulnerabilities, their use of “deep fakes,” and long-term persistent attacks that may increase in sophistication and effectiveness in the future. There is no assurance that administrative, physical and technical controls and other preventive actions taken to reduce the risk of cyberattacks and protect our information technology will prevent physical and electronic break-ins, cyberattacks or other security breaches to such computer systems. In some cases, such physical and electronic break-ins, cyberattacks or other security breaches may not be immediately detected. If we or our vendors fail to prevent, detect, address and mitigate such incidents, this may impede or interrupt our business operations and information systems, result in data loss, destruction, modification, disclosure or misuse, or loss of assets which could adversely affect our business, financial condition and results of operations.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disaster such as a natural catastrophe, epidemic, pandemic, industrial accident, blackout, terrorist attack, cyberattack or war, unanticipated problems with our or our vendors’ disaster recovery systems (and the disaster recovery systems of such vendors’ suppliers, vendors or subcontractors), could cause our computer systems to be inaccessible to our associates, distributors, vendors or customers or may destroy valuable data. In addition, in the event that a significant number of our or our vendors’ managers were unavailable following a disaster, our ability to effectively conduct business could be severely compromised. These interruptions also may interfere with our suppliers’ ability to provide goods and services and our associates’ ability to perform their job responsibilities. Unanticipated problems with, or failures of, our disaster recovery systems and business continuity plans could have a material impact on our ability to conduct business and on our financial condition and results of operations.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failure of our or relevant third-party (or such third-party’s supplier’s, vendor’s or subcontractor’s computer systems) computer systems could cause significant interruptions in our operations, result in a failure to maintain the security, confidentiality or privacy of sensitive data, harm our reputation, subject us to regulatory sanctions and legal claims, lead to a loss of customers and revenues, and otherwise adversely affect our business and financial results. Our cyber liability insurance may not be sufficient to protect us against all losses. See also “— Any failure to protect the confidentiality of customer, associate, or other third-party information could adversely affect our reputation and have a material adverse effect on our business, financial condition and results of operations.”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associates and those of our third-party service providers may take excessive risks which could negatively affect our financial condition and business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an insurance enterprise, we are in the business of accepting certain risks. The individuals who conduct our business include executive officers and other members of management, sales intermediaries, investment professionals, product managers, and other associates, as well as associates of our various third-party service providers. Each of these individuals makes decisions and choices that may expose us to risk. These include decisions such as setting underwriting guidelines and standards, product design and pricing, determining what assets to purchase for investment and when to sell them, which business opportunities to pursue, and other decisions. Such individuals may take excessive risks regardless of the structure of our risk management framework or our compensation programs and practices, which may not effectively deter excessive risk-taking or misconduct. Similarly, our controls and procedures designed to monitor associates’ business decisions and prevent them from taking excessive risks, and to prevent associate misconduct, may not be effective. If our associates and those of our third-party service providers take excessive risks, the impact of those risks could harm our reputation and have a material adverse effect on our financial condition and results of operations.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Any failure to protect the confidentiality of customer, associate, or other third-party information could adversely affect our reputation and have a material adverse effect on our business, financial condition and results of operations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Federal and state legislatures and various government agencies have established laws and regulations protecting the privacy and security of personal information. See “Business — Regulation — Privacy and Cybersecurity Regulation.” Our third-party service providers and our associates have access to, and routinely process, personal information through a variety of media, including information technology systems. It is possible that an associate or third-party service provider (or their suppliers, vendors or subcontractors) could, intentionally or unintentionally, disclose or misappropriate personal information, and there can be no assurance that our information security policies and systems in place can prevent unauthorized use or disclosure of confidential information, including personal information. Additionally, our data has been and could in the future be the subject of cyberattacks, and the misappropriation or intentional or unintentional inappropriate disclosure or misuse of associate or client information has occurred and could occur in the future, including as a result of us or our third-party service providers (or their suppliers, vendors or subcontractors) failing to maintain adequate internal controls or if our associates or any of our third-party service providers fail to comply with applicable policies and procedures. Any failure or perceived failure by us to comply with our privacy policies, our privacy-related obligations to customers, associates, or other third parties, or our privacy-related legal obligations, or any compromise of security that results in the unauthorized release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199515"/>
                <wp:effectExtent l="0" t="0" r="0" b="0"/>
                <wp:wrapNone/>
                <wp:docPr id="44" name="Frame43"/>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transfer of sensitive</w:t>
      </w:r>
      <w:r>
        <w:rPr>
          <w:color w:val="FF0000"/>
        </w:rPr>
        <w:t xml:space="preserve"> </w:t>
      </w:r>
      <w:r>
        <w:rPr>
          <w:rFonts w:ascii="Times New Roman;serif" w:hAnsi="Times New Roman;serif"/>
          <w:b w:val="false"/>
          <w:color w:val="000000"/>
          <w:sz w:val="20"/>
        </w:rPr>
        <w:t>information, which could include personal information or other user data, may result in governmental investigations, enforcement actions, regulatory fines, litigation and public statements against us by consumer advocacy groups or others, and could cause our customers, associates, or other third parties to lose trust in us, all of which could be costly and have a material adverse effect on our business, financial condition and results of operations. See “— Any failure in our cybersecurity risk management program, as well as the occurrence of events unanticipated in Brighthouse Financial’s or our third-party service providers’ disaster recovery systems and business continuity planning, could result in a loss or disclosure of confidential information, damage to our reputation and impairment of our ability to conduct business effectively.” In addition, compliance with complex variations in privacy and data security laws may require modifications to current business practices, including significant technological efforts that require long implementation timelines, increased costs and dedicated resources.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Furthermore, there has been increased scrutiny as well as enacted and proposed additional laws and regulations, including from state regulators, regarding the use of personal information. These laws and regulations are increasing in complexity and number, change frequently, and may be subject to interpretation by different regulators and courts. We may analyze personal information or input such information into third-party analytics in order to better manage our business. Any inquiry in connection with our analytics business practices, as well as any misuse or alleged misuse of those analytics insights, including for alleged violation of third-party privacy and intellectual property rights, or other rights, or alleged breach of contractual obligations, such as limitations on the use of personal information, could cause reputational harm or result in regulatory enforcement actions or litigation, and any related limitations imposed on us could have a material impact on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Risks Related to Our Separation from, and Continuing Relationship with, MetLife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If the Separation were to fail to qualify for non-recognition treatment for federal income tax purposes, then we could be subject to significant tax liabilities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Separation, MetLife received a private letter ruling from the IRS regarding certain significant issues under the Tax Code, as well as an opinion from its tax advisor that, subject to certain limited exceptions, the Separation qualifies for non-recognition of gain or loss to MetLife and MetLife’s shareholders pursuant to Sections 355 and 361 of the Tax Code. Notwithstanding the receipt of the private letter ruling and the tax opinion, the tax opinion is not binding on the IRS or the courts, and the IRS could determine that the Separation should be treated as a taxable transaction and, as a result, we could incur significant federal income tax liabilities, and Brighthouse Financial could have an indemnification obligation to MetLife.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Generally, taxes resulting from the failure of the Separation to qualify for non-recognition treatment for federal income tax purposes would be imposed on MetLife or MetLife’s shareholders. Under the tax separation agreement with MetLife, Inc. (the “Tax Separation Agreement”), MetLife is generally obligated to indemnify Brighthouse Financial against such taxes if the failure to qualify for tax-free treatment results from, among other things, any action or inaction that is within MetLife’s control. MetLife may dispute an indemnification obligation to Brighthouse Financial under the Tax Separation Agreement, and there can be no assurance that MetLife will be able to satisfy its indemnification obligation to Brighthouse Financial or that such indemnification will be sufficient for us in the event of nonperformance by MetLife. The failure of MetLife to fully indemnify Brighthouse Financial could have a material adverse effect on our financial condition and results of operations.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MetLife will generally bear tax-related losses due to the failure of certain steps that were part of the Separation to qualify for their intended tax treatment. However, the IRS could seek to hold Brighthouse Financial responsible for such liabilities, and under the Tax Separation Agreement, Brighthouse Financial could be required, under certain circumstances, to indemnify MetLife and its affiliates against certain tax-related liabilities caused by those failures. If the Separation does not qualify for non-recognition treatment or if certain other steps that are part of the Separation do not qualify for their intended tax treatment, Brighthouse Financial could be required to pay material additional taxes or be obligated to indemnify MetLife, which could have a material adverse effect on our financial condition and results of operations.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Separation was also subject to tax rules regarding the treatment of certain of our tax attributes (such as the basis in our assets). In certain circumstances such rules could require us to reduce those attributes, which could materially and adversely affect our financial condition. The ultimate tax consequences to us of the Separation may not be finally determined for many years and may differ from the tax consequences that we and MetLife expected at the time of the Separation. As a result, we could be required to pay material additional taxes and to materially reduce the tax assets (or materially increase the tax liabilities) on our consolidated balance sheet. These changes could impact our available capital, ratings or cost of capital. There can be no assurance that the Tax Separation Agreement will protect us from any such consequences, or that any issue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199515"/>
                <wp:effectExtent l="0" t="0" r="0" b="0"/>
                <wp:wrapNone/>
                <wp:docPr id="45" name="Frame44"/>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that may arise will be subject to indemnification by MetLife under the Tax Separation Agreement. As a result, our financial condition and results of operations could be materially and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Cybersecurity Risk Management Program and Strategy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understand the importance of maintaining a robust cybersecurity risk management program to assess, identify, and manage the material risks associated with cybersecurity threats.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Managing Cybersecurity Risks; Cybersecurity Risk Management Strategy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cybersecurity risk management program is integrated into the Brighthouse Financial enterprise risk management framework, and our strategy focuses on implementing effective and efficient processes, technologies, and controls to assess, identify, and manage cybersecurity risks. Our cybersecurity risk management program, which is managed at an enterprise level, is designed to be aligned with the National Institute of Standards and Technology Cybersecurity Framework (“NIST Framework”), which provides standards, guidelines and best practices on managing cybersecurity risk, as well as the organization, improvement and assessment of Brighthouse Financial’s cybersecurity risk management program.</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Chief Technology Officer of BHF (the “CTO”) has overall responsibility for our information technology program, which includes the Company’s cybersecurity risk management program. The Chief Information Security Officer of BHF (the “CISO”) is directly responsible for the Brighthouse Financial cybersecurity risk management program, which is designed to protect and preserve the integrity, confidentiality, and continued availability of the information owned by, or in the care of, Brighthouse Financial. The CTO has over 25 years of information technology experience, including systems development, technology strategy, and vendor management; the CISO has over 30 years of information technology and cybersecurity risk management program management experience. Prior to joining Brighthouse Financial, both the CTO and CISO previously served in roles that involved leading and overseeing information technology and cybersecurity risk management programs at other public companies in the financial services industry. In addition, the CTO serves on a cross-departmental, management-level risk committee that oversees Brighthouse Financial’s enterprise risks, including cybersecurity risks. This enterprise-level risk committee is informed about and monitors the prevention, mitigation, detection, and remediation of cybersecurity incidents.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Brighthouse Financial cybersecurity team regularly assesses the threat landscape and takes an enterprise-wide view of cybersecurity risks. We monitor issues that are internally discovered or externally reported that may affect our business, and we employ a range of tools and third-party services to effectuate our cybersecurity risk identification and assessments, including regular network and endpoint monitoring, threat and vulnerability assessments, and external penetration testing. In addition, the Brighthouse Financial cybersecurity team conducts regular reviews, conducts tabletop exercises, performs internal testing, and leverages the audits performed by our internal audit team. Brighthouse Financial also engages the services of third-party consultants to assess and evaluate the effectiveness of our controls (in alignment with the NIST Framework), to improve our security measures and strategy, and to review the Brighthouse Financial cybersecurity risk management program against the NIST Framework. The results of the most recent assessment of Brighthouse Financial cybersecurity risk management program confirmed the rigor of our cybersecurity risk management practices.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cybersecurity team has also established company-wide policies and procedures that cover cybersecurity matters, which are designed to enable us to effectively identify, evaluate, and respond to events that have the potential to impact our business. In the event of a cybersecurity incident, Brighthouse Financial utilizes a well-defined incident response plan that is designed to coordinate the activities we take to prepare for, detect, respond to and recover from cybersecurity incidents, which include processes to triage, assess severity, escalate, contain, investigate, and remediate the incident, as well as to comply with potentially applicable legal obligations (including relevant securities laws) and mitigate brand and reputational damage. This plan includes immediate actions to mitigate the impact of the incident, as well as long-term strategies for the remediation and prevention of future incidents. In accordance with this plan, we have established a cross-departmental Brighthouse Response Team that is responsible for coordinating enterprise-wide responses to cybersecurity incidents. This Brighthouse Response Team provides reports regarding cybersecurity incidents to the enterprise-level risk committee referenced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199515"/>
                <wp:effectExtent l="0" t="0" r="0" b="0"/>
                <wp:wrapNone/>
                <wp:docPr id="46" name="Frame45"/>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associates outside of our information technology organization have a role in our cybersecurity defenses, and we encourage a corporate culture supportive of security, which we believe improves the effectiveness of our cybersecurity risk management program. Through our Security Awareness Program, our associates are provided with regular cybersecurity training and educational resources to help ensure that they remain vigilant against threats. These include frequent simulated phishing campaigns, newsletters, alerts, e-mail reminders, and a mandatory annual cybersecurity awareness training course for all associates. In addition to Company policies that we make available to all associates, our cybersecurity awareness training provides clear reporting and escalation processes in the event of suspicious activity.</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Third-Party Risk Management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Brighthouse Financial processes also address the cybersecurity risks associated with the use of third-party vendors, some of which have access to our customer and associate data. We conduct security assessments of all third-party vendors that have access to our systems, our data and/or the facilities that house such systems or data. As part of our third-party risk management program, the cybersecurity risk management and third-party risk management teams collaborate to monitor our third-party vendors’ compliance with our cybersecurity standards. This approach is designed to mitigate risks related to data breaches or other security incidents originating from third parties.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Risks from Cybersecurity Threats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Brighthouse Financial systems and our third-party vendors’ systems periodically experience directed attacks intended to lead to (i) interruptions or delays in our operations or (ii) the loss, misuse or theft of personal information and other data, including confidential information or intellectual property. Based on the information available as of the filing date of this Annual Report on Form 10-K, we are not aware of any cybersecurity incidents, directly or indirectly, that have materially affected or are reasonably likely to materially affect our business, results of operations, or financial condition. For more information regarding our risks from cybersecurity threats, see “Risk Factors — Operational Risks — Any failure in our cybersecurity risk management program, as well as the occurrence of events unanticipated in Brighthouse Financial’s or our third-party service providers’ disaster recovery systems and business continuity planning, could result in a loss or disclosure of confidential information, damage to our reputation and impairment of our ability to conduct business effectively” and “Risk Factors — Operational Risks — Any failure to protect the confidentiality of customer, associate, or other third-party information could adversely affect our reputation and have a material adverse effect on our business, financial condition and results of operations.”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Governance</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Board of Directors - Oversight and Management Reporting</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Audit Committee of the Board of Directors of BHF (the “Audit Committee”) is primarily responsible for overseeing cybersecurity risks, and the Board of Directors of BHF (the “Board”) is actively engaged with respect to these risks. The Audit Committee and/or the Board generally meet with the CTO and CISO on a quarterly basis to review our information technology and cybersecurity risk profile and to discuss our activities to manage the related risks, including risk assessments, mitigation strategies, areas of emerging risks, incidents, industry trends, tabletop exercises, and other areas of importance. Our board of directors also receives regular technology and cybersecurity updates. In addition to these regular meetings, we have an escalation process in place to timely inform the Board of any significant cybersecurity incidents, including any updates relating thereto, to ensure that the Board'’s oversight is proactive and responsive. The Chief Compliance Officer of BHF also regularly reports to the Audit Committee and our board of directors regarding the Company’s compliance with applicable regulations relating to cybersecurity.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15 of the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199515"/>
                <wp:effectExtent l="0" t="0" r="0" b="0"/>
                <wp:wrapNone/>
                <wp:docPr id="47" name="Frame46"/>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 established public trading market exists for Brighthouse Life Insurance Company’s common equity; all of Brighthouse Life Insurance Company’s common stock is held by Brighthouse Holdings, LLC (“BH Holdings”).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12 of the Notes to the Consolidated Financial Statements for a discussion of dividends paid, as well as restrictions on Brighthouse Life Insurance Company’s ability to pay dividends.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199515"/>
                <wp:effectExtent l="0" t="0" r="0" b="0"/>
                <wp:wrapNone/>
                <wp:docPr id="48" name="Frame47"/>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Index to Management’s Discussion and Analysis of Financial Condition and Results of Operations</w:t>
      </w:r>
    </w:p>
    <w:tbl>
      <w:tblPr>
        <w:tblW w:w="4156" w:type="dxa"/>
        <w:jc w:val="center"/>
        <w:tblInd w:w="0" w:type="dxa"/>
        <w:tblLayout w:type="fixed"/>
        <w:tblCellMar>
          <w:top w:w="28" w:type="dxa"/>
          <w:left w:w="28" w:type="dxa"/>
          <w:bottom w:w="28" w:type="dxa"/>
          <w:right w:w="28" w:type="dxa"/>
        </w:tblCellMar>
      </w:tblPr>
      <w:tblGrid>
        <w:gridCol w:w="1297"/>
        <w:gridCol w:w="1141"/>
        <w:gridCol w:w="1147"/>
        <w:gridCol w:w="167"/>
        <w:gridCol w:w="167"/>
        <w:gridCol w:w="237"/>
      </w:tblGrid>
      <w:tr>
        <w:trPr/>
        <w:tc>
          <w:tcPr>
            <w:tcW w:w="1297"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4b9e6b138e4c15b462f76456fc5e4b_124">
              <w:r>
                <w:rPr>
                  <w:rStyle w:val="InternetLink"/>
                  <w:rFonts w:ascii="Times New Roman;serif" w:hAnsi="Times New Roman;serif"/>
                  <w:b w:val="false"/>
                  <w:color w:val="0000FF"/>
                  <w:sz w:val="20"/>
                  <w:u w:val="single"/>
                </w:rPr>
                <w:t>Overview</w:t>
              </w:r>
            </w:hyperlink>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3c4b9e6b138e4c15b462f76456fc5e4b_124">
              <w:r>
                <w:rPr>
                  <w:rStyle w:val="InternetLink"/>
                  <w:rFonts w:ascii="Times New Roman;serif" w:hAnsi="Times New Roman;serif"/>
                  <w:b w:val="false"/>
                  <w:color w:val="0000FF"/>
                  <w:sz w:val="20"/>
                  <w:u w:val="single"/>
                </w:rPr>
                <w:t>48</w:t>
              </w:r>
            </w:hyperlink>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4b9e6b138e4c15b462f76456fc5e4b_127">
              <w:r>
                <w:rPr>
                  <w:rStyle w:val="InternetLink"/>
                  <w:rFonts w:ascii="Times New Roman;serif" w:hAnsi="Times New Roman;serif"/>
                  <w:b w:val="false"/>
                  <w:color w:val="0000FF"/>
                  <w:sz w:val="20"/>
                  <w:u w:val="single"/>
                </w:rPr>
                <w:t>Regulatory Developments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127">
              <w:r>
                <w:rPr>
                  <w:rStyle w:val="InternetLink"/>
                  <w:rFonts w:ascii="Times New Roman;serif" w:hAnsi="Times New Roman;serif"/>
                  <w:b w:val="false"/>
                  <w:color w:val="0000FF"/>
                  <w:sz w:val="20"/>
                  <w:u w:val="single"/>
                </w:rPr>
                <w:t>49</w:t>
              </w:r>
            </w:hyperlink>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4b9e6b138e4c15b462f76456fc5e4b_130">
              <w:r>
                <w:rPr>
                  <w:rStyle w:val="InternetLink"/>
                  <w:rFonts w:ascii="Times New Roman;serif" w:hAnsi="Times New Roman;serif"/>
                  <w:b w:val="false"/>
                  <w:color w:val="0000FF"/>
                  <w:sz w:val="20"/>
                  <w:u w:val="single"/>
                </w:rPr>
                <w:t>Summary of Critical Accounting Estimates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130">
              <w:r>
                <w:rPr>
                  <w:rStyle w:val="InternetLink"/>
                  <w:rFonts w:ascii="Times New Roman;serif" w:hAnsi="Times New Roman;serif"/>
                  <w:b w:val="false"/>
                  <w:color w:val="0000FF"/>
                  <w:sz w:val="20"/>
                  <w:u w:val="single"/>
                </w:rPr>
                <w:t>49</w:t>
              </w:r>
            </w:hyperlink>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4b9e6b138e4c15b462f76456fc5e4b_133">
              <w:r>
                <w:rPr>
                  <w:rStyle w:val="InternetLink"/>
                  <w:rFonts w:ascii="Times New Roman;serif" w:hAnsi="Times New Roman;serif"/>
                  <w:b w:val="false"/>
                  <w:color w:val="0000FF"/>
                  <w:sz w:val="20"/>
                  <w:u w:val="single"/>
                </w:rPr>
                <w:t>Non-GAAP Financial Disclosures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133">
              <w:r>
                <w:rPr>
                  <w:rStyle w:val="InternetLink"/>
                  <w:rFonts w:ascii="Times New Roman;serif" w:hAnsi="Times New Roman;serif"/>
                  <w:b w:val="false"/>
                  <w:color w:val="0000FF"/>
                  <w:sz w:val="20"/>
                  <w:u w:val="single"/>
                </w:rPr>
                <w:t>52</w:t>
              </w:r>
            </w:hyperlink>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4b9e6b138e4c15b462f76456fc5e4b_136">
              <w:r>
                <w:rPr>
                  <w:rStyle w:val="InternetLink"/>
                  <w:rFonts w:ascii="Times New Roman;serif" w:hAnsi="Times New Roman;serif"/>
                  <w:b w:val="false"/>
                  <w:color w:val="0000FF"/>
                  <w:sz w:val="20"/>
                  <w:u w:val="single"/>
                </w:rPr>
                <w:t>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136">
              <w:r>
                <w:rPr>
                  <w:rStyle w:val="InternetLink"/>
                  <w:rFonts w:ascii="Times New Roman;serif" w:hAnsi="Times New Roman;serif"/>
                  <w:b w:val="false"/>
                  <w:color w:val="0000FF"/>
                  <w:sz w:val="20"/>
                  <w:u w:val="single"/>
                </w:rPr>
                <w:t>53</w:t>
              </w:r>
            </w:hyperlink>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4b9e6b138e4c15b462f76456fc5e4b_154">
              <w:r>
                <w:rPr>
                  <w:rStyle w:val="InternetLink"/>
                  <w:rFonts w:ascii="Times New Roman;serif" w:hAnsi="Times New Roman;serif"/>
                  <w:b w:val="false"/>
                  <w:color w:val="0000FF"/>
                  <w:sz w:val="20"/>
                  <w:u w:val="single"/>
                </w:rPr>
                <w:t>Policyholder Liabilities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154">
              <w:r>
                <w:rPr>
                  <w:rStyle w:val="InternetLink"/>
                  <w:rFonts w:ascii="Times New Roman;serif" w:hAnsi="Times New Roman;serif"/>
                  <w:b w:val="false"/>
                  <w:color w:val="0000FF"/>
                  <w:sz w:val="20"/>
                  <w:u w:val="single"/>
                </w:rPr>
                <w:t>59</w:t>
              </w:r>
            </w:hyperlink>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4b9e6b138e4c15b462f76456fc5e4b_157">
              <w:r>
                <w:rPr>
                  <w:rStyle w:val="InternetLink"/>
                  <w:rFonts w:ascii="Times New Roman;serif" w:hAnsi="Times New Roman;serif"/>
                  <w:b w:val="false"/>
                  <w:color w:val="0000FF"/>
                  <w:sz w:val="20"/>
                  <w:u w:val="single"/>
                </w:rPr>
                <w:t>Liquidity and Capital Resources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157">
              <w:r>
                <w:rPr>
                  <w:rStyle w:val="InternetLink"/>
                  <w:rFonts w:ascii="Times New Roman;serif" w:hAnsi="Times New Roman;serif"/>
                  <w:b w:val="false"/>
                  <w:color w:val="0000FF"/>
                  <w:sz w:val="20"/>
                  <w:u w:val="single"/>
                </w:rPr>
                <w:t>59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199515"/>
                <wp:effectExtent l="0" t="0" r="0" b="0"/>
                <wp:wrapNone/>
                <wp:docPr id="49" name="Frame48"/>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may contain forward-looking statements that reflect our plans, estimates and beliefs. Our actual results could differ materially from those discussed in these forward-looking statements. Factors that could cause or contribute to these differences include those factors discussed below and elsewhere in this report, particularly in “Note Regarding Forward-Looking Statements and Summary of Risk Factors” and “Risk Factors.” This Management’s Discussion and Analysis of Financial Condition and Results of Operations should also be read in conjunction with “Quantitative and Qualitative Disclosures About Market Risk” and our consolidated financial statements included elsewhere herein.</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Our Results of Operations discussion and analysis presents a review for the years ended December 31, 2025 and 2024 and year-over-year comparisons between these years. Our Results of Operations discussion and analysis for the year ended December 31, 2024, including a review of the 2024 AAR and year-over-year comparisons between the years ended December 31, 2024 and 2023 can be found in “Management’s Discussion and Analysis of Financial Condition and Results of Operations — Results of Operations” in our Annual Report on Form 10-K for the year ended December 31, 2024, which was filed with the SEC on March 3, 2025, and such discussions are incorporated herein by reference.</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offer a range of annuity and life insurance products to individuals and deliver our products through multiple independent distribution channels and marketing arrangements with a diverse network of distribution partners. We are organized into the following reportable segments: Annuities; Life; Run-off; and Corporate &amp; Other. See “Business — Segment Information” and Note 2 of the Notes to the Consolidated Financial Statements for further information regarding our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Recent Developments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6, 2025, BHF entered into the Merger Agreement, pursuant to which, at the closing of the transactions contemplated by the Merger Agreement, Merger Sub will merge with and into BHF, and the separate corporate existence of Merger Sub will cease, with BHF continuing as the surviving corporation and as a wholly-owned subsidiary of Aquarian Parent. Brighthouse Life Insurance Company will remain an indirect wholly-owned subsidiary of BHF after the effective time of the Merger.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Merger Agreement was adopted by stockholders at the special meeting held on February 12, 2026, and the applicable waiting period under the Hart-Scott Rodino Antitrust Improvement Act of 1976, as amended, has expired. The Merger is expected to close in 2026. However, the completion of the Merger remains subject to the satisfaction or waiver of certain other customary conditions, including receipt of insurance regulatory approvals. See “Risks Related to the Merger — The completion of the Merger is subject to a number of conditions, many of which are largely outside the parties’ control, and, if these conditions are not satisfied or waived, the Merger may not be completed within the expected timeframe or at 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Financial and Economic Environment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and results of operations are materially affected by conditions in the capital markets and the economy generally. Stressed conditions, volatility and disruptions in the capital markets or financial asset classes can have an adverse effect on us. Equity market performance can affect our profitability for variable annuities, Shield Annuities and other separate account products as a result of the effects it has on product demand, revenues, expenses, reserves and our risk management effectiveness. The Federal Reserve Board (the “Federal Reserve”) decreased the target range for the federal funds rate in September, October and December 2025, as well as in September, November and December 2024, and any additional future decrease may negatively impact our business in certain respects, including our investment portfolio, by lowering the level of long-term interest rates and changing the shape of the yield curve. The level of long-term interest rates and the shape of the yield curve can have a negative effect on the profitability for variable annuities, as well as the demand for, and the profitability of, spread-based products such as fixed annuities, index-linked annuities and universal life insurance. Low interest rates and risk premium, including credit spread, affect new money rates on invested assets and the cost of product guarantees. Insurance premium growth and demand for our products is impacted by the general health of U.S. economic activity. A sustained or material increase in inflation could also affect our business in several ways. During inflationary periods, the value of fixed income investments falls which could increase realized and unrealized losses. Inflation also increases our expenses (including, among others, for labor and third-party services), potentially putting pressure on profitability if such costs cannot be passed through to policyholders in our product prices. Prolonged and elevated inflation could adversely affect the financial markets and the economy generally and dispelling it may require governments to pursue restrictive fiscal and monetary policies, which could constrain overall economic activity and inhibit revenue growth. Events involving limited liquidity, defaults, nonperformance, fraud or other adverse developments that affect financial institutions or the financial services industry generally, or concerns or rumors about events of these kinds or other similar risks, could adversely affect market-wide liquidity, which could increase the risk of a recession or an equity market downturn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199515"/>
                <wp:effectExtent l="0" t="0" r="0" b="0"/>
                <wp:wrapNone/>
                <wp:docPr id="50" name="Frame49"/>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negatively impact various portions of our business, including our investment portfolio. See “Risk Factors — Economic Environment and Capital Markets-Related Risks — If difficult conditions in the capital markets and the U.S. economy generally persist or are perceived to persist, they may materially adversely affect our business and results of operations” and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above factors affect our expectations regarding future margins. We review our long-term assumptions about capital markets returns and interest rates, along with other assumptions such as contract holder behavior, as part of our AAR. As additional company specific or industry information on contract holder behavior becomes available, related assumptions may change and may potentially have a material impact on liability valuations and net income.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continue to closely monitor political and economic conditions that might contribute to market volatility and their impact on our business operations, investment portfolio and derivatives, such as global inflation, tariffs imposed or threatened by the U.S. or foreign governments, uncertainty and instability in certain asset classes (including commercial real estate), supply chain disruptions and recent geopolitical conflicts, including in Europe and the Middle East. See “Risk Factors — Economic Environment and Capital Markets-Related Risks” and “Risk Factors — Risks Related to Our Investment Portfolio” for a detailed discussion of financial and economic impacts on our business, including the potential impacts of interest rate risk and inflation risk on our investments and overall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Regulatory Developments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including our insurance subsidiary, BHNY, and our reinsurance subsidiary, BRCD, are primarily regulated at the state level, with some products and services also subject to federal regulation. In addition, Brighthouse Life Insurance Company and BHNY are subject to regulation under the insurance holding company laws of various U.S. jurisdictions. Furthermore, some of our operations, products and services are subject to ERISA, consumer protection laws, securities, broker-dealer and investment advisor regulations, as well as environmental and unclaimed property laws and regulations. See “Business — Regulation,” as well as “Risk Factors — Regulatory and Legal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Summary of Critical Accounting Estimates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adopt accounting policies and make estimates and assumptions that affect amounts reported on the Consolidated Financial Statements.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most critical estimates include those used in determining: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liability for future policy benefits (“LFPB”);</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estimated fair values of market risk benefits (“MRB”);</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estimated fair values of freestanding derivatives and the recognition and estimated fair value of embedded derivatives requiring bifurcation;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measurement of income taxes and the valuation of deferred tax assets.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applying our accounting policies, we make subjective and complex judgments that frequently require estimates about matters that are inherently uncertain. Many of these policies, estimates and related judgments are common in the insurance and financial services industries; others are specific to our business and operations. Actual results could differ from these estimates.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above critical accounting estimates are described below and in Note 1 of the Notes to the Consolidated Financial Statements.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Liability for Future Policy Benefits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establishes an LFPB for income annuities, as well as non-participating term and whole life insurance. LFPBs are accrued over time as revenue is recognized based on a net premium ratio. The net premium ratio is the portion of gross premiums required to provide for all future benefits. LFPBs are established using the Company’s current assumptions of future cash flows, discounted at a rate that approximates a single A corporate bond curve. The Company generally aggregates insurance contracts into groupings by issue year, product and segment for determining the net premium ratio and related LFPBs.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199515"/>
                <wp:effectExtent l="0" t="0" r="0" b="0"/>
                <wp:wrapNone/>
                <wp:docPr id="51" name="Frame50"/>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reviews cash flow assumptions regularly, and, if such assumptions change significantly, LFPBs are adjusted by determining a revised net premium ratio. The revised net premium ratio is calculated as of contract inception using both actual historical experience and updated future cash flow assumptions. The recalculated net premium ratio is applied to derive a remeasurement gain or loss recognized in current period net income. The net premium ratio is also updated for the difference between actual and expected experience.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measurement of our LFPBs can be significantly impacted by changes in assumptions for mortality, policy lapses and market interest rates. See Note 3 of the Notes to the Consolidated Financial Statements for additional information on the effects of changes in assumptions on the measurement of our LFPBs.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establishes liabilities in addition to the account balance for secondary guarantees on universal life insurance. These liabilities are determined by estimating the expected value of death benefits payable when the account balance is projected to be zero and recognizing those benefits ratably over the contract period based on total expected assessments. The benefits used in calculating the liabilities are based on the average benefits payable over a range of scenarios. The Company also maintains a liability for profits followed by losses on ULSG, which is determined by projecting future earnings and establishing a liability to offset losses that are expected to occur in later years. The Company reviews cash flow assumptions regularly, and, if they change significantly, the liability for secondary guarantees is adjusted by a cumulative charge or credit to net income.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measurement of our ULSG liabilities can be significantly impacted by changes in assumptions for the general account rate of return, which is driven by our assumption for long-term treasury yields, and changes in assumptions for mortality, premium persistency, lapses and withdrawals. The Company’s practice of projecting treasury yields uses a mean reversion approach that assumes that long-term interest rates are less influenced by short-term fluctuations and are only changed when sustained interim deviations are expected. As part of our 2025 AAR, we increased our projected long-term general account earned rate, as well as our mean reversion rate over a period of ten years, from 4.00% to 4.50%, which resulted in a decrease in our ULSG liabilities of $359 million. We also updated other assumptions related to ULSG, see “— Results of Operations — Annual Actuarial Review” for more information.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3 of the Notes to the Consolidated Financial Statements for additional information on the effects of inputs and assumptions on the measurement of ULSG liabilities.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Market Risk Benefits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MRBs principally include guaranteed minimum benefits on variable annuity contracts, including reinsured benefits related to these guarantees.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estimated fair value of variable annuity guarantees accounted for as MRBs is determined based on the present value of projected future benefits, less the present value of projected future fees attributable to the guarantees. At policy inception, the Company determines an attributed fee ratio by solving for a percentage of projected future rider fees to be collected from the policyholder equal to the present value of projected future guaranteed benefits. To the extent the rider fees are insufficient, the Company may also include fees related to mortality and expense charges in the attributed fee ratio, provided the total fees included in the calculation do not exceed total contract fees and assessments collected from the contract holder. The attributed fee ratio is not updated in subsequent periods.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updates the estimated fair value of variable annuity guarantees in subsequent periods by projecting future benefits using capital markets inputs and actuarial assumptions, including expectations of policyholder behavior. A risk neutral valuation methodology is used to project the cash flows from the guarantees under multiple capital markets scenarios. The reported estimated fair value is then determined by taking the present value of these cash flows using a discount rate that incorporates a spread over the risk-free rate to reflect the Company’s nonperformance risk and adding a risk margin (as discussed below). For more information on the determination of estimated fair value of MRBs, see Note 10 of the Notes to the Consolidated Financial Statements.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valuation of MRBs includes an adjustment for the risk that the Company fails to satisfy its obligations, which is referred to as nonperformance risk. The nonperformance risk adjustment is captured as an additional spread applied to the risk-free rate in determining the rate to discount the cash flows of the liability. The spread over the risk-free rate is based on our creditworthiness taking into consideration publicly available information relating to spreads in the secondary market for Brighthouse Financial’s debt. These observable spreads are then adjusted, as necessary, to reflect the financial strength ratings of the issuing insurance subsidiaries as compared to the credit rating of Brighthouse Financial.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199515"/>
                <wp:effectExtent l="0" t="0" r="0" b="0"/>
                <wp:wrapNone/>
                <wp:docPr id="52" name="Frame51"/>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Risk margins are established to capture the non-capital markets risks of the instrument which represent the additional compensation a market participant would require to assume the risks related to the uncertainties in certain actuarial assumptions. The establishment of risk margins requires the use of significant actuarial judgment, including assumptions of the amount needed to cover the guarantees.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Actuarial assumptions are reviewed at least annually, and if they change significantly, the estimated fair value is adjusted through net income. Capital market inputs used in the measurement of variable annuity guarantees are updated quarterly through net income, except for the change attributable to the Company’s nonperformance risk, which is reported in OCI.</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Market conditions, including, but not limited to, changes in interest rates, equity indices, market volatility and variations in actuarial assumptions, including policyholder behavior, mortality and risk margins related to non-capital markets inputs, as well as changes in nonperformance risk, may result in significant fluctuations in the estimated fair value of the guarantees. In 2025, the Company updated assumptions regarding policyholder behavior, mortality and separate account fund allocations. See Note 4 of the Notes to the Consolidated Financial Statements for additional information on the effects of changes in inputs and assumptions on the measurement of our liabilities for variable annuity guarantees.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Derivatives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use freestanding derivative instruments to hedge various capital markets risks in our products, including: (i) certain variable annuity guarantees, which are reported as MRBs; (ii) index-linked interest credited features, which are reported as embedded derivatives; (iii) current or future changes in the fair value of our assets and liabilities; and (iv) current or future changes in cash flows. All derivatives, whether freestanding or embedded, are required to be carried on the balance sheet at fair value with changes reflected in either net income (loss) attributable to Brighthouse Life Insurance Company or in OCI, depending on the type of hedge. Below is a summary of critical accounting estimates by type of derivative.</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Freestanding Derivatives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determination of the estimated fair value of freestanding derivatives, when quoted market values are not available, is based on market standard valuation methodologies and inputs that management believes are consistent with what other market participants would use when pricing such instruments. Derivative valuations can be affected by changes in interest rates, foreign currency exchange rates, financial indices, credit spreads, default risk, nonperformance risk, volatility, liquidity and changes in estimates and assumptions used in the pricing models. See Note 9 of the Notes to the Consolidated Financial Statements for additional information on significant inputs into the OTC derivative pricing models and credit risk adjustment. </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Embedded Derivatives in Index-Linked Annuities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issues, and assumes through reinsurance, index-linked annuities, including Shield, that contain crediting rates classified as embedded derivatives. The crediting rates are measured at estimated fair value separately from the fixed annuity host contracts, which is determined using a combination of an option pricing methodology and an option-budget approach. The estimated fair value includes capital market inputs and actuarial policyholder behavior assumptions, including expectations for renewals at the end of the term period. Actuarial assumptions are reviewed at least annually, and, if they change significantly, the estimated fair value is adjusted through net income. Capital market inputs used in the measurement of crediting rate embedded derivatives are updated quarterly through net income.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Market conditions, including interest rates and implied volatilities, and variations in actuarial assumptions and risk margins, as well as changes in our nonperformance risk adjustment, may result in significant fluctuations in the estimated fair value that could have a material impact on net income. See Note 10 of the Notes to the Consolidated Financial Statements for more information on the determination of estimated fair value of crediting rate embedded derivatives.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provide for federal and state income taxes currently payable, as well as those deferred due to temporary differences between the financial reporting and tax bases of assets and liabilities. Our accounting for income taxes represents our best estimate of various events and transactions. Tax laws are often complex and may be subject to differing interpretations by the taxpayer and the relevant governmental taxing authorities. In establishing a provision for income tax expense, we must make judgments and interpretations about the application of tax laws. We must also make estimates about when in the future certain items will affect taxable income in the various taxing jurisdictions.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establishing a liability for unrecognized tax benefits, assumptions may be made in determining whether, and to what extent, a tax position may be sustained. Once established, unrecognized tax benefits are adjusted when there is more information available or when events occur requiring a 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199515"/>
                <wp:effectExtent l="0" t="0" r="0" b="0"/>
                <wp:wrapNone/>
                <wp:docPr id="53" name="Frame52"/>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Valuation allowances are established against deferred tax assets, particularly those arising from carryforwards, when management determines, based on available information, that it is more likely than not that deferred income tax assets will not be realized. The realization of deferred tax assets related to carryforwards depends upon the existence of sufficient taxable income within the carryforward periods under the tax law in the applicable tax jurisdiction. Significant judgment is required in projecting future taxable income to determine whether valuation allowances should be established, as well as the amount of such allowances. See Note 1 of the Notes to the Consolidated Financial Statements for additional information relating to our determination of such valuation allowances.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be required to change our provision for income taxes when estimates used in determining valuation allowances on deferred tax assets significantly change, or when new information indicates the need for adjustment in valuation allowances. Additionally, future events, such as changes in tax laws, tax regulations, or interpretations of such laws or regulations, could have an impact on the provision for income tax and the effective tax rate. Any such changes could significantly affect the amounts reported in the financial statements in the year these changes occur.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Notes 1 and 14 of the Notes to the Consolidated Financial Statements as well as “Business — Regulation — Federal Tax Reform” for additional information on our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Non-GAAP Financial Disclosures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present certain measures of our performance that are not calculated in accordance with GAAP. Our definitions of non-GAAP financial measures may differ from those used by other companies.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Adjusted Earnings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earnings is a financial measure used by management to evaluate performance and facilitate comparisons to industry results. We believe the presentation of adjusted earnings, as the Company measures it for management purposes, enhances the understanding of our performance by the investor community and contract holders by highlighting the results of operations and the underlying profitability drivers of our business. Adjusted earnings should not be viewed as a substitute for net income (loss) attributable to Brighthouse Life Insurance Company, which is the most directly comparable financial measure calculated in accordance with GAAP. See “— Results of Operations” for a reconciliation of adjusted earnings to net income (loss) attributable to Brighthouse Life Insurance Company.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earnings, which may be positive or negative, focuses on our primary businesses by excluding the impact of market volatility, which could distort trends. Adjusted earnings was updated during the first quarter of 2025 in connection with the establishment of a trading portfolio comprised of certain fixed income securities (classified as “trading securities” under GAAP). The Company did not have trading securities prior to the first quarter of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items are excluded from total revenues in calculating adjusted earnings: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Net investment gains (losses);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Investment gains (losses) on trading securities measured at estimated fair value through net investment income;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Net derivative gains (losses), excluding earned income and amortization of premium on derivatives that are hedges of investments or that are used to replicate certain investments, but do not qualify for hedge accounting treatment (“Investment Hedge Adjustments”).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items are excluded from total expenses in calculating adjusted earnings: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 in MRBs;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 in fair value of the crediting rate on experience-rated contracts and market value adjustments on institutional group annuities that are economically offset by gains (losses) on the related trading securities (“Market Value Adjustments”).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 related to adjusted earnings is calculated using the statutory tax rate of 21%, net of impacts related to the dividends received deduction, tax credits and current period non-recurring items.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199515"/>
                <wp:effectExtent l="0" t="0" r="0" b="0"/>
                <wp:wrapNone/>
                <wp:docPr id="54" name="Frame53"/>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present adjusted earnings in a manner consistent with management’s view of the primary business activities that drive the profitability of our core businesses. The following table illustrates how each component of adjusted earnings is calculated from the GAAP statements of operations line items:</w:t>
      </w:r>
    </w:p>
    <w:tbl>
      <w:tblPr>
        <w:tblW w:w="10205" w:type="dxa"/>
        <w:jc w:val="left"/>
        <w:tblInd w:w="0" w:type="dxa"/>
        <w:tblLayout w:type="fixed"/>
        <w:tblCellMar>
          <w:top w:w="28" w:type="dxa"/>
          <w:left w:w="28" w:type="dxa"/>
          <w:bottom w:w="28" w:type="dxa"/>
          <w:right w:w="28" w:type="dxa"/>
        </w:tblCellMar>
      </w:tblPr>
      <w:tblGrid>
        <w:gridCol w:w="293"/>
        <w:gridCol w:w="257"/>
        <w:gridCol w:w="257"/>
        <w:gridCol w:w="777"/>
        <w:gridCol w:w="777"/>
        <w:gridCol w:w="496"/>
        <w:gridCol w:w="201"/>
        <w:gridCol w:w="201"/>
        <w:gridCol w:w="201"/>
        <w:gridCol w:w="1947"/>
        <w:gridCol w:w="1947"/>
        <w:gridCol w:w="2851"/>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r>
      <w:tr>
        <w:trPr/>
        <w:tc>
          <w:tcPr>
            <w:tcW w:w="2857" w:type="dxa"/>
            <w:gridSpan w:val="6"/>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Component of Adjusted Earnings</w:t>
            </w:r>
          </w:p>
        </w:tc>
        <w:tc>
          <w:tcPr>
            <w:tcW w:w="7348" w:type="dxa"/>
            <w:gridSpan w:val="6"/>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How Derived from GAAP (1)</w:t>
            </w:r>
          </w:p>
        </w:tc>
      </w:tr>
      <w:tr>
        <w:trPr/>
        <w:tc>
          <w:tcPr>
            <w:tcW w:w="807"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w:t>
            </w:r>
          </w:p>
        </w:tc>
        <w:tc>
          <w:tcPr>
            <w:tcW w:w="205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Fee income</w:t>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w:t>
            </w:r>
          </w:p>
        </w:tc>
        <w:tc>
          <w:tcPr>
            <w:tcW w:w="6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i/>
                <w:color w:val="000000"/>
                <w:sz w:val="20"/>
              </w:rPr>
              <w:t>Universal life and investment-type product policy fees</w:t>
            </w:r>
            <w:r>
              <w:rPr>
                <w:color w:val="000000"/>
              </w:rPr>
              <w:t xml:space="preserve"> </w:t>
            </w:r>
            <w:r>
              <w:rPr>
                <w:rFonts w:ascii="Times New Roman;serif" w:hAnsi="Times New Roman;serif"/>
                <w:b w:val="false"/>
                <w:color w:val="000000"/>
                <w:sz w:val="20"/>
              </w:rPr>
              <w:t xml:space="preserve">plus </w:t>
            </w:r>
            <w:r>
              <w:rPr>
                <w:rFonts w:ascii="Times New Roman;serif" w:hAnsi="Times New Roman;serif"/>
                <w:b w:val="false"/>
                <w:i/>
                <w:color w:val="000000"/>
                <w:sz w:val="20"/>
              </w:rPr>
              <w:t>Other revenues</w:t>
            </w:r>
            <w:r>
              <w:rPr>
                <w:rFonts w:ascii="Times New Roman;serif" w:hAnsi="Times New Roman;serif"/>
                <w:b w:val="false"/>
                <w:color w:val="000000"/>
                <w:sz w:val="20"/>
              </w:rPr>
              <w:t>.</w:t>
            </w:r>
          </w:p>
        </w:tc>
      </w:tr>
      <w:tr>
        <w:trPr/>
        <w:tc>
          <w:tcPr>
            <w:tcW w:w="807"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(ii)</w:t>
            </w:r>
          </w:p>
        </w:tc>
        <w:tc>
          <w:tcPr>
            <w:tcW w:w="205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Net investment spread</w:t>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(ii)</w:t>
            </w:r>
          </w:p>
        </w:tc>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i/>
                <w:color w:val="000000"/>
                <w:sz w:val="20"/>
              </w:rPr>
              <w:t xml:space="preserve">Net investment income </w:t>
            </w:r>
            <w:r>
              <w:rPr>
                <w:rFonts w:ascii="Times New Roman;serif" w:hAnsi="Times New Roman;serif"/>
                <w:b w:val="false"/>
                <w:color w:val="000000"/>
                <w:sz w:val="20"/>
              </w:rPr>
              <w:t xml:space="preserve">(excluding investment gains (losses) on trading securities) plus Investment Hedge Adjustments reduced by </w:t>
            </w:r>
            <w:r>
              <w:rPr>
                <w:rFonts w:ascii="Times New Roman;serif" w:hAnsi="Times New Roman;serif"/>
                <w:b w:val="false"/>
                <w:i/>
                <w:color w:val="000000"/>
                <w:sz w:val="20"/>
              </w:rPr>
              <w:t xml:space="preserve">Interest credited to policyholder account balances </w:t>
            </w:r>
            <w:r>
              <w:rPr>
                <w:rFonts w:ascii="Times New Roman;serif" w:hAnsi="Times New Roman;serif"/>
                <w:b w:val="false"/>
                <w:color w:val="000000"/>
                <w:sz w:val="20"/>
              </w:rPr>
              <w:t>(excluding Market Value Adjustments) and interest on future policy benefits.</w:t>
            </w:r>
          </w:p>
        </w:tc>
      </w:tr>
      <w:tr>
        <w:trPr/>
        <w:tc>
          <w:tcPr>
            <w:tcW w:w="807"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(iii)</w:t>
            </w:r>
          </w:p>
        </w:tc>
        <w:tc>
          <w:tcPr>
            <w:tcW w:w="205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Insurance-related activities</w:t>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(iii)</w:t>
            </w:r>
          </w:p>
        </w:tc>
        <w:tc>
          <w:tcPr>
            <w:tcW w:w="6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i/>
                <w:color w:val="000000"/>
                <w:sz w:val="20"/>
              </w:rPr>
              <w:t xml:space="preserve">Premiums </w:t>
            </w:r>
            <w:r>
              <w:rPr>
                <w:rFonts w:ascii="Times New Roman;serif" w:hAnsi="Times New Roman;serif"/>
                <w:b w:val="false"/>
                <w:color w:val="000000"/>
                <w:sz w:val="20"/>
              </w:rPr>
              <w:t>less</w:t>
            </w:r>
            <w:r>
              <w:rPr>
                <w:color w:val="000000"/>
              </w:rPr>
              <w:t xml:space="preserve"> </w:t>
            </w:r>
            <w:r>
              <w:rPr>
                <w:rFonts w:ascii="Times New Roman;serif" w:hAnsi="Times New Roman;serif"/>
                <w:b w:val="false"/>
                <w:i/>
                <w:color w:val="000000"/>
                <w:sz w:val="20"/>
              </w:rPr>
              <w:t>Policyholder benefits and claims</w:t>
            </w:r>
            <w:r>
              <w:rPr>
                <w:rFonts w:ascii="Times New Roman;serif" w:hAnsi="Times New Roman;serif"/>
                <w:b w:val="false"/>
                <w:color w:val="000000"/>
                <w:sz w:val="20"/>
              </w:rPr>
              <w:t>, excluding interest on future policy benefits.</w:t>
            </w:r>
          </w:p>
        </w:tc>
      </w:tr>
      <w:tr>
        <w:trPr/>
        <w:tc>
          <w:tcPr>
            <w:tcW w:w="807"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(iv)</w:t>
            </w:r>
          </w:p>
        </w:tc>
        <w:tc>
          <w:tcPr>
            <w:tcW w:w="205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DAC and VOBA</w:t>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(iv)</w:t>
            </w:r>
          </w:p>
        </w:tc>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i/>
                <w:color w:val="000000"/>
                <w:sz w:val="20"/>
              </w:rPr>
              <w:t>Amortization of deferred policy acquisition costs (“DAC”) and value of business acquired (“VOBA”)</w:t>
            </w:r>
            <w:r>
              <w:rPr>
                <w:rFonts w:ascii="Times New Roman;serif" w:hAnsi="Times New Roman;serif"/>
                <w:b w:val="false"/>
                <w:color w:val="000000"/>
                <w:sz w:val="20"/>
              </w:rPr>
              <w:t>.</w:t>
            </w:r>
          </w:p>
        </w:tc>
      </w:tr>
      <w:tr>
        <w:trPr/>
        <w:tc>
          <w:tcPr>
            <w:tcW w:w="807"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(v)</w:t>
            </w:r>
          </w:p>
        </w:tc>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(v)</w:t>
            </w:r>
          </w:p>
        </w:tc>
        <w:tc>
          <w:tcPr>
            <w:tcW w:w="6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20"/>
              </w:rPr>
            </w:pPr>
            <w:r>
              <w:rPr>
                <w:rFonts w:ascii="Times New Roman;serif" w:hAnsi="Times New Roman;serif"/>
                <w:b w:val="false"/>
                <w:i/>
                <w:color w:val="000000"/>
                <w:sz w:val="20"/>
              </w:rPr>
              <w:t>Other expenses.</w:t>
            </w:r>
          </w:p>
        </w:tc>
      </w:tr>
      <w:tr>
        <w:trPr/>
        <w:tc>
          <w:tcPr>
            <w:tcW w:w="807"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(vi)</w:t>
            </w:r>
          </w:p>
        </w:tc>
        <w:tc>
          <w:tcPr>
            <w:tcW w:w="205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 expense (benefit)</w:t>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(vi)</w:t>
            </w:r>
          </w:p>
        </w:tc>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Tax impact of the above items, calculated using the statutory tax rate of 21%, net of impacts related to the dividends received deduction, tax credits and current period non-recurring items.</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(1)Italicized items indicate GAAP statements of operations line items.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Consistent with GAAP guidance for segment reporting, adjusted earnings is also our GAAP measure of segment performance. Accordingly, we report adjusted earnings by segment in Note 2 of the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Annual Actuarial Review</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conducted our GAAP AAR in the third quarter of 2025. As part of the 2025 GAAP AAR, for our ULSG business, we updated assumptions regarding policyholder behavior, including mortality, premium persistency, lapses and withdrawals. In addition, we increased the long-term general account earned rate, driven by an increase in the mean reversion rate, from 4.00% to 4.50%. For our variable annuity business, we updated assumptions regarding annuitization, mortality, guaranteed principal option utilization, lapses and withdrawals, as well as separate account assumptions, including fund fees and allocations. For the payout annuity business, we updated assumptions regarding mortality. For term participating and non-participating whole life insurance, we updated assumptions regarding mortality and lapses.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conducted our 2025 statutory AAR in the fourth quarter, the results of which will be included in Brighthouse Life Insurance Company’s and BHNY’s respective 2025 annual statutory financial statements. The 2025 statutory AAR resulted in an increase to our statutory reserves; however, no contributions of capital to Brighthouse Life Insurance Company or BHNY were necessary to support their respective RBC ratios. See “Risk Factors — Risks Related to Our Business — Differences between actual experience and actuarial assumptions may adversely affect our financial results, capitalization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199515"/>
                <wp:effectExtent l="0" t="0" r="0" b="0"/>
                <wp:wrapNone/>
                <wp:docPr id="55" name="Frame54"/>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Consolidated Results for the Years Ended December 31, 2025 and 2024</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Unless otherwise noted, all amounts in the following discussions of our results of operations are stated before income tax except for adjusted earnings, which are presented net of income tax.</w:t>
      </w:r>
    </w:p>
    <w:tbl>
      <w:tblPr>
        <w:tblW w:w="10205" w:type="dxa"/>
        <w:jc w:val="left"/>
        <w:tblInd w:w="0" w:type="dxa"/>
        <w:tblLayout w:type="fixed"/>
        <w:tblCellMar>
          <w:top w:w="28" w:type="dxa"/>
          <w:left w:w="28" w:type="dxa"/>
          <w:bottom w:w="28" w:type="dxa"/>
          <w:right w:w="28" w:type="dxa"/>
        </w:tblCellMar>
      </w:tblPr>
      <w:tblGrid>
        <w:gridCol w:w="2826"/>
        <w:gridCol w:w="2474"/>
        <w:gridCol w:w="2505"/>
        <w:gridCol w:w="109"/>
        <w:gridCol w:w="109"/>
        <w:gridCol w:w="109"/>
        <w:gridCol w:w="222"/>
        <w:gridCol w:w="478"/>
        <w:gridCol w:w="123"/>
        <w:gridCol w:w="123"/>
        <w:gridCol w:w="123"/>
        <w:gridCol w:w="123"/>
        <w:gridCol w:w="222"/>
        <w:gridCol w:w="478"/>
        <w:gridCol w:w="181"/>
      </w:tblGrid>
      <w:tr>
        <w:trPr/>
        <w:tc>
          <w:tcPr>
            <w:tcW w:w="2826"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7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9"/>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7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9"/>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780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682 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759 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Universal life and investment-type product policy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1,678 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1,601 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Net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5,139 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5,100 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Other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499 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Net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(298)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Net derivative gains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(1,789)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(3,688)</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6,086 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3,973 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Policyholder benefits and claims (including liability remeasurement gains (losses) of ($273) and ($980),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1,750 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2,139 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Interest credited to policyholder account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2,161 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2,110 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DAC and 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564 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550 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Change in market risk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(2,669)</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1,542 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1,534 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5,823 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3,731 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provision for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Less: 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Brighthouse Life Insurance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net income (loss) were as follows:</w:t>
      </w:r>
    </w:p>
    <w:tbl>
      <w:tblPr>
        <w:tblW w:w="9518" w:type="dxa"/>
        <w:jc w:val="left"/>
        <w:tblInd w:w="0" w:type="dxa"/>
        <w:tblLayout w:type="fixed"/>
        <w:tblCellMar>
          <w:top w:w="28" w:type="dxa"/>
          <w:left w:w="28" w:type="dxa"/>
          <w:bottom w:w="28" w:type="dxa"/>
          <w:right w:w="28" w:type="dxa"/>
        </w:tblCellMar>
      </w:tblPr>
      <w:tblGrid>
        <w:gridCol w:w="2572"/>
        <w:gridCol w:w="2256"/>
        <w:gridCol w:w="2267"/>
        <w:gridCol w:w="109"/>
        <w:gridCol w:w="109"/>
        <w:gridCol w:w="109"/>
        <w:gridCol w:w="210"/>
        <w:gridCol w:w="451"/>
        <w:gridCol w:w="116"/>
        <w:gridCol w:w="116"/>
        <w:gridCol w:w="116"/>
        <w:gridCol w:w="116"/>
        <w:gridCol w:w="210"/>
        <w:gridCol w:w="596"/>
        <w:gridCol w:w="165"/>
      </w:tblGrid>
      <w:tr>
        <w:trPr/>
        <w:tc>
          <w:tcPr>
            <w:tcW w:w="2572" w:type="dxa"/>
            <w:tcBorders/>
            <w:vAlign w:val="center"/>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9"/>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7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095" w:type="dxa"/>
            <w:gridSpan w:val="3"/>
            <w:tcBorders/>
            <w:tcMar>
              <w:top w:w="0" w:type="dxa"/>
              <w:left w:w="0" w:type="dxa"/>
              <w:bottom w:w="0" w:type="dxa"/>
              <w:right w:w="0" w:type="dxa"/>
            </w:tcMar>
            <w:vAlign w:val="center"/>
          </w:tcPr>
          <w:p>
            <w:pPr>
              <w:pStyle w:val="TableContents"/>
              <w:bidi w:val="0"/>
              <w:spacing w:lineRule="auto" w:line="288" w:before="24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9"/>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Change in market risk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2,669 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Net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(298)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Investment gains (losses) on trading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Net derivative gains (losses), excluding investment hedge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(1,789)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(3,718)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Market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Pre-tax adjusted earnings (loss), less 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1,900 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1,575 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Income (loss) attributable to Brighthouse Life Insurance Company before provision for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Brighthouse Life Insurance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pPr>
      <w:r>
        <w:rPr>
          <w:rFonts w:ascii="Times New Roman;serif" w:hAnsi="Times New Roman;serif"/>
          <w:b w:val="false"/>
          <w:i/>
          <w:color w:val="000000"/>
          <w:sz w:val="20"/>
        </w:rPr>
        <w:t xml:space="preserve">Change in Market Risk Benefits. </w:t>
      </w:r>
      <w:r>
        <w:rPr>
          <w:rFonts w:ascii="Times New Roman;serif" w:hAnsi="Times New Roman;serif"/>
          <w:b w:val="false"/>
          <w:color w:val="000000"/>
          <w:sz w:val="20"/>
        </w:rPr>
        <w:t>The change in MRBs reflects changes in the projected value of annuity guaranteed benefits discounted at current risk-free rates, plus a nonperformance risk spread that is locked-in at policy issuance.</w:t>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Net Investment Gains (Losses).</w:t>
      </w:r>
      <w:r>
        <w:rPr>
          <w:color w:val="000000"/>
        </w:rPr>
        <w:t xml:space="preserve"> </w:t>
      </w:r>
      <w:r>
        <w:rPr>
          <w:rFonts w:ascii="Times New Roman;serif" w:hAnsi="Times New Roman;serif"/>
          <w:b w:val="false"/>
          <w:color w:val="000000"/>
          <w:sz w:val="20"/>
        </w:rPr>
        <w:t>Includes gains and losses on sales of investments, impairments losses and changes in allowances for credit losses.</w:t>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 xml:space="preserve">Investment Gains (Losses) on Trading Securities. </w:t>
      </w:r>
      <w:r>
        <w:rPr>
          <w:rFonts w:ascii="Times New Roman;serif" w:hAnsi="Times New Roman;serif"/>
          <w:b w:val="false"/>
          <w:color w:val="000000"/>
          <w:sz w:val="20"/>
        </w:rPr>
        <w:t>Includes gains and losses on trading securities measured at estimated fair value through net investment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199515"/>
                <wp:effectExtent l="0" t="0" r="0" b="0"/>
                <wp:wrapNone/>
                <wp:docPr id="56" name="Frame55"/>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360"/>
        <w:jc w:val="both"/>
        <w:rPr/>
      </w:pPr>
      <w:r>
        <w:rPr>
          <w:rFonts w:ascii="Times New Roman;serif" w:hAnsi="Times New Roman;serif"/>
          <w:b w:val="false"/>
          <w:i/>
          <w:color w:val="000000"/>
          <w:sz w:val="20"/>
        </w:rPr>
        <w:t>Net Derivative Gains (Losses), Excluding Investment Hedge Adjustments.</w:t>
      </w:r>
      <w:r>
        <w:rPr>
          <w:color w:val="000000"/>
        </w:rPr>
        <w:t xml:space="preserve"> </w:t>
      </w:r>
      <w:r>
        <w:rPr>
          <w:rFonts w:ascii="Times New Roman;serif" w:hAnsi="Times New Roman;serif"/>
          <w:b w:val="false"/>
          <w:color w:val="000000"/>
          <w:sz w:val="20"/>
        </w:rPr>
        <w:t>We use derivative instruments to minimize exposure to various market risks, including interest rates and equity markets. In addition, the crediting rates associated with index-linked annuities, including Shield Annuities, are classified as embedded derivatives. The change in fair value of derivative instruments that do not qualify for hedge accounting and embedded derivatives are recognized in net derivative gains (losses).</w:t>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 xml:space="preserve">Market Value Adjustments. </w:t>
      </w:r>
      <w:r>
        <w:rPr>
          <w:rFonts w:ascii="Times New Roman;serif" w:hAnsi="Times New Roman;serif"/>
          <w:b w:val="false"/>
          <w:color w:val="000000"/>
          <w:sz w:val="20"/>
        </w:rPr>
        <w:t>Includes the change in fair value of the crediting rate on experience-rated contracts and market value adjustments on institutional group annuities that are economically offset by gains (losses) on the related trading securities.</w:t>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Pre-tax Adjusted Earnings.</w:t>
      </w:r>
      <w:r>
        <w:rPr>
          <w:color w:val="000000"/>
        </w:rPr>
        <w:t xml:space="preserve"> </w:t>
      </w:r>
      <w:r>
        <w:rPr>
          <w:rFonts w:ascii="Times New Roman;serif" w:hAnsi="Times New Roman;serif"/>
          <w:b w:val="false"/>
          <w:color w:val="000000"/>
          <w:sz w:val="20"/>
        </w:rPr>
        <w:t>Adjusted earnings is a financial measure used by management to evaluate performance and facilitate comparisons to industry results.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 Non-GAAP Financial Disclosures — Adjusted Earnings” for more information on the items described above.</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Year Ended December 31, 2025 Compared with the Year Ended December 31, 2024</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Income before provision for income tax was $262 million ($289 million, net of income tax), an increase of $21 million ($33 million, net of income tax) from income before provision for income tax of $241 million ($256 million, net of income tax) in the prior period.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income before provision for income tax was driven by the following favorable items: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losses from the impact of interest rates on derivatives used to manage interest rate exposure in our ULSG business, as long-term rates were relatively flat in the current period and increased in the prior period;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pre-tax adjusted earnings, as discussed in greater detail below;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net investment gains (losses) reflecting lower net losses on sales of fixed maturity securities, a net decrease in impairments on fixed maturity securities, and a gain on the sale of a subsidiary which owned certain mineral rights across the U.S., partially offset by higher losses on mortgage loans due to an increase in the allowance for credit losses.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income before provision for income tax was partially offset by the following unfavorable items: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losses from variable annuity guaranteed benefit riders, see “— Annuity Guaranteed Benefits and Shield Annuity Liabilities for the Years Ended December 31, 2025 and 2024”;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U.S. dollar weakening in the current period and strengthening in the prior period, unfavorably impacting foreign currency forwards and swaps.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 calculated as a percentage of income (loss) before provision for income tax, resulted in an effective tax rate of (10)% in the current period compared to (6)% in the prior period. Our effective tax rate differs from the statutory tax rate primarily due to the impacts of the dividends received deduction, tax credits and current period non-recurring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199515"/>
                <wp:effectExtent l="0" t="0" r="0" b="0"/>
                <wp:wrapNone/>
                <wp:docPr id="57" name="Frame56"/>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Reconciliation of Net Income (Loss) to Adjusted Earnings (Loss)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reconciliation of net income (loss) attributable to Brighthouse Life Insurance Company to adjusted earnings (loss) was as follows:</w:t>
      </w:r>
    </w:p>
    <w:tbl>
      <w:tblPr>
        <w:tblW w:w="9878" w:type="dxa"/>
        <w:jc w:val="left"/>
        <w:tblInd w:w="0" w:type="dxa"/>
        <w:tblLayout w:type="fixed"/>
        <w:tblCellMar>
          <w:top w:w="28" w:type="dxa"/>
          <w:left w:w="28" w:type="dxa"/>
          <w:bottom w:w="28" w:type="dxa"/>
          <w:right w:w="28" w:type="dxa"/>
        </w:tblCellMar>
      </w:tblPr>
      <w:tblGrid>
        <w:gridCol w:w="2701"/>
        <w:gridCol w:w="2370"/>
        <w:gridCol w:w="2384"/>
        <w:gridCol w:w="109"/>
        <w:gridCol w:w="109"/>
        <w:gridCol w:w="109"/>
        <w:gridCol w:w="196"/>
        <w:gridCol w:w="557"/>
        <w:gridCol w:w="109"/>
        <w:gridCol w:w="109"/>
        <w:gridCol w:w="109"/>
        <w:gridCol w:w="109"/>
        <w:gridCol w:w="196"/>
        <w:gridCol w:w="557"/>
        <w:gridCol w:w="154"/>
      </w:tblGrid>
      <w:tr>
        <w:trPr/>
        <w:tc>
          <w:tcPr>
            <w:tcW w:w="2701"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9"/>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7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9"/>
            <w:tcBorders/>
            <w:shd w:fill="FFFFFF" w:val="clear"/>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Brighthouse Life Insurance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Add: 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Income (loss) attributable to Brighthouse Life Insurance Company before provision for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Less: Net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Less: Investment gains (losses) on trading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Less: Net derivative gains (losses), excluding investment hedge adjustments of $0 and $30,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(3,718)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Less: Change in market risk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2,669 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Less: Market value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Pre-tax adjusted earnings (loss), less net income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Less: 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Adjusted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Consolidated Results for the Years Ended December 31, 2025 and 2024 - Adjusted Earnings (Loss)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adjusted earnings (loss) were as follows:</w:t>
      </w:r>
    </w:p>
    <w:tbl>
      <w:tblPr>
        <w:tblW w:w="9112" w:type="dxa"/>
        <w:jc w:val="left"/>
        <w:tblInd w:w="0" w:type="dxa"/>
        <w:tblLayout w:type="fixed"/>
        <w:tblCellMar>
          <w:top w:w="28" w:type="dxa"/>
          <w:left w:w="28" w:type="dxa"/>
          <w:bottom w:w="28" w:type="dxa"/>
          <w:right w:w="28" w:type="dxa"/>
        </w:tblCellMar>
      </w:tblPr>
      <w:tblGrid>
        <w:gridCol w:w="2417"/>
        <w:gridCol w:w="2128"/>
        <w:gridCol w:w="2144"/>
        <w:gridCol w:w="109"/>
        <w:gridCol w:w="109"/>
        <w:gridCol w:w="109"/>
        <w:gridCol w:w="196"/>
        <w:gridCol w:w="557"/>
        <w:gridCol w:w="109"/>
        <w:gridCol w:w="109"/>
        <w:gridCol w:w="109"/>
        <w:gridCol w:w="109"/>
        <w:gridCol w:w="196"/>
        <w:gridCol w:w="557"/>
        <w:gridCol w:w="154"/>
      </w:tblGrid>
      <w:tr>
        <w:trPr/>
        <w:tc>
          <w:tcPr>
            <w:tcW w:w="2417"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9"/>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6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9"/>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Net investment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2,921 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Insurance-related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DAC and 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Less: 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Pre-tax adjusted earnings (loss), less net income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Adjusted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u w:val="single"/>
        </w:rPr>
      </w:pPr>
      <w:r>
        <w:rPr>
          <w:rFonts w:ascii="Times New Roman;serif" w:hAnsi="Times New Roman;serif"/>
          <w:b/>
          <w:i/>
          <w:color w:val="000000"/>
          <w:sz w:val="20"/>
          <w:u w:val="single"/>
        </w:rPr>
        <w:t>Year Ended December 31, 2025 Compared with the Year Ended December 31, 2024</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earnings were $1.6 billion in the current period, an increase of $273 million.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Key net favorable impacts were: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net costs associated with insurance-related activities due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net decrease in liability balances resulting from year-over-year changes made in connection with the AAR in our ULSG and life business and other refinements;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decrease in liability balances in our ULSG business resulting from a reinsurance premium rate increase associated with the conclusion of a reinsurance arbitration in the prior period;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claims, net of reinsurance, in our life and ULSG business;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in liability balances in our ULSG business resulting from a premium rate increase on an existing reinsurance agreement;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199515"/>
                <wp:effectExtent l="0" t="0" r="0" b="0"/>
                <wp:wrapNone/>
                <wp:docPr id="58" name="Frame57"/>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net fee income due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ceded COI fees in our life and ULSG business related to the conclusion of the aforementioned reinsurance arbitration in the prior period;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decline in the net COI fees driven by our aging in-force ULSG business;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asset-based fees resulting from lower average separate account balances, a portion of which is offset in other expenses.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Key net unfavorable impacts were: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net investment spread due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interest credited to policyholders due to higher account balances and prior period changes made in connection with the AAR, net of year-over-year actuarial modeling improvements in our annuity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yields and average invested long-term assets on our institutional spread margin business;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returns on other limited partnerships;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investment yields on our fixed income portfolio, as proceeds from maturing investments and the growth in the investment portfolio were invested at higher yields than the portfolio average;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returns on real estate limited partnerships and limited liability companies;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average invested long-term assets;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amortization of DAC and VOBA resulting primarily from changes in policyholder behavior in our annuity business net of our aging in-force life business;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other expenses due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operational expenses;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reinsurance expenses in our life and ULSG business associated with the conclusion of the aforementioned reinsurance arbitration in the prior period;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asset-based variable annuity expenses resulting from lower average separate account balances, a portion of which is offset in fee income;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transition services agreement expenses.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 calculated as a percentage of pre-tax adjusted earnings (loss), resulted in an effective tax rate of 17% in both the current period and the prior period. Our effective tax rate differs from the statutory tax rate primarily due to the impacts of the dividends received deduction, tax credits and current period non-recurring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199515"/>
                <wp:effectExtent l="0" t="0" r="0" b="0"/>
                <wp:wrapNone/>
                <wp:docPr id="59" name="Frame58"/>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Annuity Guaranteed Benefits and Shield Annuity Liabilities for the Years Ended December 31, 2025 and 2024</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overall impact on income (loss) before provision for income tax from the performance of annuity guaranteed benefits and Shield Annuity liabilities, which includes (i) changes in the fair value of liabilities and related reinsurance, (ii) fees net of claims and (iii) the mark-to-market of hedges, was as follows:</w:t>
      </w:r>
    </w:p>
    <w:tbl>
      <w:tblPr>
        <w:tblW w:w="6576" w:type="dxa"/>
        <w:jc w:val="left"/>
        <w:tblInd w:w="0" w:type="dxa"/>
        <w:tblLayout w:type="fixed"/>
        <w:tblCellMar>
          <w:top w:w="28" w:type="dxa"/>
          <w:left w:w="28" w:type="dxa"/>
          <w:bottom w:w="28" w:type="dxa"/>
          <w:right w:w="28" w:type="dxa"/>
        </w:tblCellMar>
      </w:tblPr>
      <w:tblGrid>
        <w:gridCol w:w="1476"/>
        <w:gridCol w:w="1298"/>
        <w:gridCol w:w="1306"/>
        <w:gridCol w:w="109"/>
        <w:gridCol w:w="109"/>
        <w:gridCol w:w="109"/>
        <w:gridCol w:w="196"/>
        <w:gridCol w:w="631"/>
        <w:gridCol w:w="109"/>
        <w:gridCol w:w="109"/>
        <w:gridCol w:w="109"/>
        <w:gridCol w:w="109"/>
        <w:gridCol w:w="196"/>
        <w:gridCol w:w="556"/>
        <w:gridCol w:w="154"/>
      </w:tblGrid>
      <w:tr>
        <w:trPr/>
        <w:tc>
          <w:tcPr>
            <w:tcW w:w="147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Market risk benefits mark-to-market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Annuity guaranteed benefit rider fees, net of claims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Ceded reinsurance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 changes attributable to annuity guaranteed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2,669 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Variable annuity and Shield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Shield embedded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(3,776)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(1,225)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(447)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pPr>
      <w:r>
        <w:rPr>
          <w:rFonts w:ascii="Times New Roman;serif" w:hAnsi="Times New Roman;serif"/>
          <w:b w:val="false"/>
          <w:i/>
          <w:color w:val="000000"/>
          <w:sz w:val="20"/>
        </w:rPr>
        <w:t xml:space="preserve">Market Risk Benefits Mark-to-Market. </w:t>
      </w:r>
      <w:r>
        <w:rPr>
          <w:rFonts w:ascii="Times New Roman;serif" w:hAnsi="Times New Roman;serif"/>
          <w:b w:val="false"/>
          <w:color w:val="000000"/>
          <w:sz w:val="20"/>
        </w:rPr>
        <w:t xml:space="preserve">Annuity guaranteed rider benefits are accounted for as MRBs. MRBs related to guaranteed rider benefits represent the current estimated fair value of the obligation to protect policyholders against the possibility that a downturn in the markets will reduce the specified benefits that can be claimed under the base annuity contract. Any periods of significant or sustained downturns in equity markets, increased equity volatility, or reduced interest rates could result in an increase in the valuation of these liabilities. An increase in these liabilities would result in a decrease to our net income (loss) available to shareholders, which could be significant. </w:t>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Annuity Guaranteed Benefit Rider Fees, Net of Claims.</w:t>
      </w:r>
      <w:r>
        <w:rPr>
          <w:color w:val="000000"/>
        </w:rPr>
        <w:t xml:space="preserve"> </w:t>
      </w:r>
      <w:r>
        <w:rPr>
          <w:rFonts w:ascii="Times New Roman;serif" w:hAnsi="Times New Roman;serif"/>
          <w:b w:val="false"/>
          <w:color w:val="000000"/>
          <w:sz w:val="20"/>
        </w:rPr>
        <w:t>We earn fees from the guaranteed rider benefits, which are calculated using the policyholder’s minimum return based on their initial deposit (the “Benefit Base”). Fees calculated using the Benefit Base are more stable in market downturns, compared to fees based on the account value because the Benefit Base excludes the impact of a decline in the market value of the policyholder’s account value. We use the fees directly earned from the guarantee riders to fund the reserves, future claims and costs associated with the hedges of market risks inherent in these liabilities. The future fees are included in the estimated fair value of MRB liabilities, with changes recorded in MRBs.</w:t>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Variable Annuity and Shield Hedges, including Reinsurance.</w:t>
      </w:r>
      <w:r>
        <w:rPr>
          <w:color w:val="000000"/>
        </w:rPr>
        <w:t xml:space="preserve"> </w:t>
      </w:r>
      <w:r>
        <w:rPr>
          <w:rFonts w:ascii="Times New Roman;serif" w:hAnsi="Times New Roman;serif"/>
          <w:b w:val="false"/>
          <w:color w:val="000000"/>
          <w:sz w:val="20"/>
        </w:rPr>
        <w:t>We enter into freestanding derivatives to hedge certain aspects of the annuity guaranteed benefits accounted for as MRBs and index-linked crediting rates accounted for as embedded derivatives. Generally, the same market factors that impact the estimated fair value of the annuity guaranteed benefits impact the value of the hedges, though in the opposite direction. However, the changes in value of MRBs and related hedges may not be symmetrical and the divergence could be significant due to certain factors, including unhedged risks within MRBs. We may also use reinsurance to manage our exposure related to MRBs.</w:t>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Shield Embedded Derivatives.</w:t>
      </w:r>
      <w:r>
        <w:rPr>
          <w:color w:val="000000"/>
        </w:rPr>
        <w:t xml:space="preserve"> </w:t>
      </w:r>
      <w:r>
        <w:rPr>
          <w:rFonts w:ascii="Times New Roman;serif" w:hAnsi="Times New Roman;serif"/>
          <w:b w:val="false"/>
          <w:color w:val="000000"/>
          <w:sz w:val="20"/>
        </w:rPr>
        <w:t>Shield Annuities provide the contract holder the ability to participate in the appreciation of certain financial markets up to a stated level, while offering protection from a portion of declines in the applicable indices or benchmark. Shield embedded derivatives represent the estimated fair value of these features. We believe that Shield Annuities provide us with a risk offset to liabilities related to guaranteed rider benefits.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Year Ended December 31,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Annuity guaranteed benefits and Shield Annuity liabilities performance was unfavorable for the year ended December 31, 2025, primarily driven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favorable decreases in annuity guaranteed benefits liabilities due to increasing equity markets, partially offset by changes made in connection with the AAR and decreasing interest rates;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favorable changes in variable annuity and Shield hedges due to increasing equity markets;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unfavorable changes in Shield embedded derivatives due to increasing equity markets and changes made in connection with the AAR.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199515"/>
                <wp:effectExtent l="0" t="0" r="0" b="0"/>
                <wp:wrapNone/>
                <wp:docPr id="60" name="Frame59"/>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Year Ended December 31, 2024</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Annuity guaranteed benefits and Shield Annuity liabilities performance was unfavorable for the year ended December 31, 2024, primarily driven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favorable decreases in annuity guaranteed benefits liabilities due to increasing long-term interest rates and equity markets, as well as changes made in connection with the AAR;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favorable changes in variable annuity and Shield hedges due to increasing equity markets, partially offset by increasing long-term interest rates;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unfavorable changes in Shield embedded derivatives due to increasing equity markets, partially offset by increasing long-term interest rates and changes made in connection with the AAR.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Policyholder Liabilities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establish, and carry as liabilities, actuarially determined amounts that are calculated to meet policy obligations or to provide for future annuity and life insurance benefit payments. Amounts for actuarial liabilities are computed and reported in the financial statements in conformity with GAAP. See “— Summary of Critical Accounting Estimates” and Notes 1, 3 and 4 of the Notes to the Consolidated Financial Statements for more details on policyholder liabilities.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Due to the nature of the underlying risks and the uncertainty associated with the determination of actuarial liabilities, we cannot precisely determine the amounts that will ultimately be paid with respect to these actuarial liabilities, and the ultimate amounts may vary from the estimated amounts, particularly when payments may not occur until well into the future.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periodically review the assumptions supporting our estimates of actuarial liabilities for future policy benefits. We revise estimates, to the extent permitted or required under GAAP, if we determine that future expected experience differs from assumptions used in the development of actuarial liabilities. We charge or credit changes in our liabilities to expenses in the period the liabilities are established or re-estimated. If the liabilities originally established for future benefit payments prove inadequate, we must increase them. Such an increase could adversely affect our earnings and have a material adverse effect on our business, financial condition and results of operations.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experienced, and will likely in the future experience, catastrophe losses and possibly acts of terrorism, as well as turbulent financial markets that may have an adverse impact on our business, financial condition and results of operations. Moreover, the impact of climate change could cause changes in the frequency or severity of outbreaks of certain diseases. Due to their nature, we cannot predict the incidence, timing, severity or amount of losses from catastrophes, acts of terrorism or climate change, but we make broad use of catastrophic and non-catastrophic reinsurance to manage risk from these perils.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and results of operations are materially affected by conditions in the global capital markets and the economy generally. Stressed conditions, volatility or disruptions in global capital markets, particular markets or financial asset classes can impact us adversely, in part because we have a large investment portfolio and our insurance liabilities and derivatives are sensitive to changing market factors. Changing conditions in the global capital markets and the economy may affect our financing costs and market interest rates for our debt issuances. For further information regarding market factors that could affect our ability to meet liquidity and capital needs, see “— Overview — Financial and Economic Environment,” as well as “Risk Factors — Economic Environment and Capital Markets-Related Risks” and “Risk Factors — Risks Related to Our Investment Portfolio.”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Liquidity and Capital Management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Based upon our capitalization, expectations regarding maintaining our business mix, ratings and funding sources available to us, we believe we have sufficient liquidity to meet business requirements in current market conditions and certain stress scenarios. BHF’s Board of Directors, as well as our board of directors and senior management, are directly involved in the governance of the capital management process. We continuously monitor and adjust our liquidity and capital plans in light of market conditions, as well as changing needs and opportunities.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maintain a substantial short-term liquidity position, which was $3.5 billion and $4.0 billion at December 31, 2025 and 2024, respectively. Short-term liquidity is comprised of cash and cash equivalents and short-term investments, excluding assets that are pledged or otherwise committed. Assets pledged or otherwise committed include amounts received in connection with securities lending, derivatives and assets held on deposit or in trust.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199515"/>
                <wp:effectExtent l="0" t="0" r="0" b="0"/>
                <wp:wrapNone/>
                <wp:docPr id="61" name="Frame60"/>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 integral part of our liquidity management includes managing our level of liquid assets, which was $48.3 billion and $46.1 billion at December 31, 2025 and 2024, respectively. Liquid assets are comprised of cash and cash equivalents, short-term investments and publicly-traded securities, excluding assets that are pledged or otherwise committed. Assets pledged or otherwise committed include amounts received in connection with securities lending, funding agreements, derivatives and assets held on deposit or in trust.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Rating Agencies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Financial strength ratings represent the opinion of rating agencies regarding the ability of an insurance company to pay obligations under insurance policies and contracts in accordance with their terms. The level and composition of Brighthouse Life Insurance Company’s and BHNY’s regulatory capital are among the many factors considered in determining their respective financial strength ratings. Each agency has its own capital adequacy evaluation methodology, and assessments are generally based on a combination of factors. Financial strength ratings are not statements of fact nor are they recommendations to purchase, hold or sell any security, contract or policy. Each rating should be evaluated independently of any other rating.</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financial strength ratings as of the date of this filing were as follows:</w:t>
      </w:r>
    </w:p>
    <w:tbl>
      <w:tblPr>
        <w:tblW w:w="7802" w:type="dxa"/>
        <w:jc w:val="left"/>
        <w:tblInd w:w="0" w:type="dxa"/>
        <w:tblLayout w:type="fixed"/>
        <w:tblCellMar>
          <w:top w:w="28" w:type="dxa"/>
          <w:left w:w="28" w:type="dxa"/>
          <w:bottom w:w="28" w:type="dxa"/>
          <w:right w:w="28" w:type="dxa"/>
        </w:tblCellMar>
      </w:tblPr>
      <w:tblGrid>
        <w:gridCol w:w="1192"/>
        <w:gridCol w:w="1049"/>
        <w:gridCol w:w="1058"/>
        <w:gridCol w:w="354"/>
        <w:gridCol w:w="354"/>
        <w:gridCol w:w="356"/>
        <w:gridCol w:w="109"/>
        <w:gridCol w:w="109"/>
        <w:gridCol w:w="109"/>
        <w:gridCol w:w="244"/>
        <w:gridCol w:w="244"/>
        <w:gridCol w:w="246"/>
        <w:gridCol w:w="109"/>
        <w:gridCol w:w="109"/>
        <w:gridCol w:w="109"/>
        <w:gridCol w:w="329"/>
        <w:gridCol w:w="329"/>
        <w:gridCol w:w="331"/>
        <w:gridCol w:w="109"/>
        <w:gridCol w:w="109"/>
        <w:gridCol w:w="109"/>
        <w:gridCol w:w="215"/>
        <w:gridCol w:w="215"/>
        <w:gridCol w:w="305"/>
      </w:tblGrid>
      <w:tr>
        <w:trPr/>
        <w:tc>
          <w:tcPr>
            <w:tcW w:w="1192"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A.M. Best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Fitch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Moody’s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S&amp;P (4)</w:t>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i/>
                <w:color w:val="000000"/>
                <w:sz w:val="18"/>
              </w:rPr>
            </w:pPr>
            <w:r>
              <w:rPr>
                <w:rFonts w:ascii="Times New Roman;serif" w:hAnsi="Times New Roman;serif"/>
                <w:b w:val="false"/>
                <w:i/>
                <w:color w:val="000000"/>
                <w:sz w:val="18"/>
              </w:rPr>
              <w:t>Outlook</w:t>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val="false"/>
                <w:i/>
                <w:color w:val="000000"/>
                <w:sz w:val="18"/>
              </w:rPr>
            </w:pPr>
            <w:r>
              <w:rPr>
                <w:rFonts w:ascii="Times New Roman;serif" w:hAnsi="Times New Roman;serif"/>
                <w:b w:val="false"/>
                <w:i/>
                <w:color w:val="000000"/>
                <w:sz w:val="18"/>
              </w:rPr>
              <w:t>Watch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val="false"/>
                <w:i/>
                <w:color w:val="000000"/>
                <w:sz w:val="18"/>
              </w:rPr>
            </w:pPr>
            <w:r>
              <w:rPr>
                <w:rFonts w:ascii="Times New Roman;serif" w:hAnsi="Times New Roman;serif"/>
                <w:b w:val="false"/>
                <w:i/>
                <w:color w:val="000000"/>
                <w:sz w:val="18"/>
              </w:rPr>
              <w:t>Stable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val="false"/>
                <w:i/>
                <w:color w:val="000000"/>
                <w:sz w:val="18"/>
              </w:rPr>
            </w:pPr>
            <w:r>
              <w:rPr>
                <w:rFonts w:ascii="Times New Roman;serif" w:hAnsi="Times New Roman;serif"/>
                <w:b w:val="false"/>
                <w:i/>
                <w:color w:val="000000"/>
                <w:sz w:val="18"/>
              </w:rPr>
              <w:t>Watch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val="false"/>
                <w:i/>
                <w:color w:val="000000"/>
                <w:sz w:val="18"/>
              </w:rPr>
            </w:pPr>
            <w:r>
              <w:rPr>
                <w:rFonts w:ascii="Times New Roman;serif" w:hAnsi="Times New Roman;serif"/>
                <w:b w:val="false"/>
                <w:i/>
                <w:color w:val="000000"/>
                <w:sz w:val="18"/>
              </w:rPr>
              <w:t>Watch</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Brighthouse Life Insurance Company</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val="false"/>
                <w:color w:val="000000"/>
                <w:sz w:val="18"/>
              </w:rPr>
            </w:pPr>
            <w:r>
              <w:rPr>
                <w:rFonts w:ascii="Times New Roman;serif" w:hAnsi="Times New Roman;serif"/>
                <w:b w:val="false"/>
                <w:color w:val="000000"/>
                <w:sz w:val="18"/>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val="false"/>
                <w:color w:val="000000"/>
                <w:sz w:val="18"/>
              </w:rPr>
            </w:pPr>
            <w:r>
              <w:rPr>
                <w:rFonts w:ascii="Times New Roman;serif" w:hAnsi="Times New Roman;serif"/>
                <w:b w:val="false"/>
                <w:color w:val="000000"/>
                <w:sz w:val="18"/>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val="false"/>
                <w:color w:val="000000"/>
                <w:sz w:val="18"/>
              </w:rPr>
            </w:pPr>
            <w:r>
              <w:rPr>
                <w:rFonts w:ascii="Times New Roman;serif" w:hAnsi="Times New Roman;serif"/>
                <w:b w:val="false"/>
                <w:color w:val="000000"/>
                <w:sz w:val="18"/>
              </w:rPr>
              <w:t>A3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val="false"/>
                <w:color w:val="000000"/>
                <w:sz w:val="18"/>
              </w:rPr>
            </w:pPr>
            <w:r>
              <w:rPr>
                <w:rFonts w:ascii="Times New Roman;serif" w:hAnsi="Times New Roman;serif"/>
                <w:b w:val="false"/>
                <w:color w:val="000000"/>
                <w:sz w:val="18"/>
              </w:rPr>
              <w:t>A</w:t>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Brighthouse Life Insurance Company of NY</w:t>
            </w:r>
          </w:p>
        </w:tc>
        <w:tc>
          <w:tcPr>
            <w:tcW w:w="1064"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val="false"/>
                <w:color w:val="000000"/>
                <w:sz w:val="18"/>
              </w:rPr>
            </w:pPr>
            <w:r>
              <w:rPr>
                <w:rFonts w:ascii="Times New Roman;serif" w:hAnsi="Times New Roman;serif"/>
                <w:b w:val="false"/>
                <w:color w:val="000000"/>
                <w:sz w:val="18"/>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val="false"/>
                <w:color w:val="000000"/>
                <w:sz w:val="18"/>
              </w:rPr>
            </w:pPr>
            <w:r>
              <w:rPr>
                <w:rFonts w:ascii="Times New Roman;serif" w:hAnsi="Times New Roman;serif"/>
                <w:b w:val="false"/>
                <w:color w:val="000000"/>
                <w:sz w:val="18"/>
              </w:rPr>
              <w:t>NR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val="false"/>
                <w:color w:val="000000"/>
                <w:sz w:val="18"/>
              </w:rPr>
            </w:pPr>
            <w:r>
              <w:rPr>
                <w:rFonts w:ascii="Times New Roman;serif" w:hAnsi="Times New Roman;serif"/>
                <w:b w:val="false"/>
                <w:color w:val="000000"/>
                <w:sz w:val="18"/>
              </w:rPr>
              <w:t>NR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val="false"/>
                <w:color w:val="000000"/>
                <w:sz w:val="18"/>
              </w:rPr>
            </w:pPr>
            <w:r>
              <w:rPr>
                <w:rFonts w:ascii="Times New Roman;serif" w:hAnsi="Times New Roman;serif"/>
                <w:b w:val="false"/>
                <w:color w:val="000000"/>
                <w:sz w:val="18"/>
              </w:rPr>
              <w:t>A</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w:t>
      </w:r>
    </w:p>
    <w:p>
      <w:pPr>
        <w:pStyle w:val="TextBody"/>
        <w:bidi w:val="0"/>
        <w:spacing w:lineRule="auto" w:line="288" w:before="120" w:after="283"/>
        <w:ind w:left="0" w:right="0" w:hanging="360"/>
        <w:jc w:val="both"/>
        <w:rPr/>
      </w:pPr>
      <w:r>
        <w:rPr>
          <w:rFonts w:ascii="Times New Roman;serif" w:hAnsi="Times New Roman;serif"/>
          <w:b w:val="false"/>
          <w:color w:val="000000"/>
          <w:sz w:val="20"/>
        </w:rPr>
        <w:t>(1)</w:t>
      </w:r>
      <w:r>
        <w:rPr>
          <w:color w:val="000000"/>
        </w:rPr>
        <w:t>“</w:t>
      </w:r>
      <w:r>
        <w:rPr>
          <w:rFonts w:ascii="Times New Roman;serif" w:hAnsi="Times New Roman;serif"/>
          <w:b w:val="false"/>
          <w:color w:val="000000"/>
          <w:sz w:val="20"/>
        </w:rPr>
        <w:t>Watch” indicates that the rating is under review with negative implications. A.M. Best’s financial strength ratings for insurance companies range from “A++ (Superior)” to “S (Suspended).”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(2)Fitch’s financial strength ratings for insurance companies range from “AAA (highest rating)” to “C (distressed).”</w:t>
      </w:r>
    </w:p>
    <w:p>
      <w:pPr>
        <w:pStyle w:val="TextBody"/>
        <w:bidi w:val="0"/>
        <w:spacing w:lineRule="auto" w:line="288" w:before="120" w:after="283"/>
        <w:ind w:left="0" w:right="0" w:hanging="360"/>
        <w:jc w:val="both"/>
        <w:rPr/>
      </w:pPr>
      <w:r>
        <w:rPr>
          <w:rFonts w:ascii="Times New Roman;serif" w:hAnsi="Times New Roman;serif"/>
          <w:b w:val="false"/>
          <w:color w:val="000000"/>
          <w:sz w:val="20"/>
        </w:rPr>
        <w:t>(3)</w:t>
      </w:r>
      <w:r>
        <w:rPr>
          <w:color w:val="000000"/>
        </w:rPr>
        <w:t>“</w:t>
      </w:r>
      <w:r>
        <w:rPr>
          <w:rFonts w:ascii="Times New Roman;serif" w:hAnsi="Times New Roman;serif"/>
          <w:b w:val="false"/>
          <w:color w:val="000000"/>
          <w:sz w:val="20"/>
        </w:rPr>
        <w:t>Watch” indicates that the rating is on review for downgrade. Moody’s financial strength ratings for insurance companies range from “Aaa (highest quality)” to “C (lowest rated).”</w:t>
      </w:r>
    </w:p>
    <w:p>
      <w:pPr>
        <w:pStyle w:val="TextBody"/>
        <w:bidi w:val="0"/>
        <w:spacing w:lineRule="auto" w:line="288" w:before="120" w:after="283"/>
        <w:ind w:left="0" w:right="0" w:hanging="360"/>
        <w:jc w:val="both"/>
        <w:rPr/>
      </w:pPr>
      <w:r>
        <w:rPr>
          <w:rFonts w:ascii="Times New Roman;serif" w:hAnsi="Times New Roman;serif"/>
          <w:b w:val="false"/>
          <w:color w:val="000000"/>
          <w:sz w:val="20"/>
        </w:rPr>
        <w:t>(4)</w:t>
      </w:r>
      <w:r>
        <w:rPr>
          <w:color w:val="000000"/>
        </w:rPr>
        <w:t>“</w:t>
      </w:r>
      <w:r>
        <w:rPr>
          <w:rFonts w:ascii="Times New Roman;serif" w:hAnsi="Times New Roman;serif"/>
          <w:b w:val="false"/>
          <w:color w:val="000000"/>
          <w:sz w:val="20"/>
        </w:rPr>
        <w:t>Watch” indicates that the rating is on CreditWatch with negative implications. S&amp;P’s financial strength ratings for insurance companies range from “AAA (extremely strong)” to “SD (selective default)” or “D (default).”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NR = Not rated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Rating agencies continue to review and adjust our ratings. In July 2025, S&amp;P revised the financial strength ratings for Brighthouse Life Insurance Company and certain affiliates to A from A+, among other revisions. Following the announcement that BHF has entered into the Merger Agreement, S&amp;P, Moody’s and AM Best revised their outlook on our financial strength ratings, and Fitch downgraded our financial strength ratings. On November 6, 2025, S&amp;P placed Brighthouse Life Insurance Company and certain affiliates on CreditWatch Negative. On November 7, 2025, Moody’s placed Brighthouse Life Insurance Company and certain affiliates on review for a downgrade and changed the financial strength rating outlooks for those entities to rating under review. On November 10, 2025, AM Best placed Brighthouse Life Insurance Company and certain affiliates under review with negative implications. In addition, on November 10, 2025, Fitch downgraded the financial strength ratings for Brighthouse Life Insurance Company and an affiliate to A- from A. See “Risk Factors — Risks Related to Our Business — A downgrade or a potential downgrade in our financial strength ratings could result in a loss of business and materially adversely affect our financial condition and results of operations” for a description of the potential impact of a ratings downgrade.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Sources and Uses of Liquidity and Capital</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Cash Flows from Operating Activities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principal cash inflows from our insurance activities come from insurance premiums, annuity considerations and net investment income. The principal cash outflows are the result of various annuity and life insurance products, operating expenses and income tax, as well as interest expense. The primary liquidity concern with respect to these cash flows is the risk of early contract holder and policyholder withdrawal.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199515"/>
                <wp:effectExtent l="0" t="0" r="0" b="0"/>
                <wp:wrapNone/>
                <wp:docPr id="62" name="Frame61"/>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Cash Flows from Investing Activities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principal cash inflows from our investment activities come from repayments of principal, proceeds from maturities and sales of investments, as well as settlements of freestanding derivatives. The principal cash outflows relate to purchases of investments and settlements of freestanding derivatives. We typically can have a net cash outflow from investing activities because cash inflows from insurance operations are reinvested in accordance with our Asset Liability Management (“ALM”) discipline to fund insurance liabilities. We closely monitor and manage these risks through our comprehensive investment risk management process. The primary liquidity concerns with respect to these cash flows are the risk of default by debtors and market disruption.</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Cash Flows from Financing Activities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principal cash inflows from our financing activities come from capital contributions from our parent, BH Holdings, issuances of debt, deposits of funds associated with policyholder account balances and lending of securities. The principal cash outflows come from repayments of debt, withdrawals associated with policyholder account balances and the return of securities on loan. The primary liquidity concerns with respect to these cash flows are market disruption and the risk of early policyholder withdrawal.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Primary Sources of Liquidity and Capital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 summary description of liquidity and capital sources discussed in “— Sources and Uses of Liquidity and Capital,” the following additional information is provided regarding our primary sources of liquidity and capital:</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Funding Agreements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Brighthouse Life Insurance Company issues funding agreements and uses the proceeds from such issuances for spread lending purposes in connection with our institutional spread margin business or to provide additional liquidity. The institutional spread margin business is comprised of funding agreements issued in connection with the programs described in more detail below. Activity related to these programs is reported in the Corporate &amp; Other segment. See “Obligations Under Funding Agreements” in Note 3 of the Notes to the Consolidated Financial Statements for additional information on funding agreements.</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Funding Agreement-Backed Repurchase Agreement Program</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January 2024, Brighthouse Life Insurance Company established a secured funding agreement-backed repurchase agreement program (the “FABR Program”), pursuant to which Brighthouse Life Insurance Company may enter into repurchase agreements with bank counterparties and the proceeds of the repurchase agreements are then used by a special purpose entity to purchase funding agreements from Brighthouse Life Insurance Company.</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Funding Agreement-Backed Commercial Paper Program</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July 2021, Brighthouse Life Insurance Company established a funding agreement-backed commercial paper program (the “FABCP Program”) for spread lending purposes, pursuant to which a special purpose limited liability company (the “SPLLC”) may issue commercial paper and deposit the proceeds with Brighthouse Life Insurance Company under a funding agreement issued by Brighthouse Life Insurance Company to the SPLLC. The maximum aggregate principal amount permitted to be outstanding at any one time under the FABCP Program is $5.0 billion.</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Funding Agreement-Backed Notes Program</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April 2021, Brighthouse Life Insurance Company established a funding agreement-backed notes program (the “FABN Program”), pursuant to which Brighthouse Life Insurance Company may issue funding agreements to a special purpose statutory trust for spread lending purposes. The maximum aggregate principal amount permitted to be outstanding at any one time under the FABN Program is $7.0 billion.</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Federal Home Loan Bank Funding Agreements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Brighthouse Life Insurance Company is a member of the Federal Home Loan Bank (“FHLB”) of Atlanta, where we maintain a secured funding agreement program, under which funding agreements may be issued.</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Farmer Mac Funding Agreements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Brighthouse Life Insurance Company has a secured funding agreement program with the Federal Agricultural Mortgage Corporation and its affiliate Farmer Mac Mortgage Securities Corporation (“Farmer Mac”) with a term ending on December 1, 2026, pursuant to which the parties may enter into funding agreements in an aggregate amount of up to $750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199515"/>
                <wp:effectExtent l="0" t="0" r="0" b="0"/>
                <wp:wrapNone/>
                <wp:docPr id="63" name="Frame62"/>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regarding funding agreements issued for spread lending purposes is as follows:</w:t>
      </w:r>
    </w:p>
    <w:tbl>
      <w:tblPr>
        <w:tblW w:w="10975" w:type="dxa"/>
        <w:jc w:val="center"/>
        <w:tblInd w:w="0" w:type="dxa"/>
        <w:tblLayout w:type="fixed"/>
        <w:tblCellMar>
          <w:top w:w="28" w:type="dxa"/>
          <w:left w:w="28" w:type="dxa"/>
          <w:bottom w:w="28" w:type="dxa"/>
          <w:right w:w="28" w:type="dxa"/>
        </w:tblCellMar>
      </w:tblPr>
      <w:tblGrid>
        <w:gridCol w:w="493"/>
        <w:gridCol w:w="247"/>
        <w:gridCol w:w="236"/>
        <w:gridCol w:w="109"/>
        <w:gridCol w:w="109"/>
        <w:gridCol w:w="109"/>
        <w:gridCol w:w="196"/>
        <w:gridCol w:w="556"/>
        <w:gridCol w:w="109"/>
        <w:gridCol w:w="109"/>
        <w:gridCol w:w="109"/>
        <w:gridCol w:w="109"/>
        <w:gridCol w:w="196"/>
        <w:gridCol w:w="64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556"/>
        <w:gridCol w:w="154"/>
      </w:tblGrid>
      <w:tr>
        <w:trPr/>
        <w:tc>
          <w:tcPr>
            <w:tcW w:w="49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Principal Amount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Issuances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Repayments</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FABR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FABCP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FABN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FHLB Funding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Farmer Mac Funding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Fixed Maturity Securities Credit Quality — Ratings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Rating agency ratings are based on availability of applicable ratings from rating agencies on the NAIC credit rating provider list, including Moody’s, S&amp;P, Fitch, Dominion Bond Rating Service and Kroll Bond Rating Agency. If no rating is available from a rating agency, then an internally developed rating is used.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NAIC has methodologies to assess credit quality for certain Structured Securities comprised of non-agency RMBS, CMBS and ABS. The NAIC’s objective with these methodologies is to increase the accuracy in assessing expected losses, and to use the improved assessment to determine a more appropriate capital requirement for such Structured Securities. The methodologies reduce regulatory reliance on rating agencies and allow for greater regulatory input into the assumptions used to estimate expected losses from Structured Securities. In 2021, these methodologies were updated to only apply to those Structured Securities issued prior to 2013. We apply the NAIC methodologies to Structured Securities held by us. The NAIC’s present methodology is to evaluate Structured Securities held by insurers on an annual basis. If we acquire Structured Securities that have not been previously evaluated by the NAIC but are expected to be evaluated by the NAIC in the upcoming annual review, an internally developed designation is used until a final designation becomes available.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total fixed maturity securities by nationally statistical rating organizations (“NRSRO”) rating and the applicable NAIC designation from the NAIC published comparison of NRSRO ratings to NAIC designations, except for certain Structured Securities, which are presented using the NAIC methodologies, as well as the percentage, based on estimated fair value that each NAIC designation is comprised of at:</w:t>
      </w:r>
    </w:p>
    <w:tbl>
      <w:tblPr>
        <w:tblW w:w="12401" w:type="dxa"/>
        <w:jc w:val="left"/>
        <w:tblInd w:w="0" w:type="dxa"/>
        <w:tblLayout w:type="fixed"/>
        <w:tblCellMar>
          <w:top w:w="28" w:type="dxa"/>
          <w:left w:w="28" w:type="dxa"/>
          <w:bottom w:w="28" w:type="dxa"/>
          <w:right w:w="28" w:type="dxa"/>
        </w:tblCellMar>
      </w:tblPr>
      <w:tblGrid>
        <w:gridCol w:w="261"/>
        <w:gridCol w:w="229"/>
        <w:gridCol w:w="231"/>
        <w:gridCol w:w="109"/>
        <w:gridCol w:w="109"/>
        <w:gridCol w:w="109"/>
        <w:gridCol w:w="175"/>
        <w:gridCol w:w="175"/>
        <w:gridCol w:w="176"/>
        <w:gridCol w:w="109"/>
        <w:gridCol w:w="109"/>
        <w:gridCol w:w="109"/>
        <w:gridCol w:w="181"/>
        <w:gridCol w:w="541"/>
        <w:gridCol w:w="109"/>
        <w:gridCol w:w="109"/>
        <w:gridCol w:w="109"/>
        <w:gridCol w:w="109"/>
        <w:gridCol w:w="202"/>
        <w:gridCol w:w="320"/>
        <w:gridCol w:w="124"/>
        <w:gridCol w:w="109"/>
        <w:gridCol w:w="109"/>
        <w:gridCol w:w="109"/>
        <w:gridCol w:w="181"/>
        <w:gridCol w:w="481"/>
        <w:gridCol w:w="109"/>
        <w:gridCol w:w="109"/>
        <w:gridCol w:w="109"/>
        <w:gridCol w:w="109"/>
        <w:gridCol w:w="181"/>
        <w:gridCol w:w="541"/>
        <w:gridCol w:w="109"/>
        <w:gridCol w:w="109"/>
        <w:gridCol w:w="109"/>
        <w:gridCol w:w="109"/>
        <w:gridCol w:w="231"/>
        <w:gridCol w:w="235"/>
        <w:gridCol w:w="211"/>
        <w:gridCol w:w="109"/>
        <w:gridCol w:w="109"/>
        <w:gridCol w:w="109"/>
        <w:gridCol w:w="181"/>
        <w:gridCol w:w="541"/>
        <w:gridCol w:w="109"/>
        <w:gridCol w:w="109"/>
        <w:gridCol w:w="109"/>
        <w:gridCol w:w="109"/>
        <w:gridCol w:w="202"/>
        <w:gridCol w:w="320"/>
        <w:gridCol w:w="124"/>
        <w:gridCol w:w="109"/>
        <w:gridCol w:w="109"/>
        <w:gridCol w:w="109"/>
        <w:gridCol w:w="181"/>
        <w:gridCol w:w="481"/>
        <w:gridCol w:w="109"/>
        <w:gridCol w:w="109"/>
        <w:gridCol w:w="109"/>
        <w:gridCol w:w="109"/>
        <w:gridCol w:w="181"/>
        <w:gridCol w:w="541"/>
        <w:gridCol w:w="109"/>
        <w:gridCol w:w="327"/>
        <w:gridCol w:w="466"/>
        <w:gridCol w:w="256"/>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December 31, 2024</w:t>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NAIC Designation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NRSRO 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Unrealized Gain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Unrealized Gain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 of Total</w:t>
            </w:r>
          </w:p>
        </w:tc>
      </w:tr>
      <w:tr>
        <w:trPr/>
        <w:tc>
          <w:tcPr>
            <w:tcW w:w="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0"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(Dollars in millions)</w:t>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Aaa/Aa/A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66.1 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26,525 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24,997 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30.9 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28,127 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25,535 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Subtotal investment grade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Caa and lower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or near default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Subtotal below investment grade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2,567 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2,416 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2,463 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2,242 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157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fixed maturity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85,907 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(4,885)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80,960 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86,565 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(7,357)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79,129 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bl>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Debt Issuances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11 of the Notes to the Consolidated Financial Statements for information on debt issuances.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Committed Facilities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11 of the Notes to the Consolidated Financial Statements for information regarding our committed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199515"/>
                <wp:effectExtent l="0" t="0" r="0" b="0"/>
                <wp:wrapNone/>
                <wp:docPr id="64" name="Frame63"/>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Primary Uses of Liquidity and Capital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 summarized description of liquidity and capital uses discussed in “— Sources and Uses of Liquidity and Capital,” the following additional information is provided regarding our primary uses of liquidity and capital:</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Dividends Paid to BH Holdings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12 of the Notes to the Consolidated Financial Statements.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Intercompany Liquidity Facilities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11 of the Notes to the Consolidated Financial Statements for information relating to our intercompany liquidity facilities including obligations outstanding, issuances and repayments.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Insurance Liabilities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Liabilities arising from our insurance activities primarily relate to benefit payments under various annuity and life insurance products, as well as payments for policy surrenders, withdrawals and loans.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Pledged Collateral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enter into derivatives to manage various risks relating to our ongoing business operations. We pledge collateral to, and have collateral pledged to us by, counterparties in connection with our derivatives. At December 31, 2025, we pledged $34 million of cash collateral to counterparties. At December 31, 2024, we did not pledge any cash collateral to counterparties. At December 31, 2025 and 2024, we were obligated to return cash collateral pledged to us by counterparties of $1.5 billion and $796 million, respectively. The timing of the return of the derivatives collateral is uncertain. We also pledge collateral from time to time in connection with certain funding agreements.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receive non-cash collateral from counterparties for derivatives, which can be sold or re-pledged subject to certain constraints, and which is not recorded on our consolidated balance sheets. The amount of this non-cash collateral at estimated fair value was $3.2 billion and $2.3 billion at December 31, 2025 and 2024, respectively.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9 of the Notes to the Consolidated Financial Statements for additional information regarding pledged collateral.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Securities Lending</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 securities lending program that aims to enhance the total return on our investment portfolio, whereby securities are loaned to third parties, primarily brokerage firms and commercial banks. We obtain collateral, usually cash, from the borrower, which must be returned to the borrower when the loaned securities are returned to us. Generally, our securities lending contracts expire within twelve months of issuance. We were liable for cash collateral under our control of $3.2 billion at both December 31, 2025 and 2024.</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receive non-cash collateral for securities lending from counterparties, which cannot be sold or re-pledged, and which is not recorded on our consolidated balance sheets. There was no non-cash collateral at both December 31, 2025 and 2024.</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8 of the Notes to the Consolidated Financial Statements for further discussion of our securities lending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Contingencies, Commitments and Guarantees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establish liabilities for litigation, regulatory and other loss contingencies when it is probable that a loss has been incurred and the amount of the loss can be reasonably estimated. See Note 15 of the Notes to the Consolidated Financial Statements for additional information regarding contingencies.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enter into commitments for the purpose of enhancing the total return on our investment portfolio consisting of commitments to fund partnership investments, bank credit facilities and private corporate bond investments, as well as commitments to lend funds under mortgage loan commitments. We anticipate these commitments could be invested any time over the next five years. See Notes 8 and 15 of the Notes to the Consolidated Financial Statements for additional information regarding commitments.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normal course of our business, we have provided certain indemnities, guarantees and commitments to third parties such that we may be required to make payments now or in the future. See Note 15 of the Notes to the Consolidated Financial Statements for additional information regarding guarantees.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199515"/>
                <wp:effectExtent l="0" t="0" r="0" b="0"/>
                <wp:wrapNone/>
                <wp:docPr id="65" name="Frame64"/>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Risk Management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an integrated process for managing risk exposures, which is coordinated among our Risk Management, Finance and Investment Departments. The process is designed to assess and manage exposures on a consolidated, company-wide basis. The Brighthouse Financial Balance Sheet Committee (“BSC”) is responsible for periodically reviewing all material financial risks and, in the event risks exceed desired tolerances, informs the Finance and Risk Committee of the Board of Directors of BHF, considers possible courses of action and determines how best to resolve or mitigate such risks. In taking such actions, the BSC considers industry best practices and the current economic environment. The BSC also reviews and approves target investment portfolios in order to align them with our liability profile and establishes guidelines and limits for various risk-taking departments, such as the Investment Department. Our Finance Department and our Investment Department, together with Risk Management, are responsible for coordinating our ALM strategies throughout the enterprise. The voting membership of the BSC is comprised of the following members of Brighthouse Financial’s senior management: Chief Executive Officer, Chief Risk Officer, Chief Financial Officer, Chief Investment Officer and Head of Product Strategy and Underwriting.</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significant market risk management practices include, but are not limited to, the following:</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Managing Interest Rate Risk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manage interest rate risk as part of our asset and liability management strategies, which include (i) maintaining an investment portfolio that has a weighted average duration approximately equal to the duration of our estimated liability cash flow profile, and (ii) maintaining hedging programs. For certain of our liability portfolios, it is not possible to invest assets to the full liability duration, thereby creating some asset/liability mismatch. Where a liability cash flow may exceed the maturity of available assets, as is the case with certain life insurance and annuity products, we may support such liabilities with equity investments, derivatives or other mismatch mitigation strategies. Although we take measures to manage the economic risks of investing in a changing interest rate environment, we may not be able to mitigate completely the interest rate or other mismatch risk of our fixed income investments relative to our interest rate sensitive liabilities. The level of interest rates also affects our liabilities for benefits under our annuity contracts. If interest rates continue to decline, we may need to increase our reserves for future benefits under our annuity contracts, which would adversely affect our financial condition and results of operations.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employ product design and pricing strategies to mitigate the potential effects of interest rate movements. These strategies include the use of surrender charges, market value adjustment features or restrictions on withdrawals, and for certain products, the ability to reset crediting rates.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analyze interest rate risk using various models, including multi-scenario cash flow projection models that forecast cash flows of the liabilities and their supporting investments, including derivatives. These projections involve evaluating the potential gain or loss on most of our in-force business under various increasing and decreasing interest rate environments. State insurance department regulations require that we perform some of these analyses annually as part of our review of the sufficiency of our regulatory reserves. We measure relative sensitivities of the value of our assets and liabilities to changes in key assumptions using internal models. These models reflect specific product characteristics and include assumptions based on current and anticipated experience regarding lapse, mortality and interest crediting rates. In addition, these models include asset cash flow projections reflecting interest payments, sinking fund payments, principal payments, bond calls, prepayments and defaults.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use common industry metrics, such as duration and convexity, to measure the relative sensitivity of asset and liability values to changes in interest rates. In computing the duration of liabilities, we consider all policyholder guarantees and how indeterminate policy elements such as interest credits or dividends are set. Each asset portfolio has a duration target based on the liability duration and the investment objectives of that portfolio.</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Managing Equity Market and Foreign Currency Risks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manage equity market risk in a coordinated process across our Risk Management, Investment and Finance Departments primarily by (i) holding sufficient capital to permit us to absorb modest losses, which may be temporary, from changes in equity markets and interest rates, and (ii) through the use of derivatives.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employ product design strategies to mitigate the effect of changes in equity markets such as prioritizing products that provide a risk offset and diversification to our variable annuity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199515"/>
                <wp:effectExtent l="0" t="0" r="0" b="0"/>
                <wp:wrapNone/>
                <wp:docPr id="66" name="Frame65"/>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Key management objectives include limiting losses, minimizing exposures to significant risks and providing additional capital capacity for future growth. The Investment and Finance Departments are also responsible for managing the exposure to foreign currency denominated investments. We use foreign currency swaps and forwards to mitigate the exposure, risk of loss and financial statement volatility associated with foreign currency denominated fixed income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Market Risk - Fair Value Exposures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exposure to market risk through our insurance operations and general account investment activities. For purposes of this discussion, “market risk” is defined as changes in estimated fair value resulting from changes in interest rates, equity market prices, credit spreads and foreign currency exchange rates. We regularly analyze our market risk exposure. As a result of that analysis, we have determined that the estimated fair values of certain assets and liabilities are significantly exposed to changes in interest rates, and to a lesser extent, to changes in equity market prices and foreign currency exchange rates. We may have additional financial impacts other than changes in estimated fair value. See “Risk Factors” for additional disclosure regarding our market risk and related sensitivities.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Interest Rates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fair value exposure to changes in interest rates arises most significantly from our interest rate sensitive liabilities and our holdings of fixed maturity securities, mortgage loans and derivatives that are used to support our policyholder liabilities. Our interest rate sensitive liabilities include long-term debt, policyholder account balances related to certain investment contracts and variable annuity guarantees accounted for as MRBs. Our fixed maturity securities including U.S. and foreign government bonds, securities issued by government agencies, corporate bonds, mortgage-backed and other ABS, and our commercial, agricultural and residential mortgage loans, are exposed to changes in interest rates. We also use interest rate derivatives to mitigate the exposure related to interest rate risks from our policyholder liabilities.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Equity Market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fair value exposure to equity market risk primarily arises from policyholder liabilities with long-term guarantees on equity performance, including crediting rates on index-linked annuities accounted for as embedded derivatives and variable annuity guarantees. In addition, we have exposure to equity markets through equity derivatives that we enter into to mitigate potential equity market exposure from our policyholder liabilities.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Foreign Currency Exchange Rates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fair value exposure to fluctuations in foreign currency exchange rates against the U.S. dollar results from our holdings in non-U.S. dollar denominated fixed maturity securities, mortgage loans and certain liabilities. The principal currencies that create foreign currency exchange rate risk in our investment portfolios and liabilities are the Euro and the British pound. We economically hedge substantially all of our foreign currency exposure.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Risk Measurement: Sensitivity Analysis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following discussion and analysis, we measure market risk related to our market sensitive assets and liabilities based on changes in interest rates, equity market prices and foreign currency exchange rates using a sensitivity analysis. This analysis estimates the potential changes in estimated fair value based on a hypothetical 100 basis point change (increase or decrease) in interest rates, or a 10% change in equity market prices or foreign currency exchange rates. We believe that these changes in market rates and prices are reasonably possible in the near-term. In performing the analysis summarized below, we used market rates as of December 31, 2025. We modeled the impact of changes in market rates and prices on the estimated fair values of our market sensitive assets and liabilities as follows: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estimated fair value of our interest rate sensitive exposures resulting from a 100 basis point change (increase or decrease) in interest rates;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estimated fair value of our equity positions due to a 10% change (increase or decrease) in equity market prices;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U.S. dollar equivalent of estimated fair values of our foreign currency exposures due to a 10% change (increase or decrease) in foreign currency exchange rates.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sensitivity analysis is an estimate and should not be viewed as predictive of our future financial performance. Our actual losses in any particular period may vary from the amounts indicated in the table below. Limitations related to this sensitivity analysis include: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interest sensitive liabilities do not include a significant portion of our insurance contract liabilities.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199515"/>
                <wp:effectExtent l="0" t="0" r="0" b="0"/>
                <wp:wrapNone/>
                <wp:docPr id="67" name="Frame66"/>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believes that the changes in the economic value of those contracts under changing interest rates would offset a significant portion of the fair value changes of interest sensitive assets;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market risk information is limited by the assumptions and parameters established in creating the related sensitivity analysis, including the impact of prepayment rates on mortgage loans;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for derivatives that qualify for hedge accounting, the impact on reported earnings may be materially different from the change in market values;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analysis excludes limited partnership interests;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model assumes that the composition of assets and liabilities remains unchanged throughout the period.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Accordingly, we use such models as tools and not as substitutes for the experience and judgment of our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199515"/>
                <wp:effectExtent l="0" t="0" r="0" b="0"/>
                <wp:wrapNone/>
                <wp:docPr id="68" name="Frame67"/>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potential loss in the estimated fair value of our interest rate sensitive financial instruments due to a 100 basis point increase in the yield curve by type of asset and liability was as follows at:</w:t>
      </w:r>
    </w:p>
    <w:tbl>
      <w:tblPr>
        <w:tblW w:w="10205" w:type="dxa"/>
        <w:jc w:val="left"/>
        <w:tblInd w:w="0" w:type="dxa"/>
        <w:tblLayout w:type="fixed"/>
        <w:tblCellMar>
          <w:top w:w="28" w:type="dxa"/>
          <w:left w:w="28" w:type="dxa"/>
          <w:bottom w:w="28" w:type="dxa"/>
          <w:right w:w="28" w:type="dxa"/>
        </w:tblCellMar>
      </w:tblPr>
      <w:tblGrid>
        <w:gridCol w:w="1480"/>
        <w:gridCol w:w="1239"/>
        <w:gridCol w:w="1244"/>
        <w:gridCol w:w="243"/>
        <w:gridCol w:w="915"/>
        <w:gridCol w:w="135"/>
        <w:gridCol w:w="109"/>
        <w:gridCol w:w="109"/>
        <w:gridCol w:w="109"/>
        <w:gridCol w:w="337"/>
        <w:gridCol w:w="1113"/>
        <w:gridCol w:w="187"/>
        <w:gridCol w:w="109"/>
        <w:gridCol w:w="109"/>
        <w:gridCol w:w="109"/>
        <w:gridCol w:w="563"/>
        <w:gridCol w:w="1644"/>
        <w:gridCol w:w="451"/>
      </w:tblGrid>
      <w:tr>
        <w:trPr/>
        <w:tc>
          <w:tcPr>
            <w:tcW w:w="1480"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3963" w:type="dxa"/>
            <w:gridSpan w:val="3"/>
            <w:tcBorders/>
            <w:tcMar>
              <w:top w:w="0" w:type="dxa"/>
              <w:left w:w="0" w:type="dxa"/>
              <w:bottom w:w="0" w:type="dxa"/>
              <w:right w:w="0" w:type="dxa"/>
            </w:tcMar>
            <w:vAlign w:val="center"/>
          </w:tcPr>
          <w:p>
            <w:pPr>
              <w:pStyle w:val="TableContents"/>
              <w:bidi w:val="0"/>
              <w:spacing w:lineRule="auto" w:line="288" w:before="240" w:after="283"/>
              <w:jc w:val="left"/>
              <w:rPr>
                <w:color w:val="000000"/>
              </w:rPr>
            </w:pPr>
            <w:r>
              <w:rPr>
                <w:color w:val="000000"/>
              </w:rPr>
              <w:t> </w:t>
            </w:r>
          </w:p>
        </w:tc>
        <w:tc>
          <w:tcPr>
            <w:tcW w:w="6242" w:type="dxa"/>
            <w:gridSpan w:val="15"/>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963" w:type="dxa"/>
            <w:gridSpan w:val="3"/>
            <w:tcBorders/>
            <w:tcMar>
              <w:top w:w="0" w:type="dxa"/>
              <w:left w:w="0" w:type="dxa"/>
              <w:bottom w:w="0" w:type="dxa"/>
              <w:right w:w="0" w:type="dxa"/>
            </w:tcMar>
            <w:vAlign w:val="center"/>
          </w:tcPr>
          <w:p>
            <w:pPr>
              <w:pStyle w:val="TableContents"/>
              <w:bidi w:val="0"/>
              <w:spacing w:lineRule="auto" w:line="288" w:before="240" w:after="283"/>
              <w:jc w:val="left"/>
              <w:rPr>
                <w:color w:val="000000"/>
              </w:rPr>
            </w:pPr>
            <w:r>
              <w:rPr>
                <w:color w:val="000000"/>
              </w:rPr>
              <w:t> </w:t>
            </w:r>
          </w:p>
        </w:tc>
        <w:tc>
          <w:tcPr>
            <w:tcW w:w="12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Notional 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Estimated Fair Value (1)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100 Basis Point Increase in the Yield Curve </w:t>
            </w:r>
          </w:p>
        </w:tc>
      </w:tr>
      <w:tr>
        <w:trPr/>
        <w:tc>
          <w:tcPr>
            <w:tcW w:w="3963" w:type="dxa"/>
            <w:gridSpan w:val="3"/>
            <w:tcBorders/>
            <w:tcMar>
              <w:top w:w="0" w:type="dxa"/>
              <w:left w:w="0" w:type="dxa"/>
              <w:bottom w:w="0" w:type="dxa"/>
              <w:right w:w="0" w:type="dxa"/>
            </w:tcMar>
            <w:vAlign w:val="center"/>
          </w:tcPr>
          <w:p>
            <w:pPr>
              <w:pStyle w:val="TableContents"/>
              <w:bidi w:val="0"/>
              <w:spacing w:lineRule="auto" w:line="288" w:before="240" w:after="283"/>
              <w:jc w:val="left"/>
              <w:rPr>
                <w:color w:val="000000"/>
              </w:rPr>
            </w:pPr>
            <w:r>
              <w:rPr>
                <w:color w:val="000000"/>
              </w:rPr>
              <w:t> </w:t>
            </w:r>
          </w:p>
        </w:tc>
        <w:tc>
          <w:tcPr>
            <w:tcW w:w="6242" w:type="dxa"/>
            <w:gridSpan w:val="15"/>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Financial assets with interest rate risk</w:t>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Fixed maturity securities</w:t>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80,960 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44"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(4,580)</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Mortgage loans</w:t>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21,705 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(824)</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Policy loans</w:t>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1,072 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Premiums, reinsurance and other receivables</w:t>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8,030 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Reinsurance of index-linked annuities and market risk benefits</w:t>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Increase (decrease) in estimated fair value of assets</w:t>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(5,584)</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Financial liabilities with interest rate risk (2)</w:t>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Policyholder account balances</w:t>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28,644 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768 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1,249 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Embedded derivatives on index-linked annuities (3)</w:t>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12,406 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(Increase) decrease in estimated fair value of liabilities</w:t>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Market risk benefits associated with variable annuities</w:t>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7,017 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(1,804)</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Derivative instruments with interest rate risk</w:t>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Interest rate contracts</w:t>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83,364 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(1,785)</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(2,260)</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contracts</w:t>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4,621 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Equity contracts</w:t>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216,118 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3,057 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802 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Increase (decrease) in estimated fair value of derivative instruments</w:t>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(1,478)</w:t>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Net change</w:t>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(4,918)</w:t>
            </w:r>
          </w:p>
        </w:tc>
        <w:tc>
          <w:tcPr>
            <w:tcW w:w="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(1)Separate account assets and liabilities, which are interest rate sensitive, are not included herein as any interest rate risk is borne by the contract holder.</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(2)Excludes $35.4 billion of liabilities at carrying value pursuant to insurance contracts reported within future policy benefits and other policy-related balances on the consolidated balance sheet at December 31, 2025. Management believes that the changes in the economic value of those contracts under changing interest rates would offset a significant portion of the fair value changes of interest rate sensitive assets.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(3)Embedded derivatives on index-linked annuities are recognized on the consolidated balance sheet in Policyholder account balances.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Sensitivity Summary</w:t>
      </w:r>
    </w:p>
    <w:p>
      <w:pPr>
        <w:pStyle w:val="TextBody"/>
        <w:bidi w:val="0"/>
        <w:spacing w:lineRule="auto" w:line="288" w:before="120" w:after="283"/>
        <w:ind w:left="0" w:right="0" w:firstLine="360"/>
        <w:jc w:val="both"/>
        <w:rPr/>
      </w:pPr>
      <w:r>
        <w:rPr>
          <w:rFonts w:ascii="Times New Roman;serif" w:hAnsi="Times New Roman;serif"/>
          <w:b w:val="false"/>
          <w:color w:val="000000"/>
          <w:sz w:val="20"/>
        </w:rPr>
        <w:t>Sensitivity to a 100 basis point rise in interest rates increased by $418 million, or 9% to</w:t>
      </w:r>
      <w:r>
        <w:rPr>
          <w:color w:val="000000"/>
        </w:rPr>
        <w:t xml:space="preserve"> </w:t>
      </w:r>
      <w:r>
        <w:rPr>
          <w:rFonts w:ascii="Times New Roman;serif" w:hAnsi="Times New Roman;serif"/>
          <w:b w:val="false"/>
          <w:color w:val="000000"/>
          <w:sz w:val="20"/>
        </w:rPr>
        <w:t>$4.9 billion at December 31, 2025 from $4.5 billion at December 31, 2024, primarily as a result of an increase in derivatives used to mitigate interest rate exposures from our policyholder liabilities.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Sensitivity to a 10% decrease in equity prices increased</w:t>
      </w:r>
      <w:r>
        <w:rPr>
          <w:color w:val="000000"/>
        </w:rPr>
        <w:t xml:space="preserve"> </w:t>
      </w:r>
      <w:r>
        <w:rPr>
          <w:rFonts w:ascii="Times New Roman;serif" w:hAnsi="Times New Roman;serif"/>
          <w:b w:val="false"/>
          <w:color w:val="000000"/>
          <w:sz w:val="20"/>
        </w:rPr>
        <w:t>by $403 million, or 128%</w:t>
      </w:r>
      <w:r>
        <w:rPr>
          <w:color w:val="000000"/>
        </w:rPr>
        <w:t xml:space="preserve"> </w:t>
      </w:r>
      <w:r>
        <w:rPr>
          <w:rFonts w:ascii="Times New Roman;serif" w:hAnsi="Times New Roman;serif"/>
          <w:b w:val="false"/>
          <w:color w:val="000000"/>
          <w:sz w:val="20"/>
        </w:rPr>
        <w:t>to</w:t>
      </w:r>
      <w:r>
        <w:rPr>
          <w:color w:val="000000"/>
        </w:rPr>
        <w:t xml:space="preserve"> </w:t>
      </w:r>
      <w:r>
        <w:rPr>
          <w:rFonts w:ascii="Times New Roman;serif" w:hAnsi="Times New Roman;serif"/>
          <w:b w:val="false"/>
          <w:color w:val="000000"/>
          <w:sz w:val="20"/>
        </w:rPr>
        <w:t>$719 million</w:t>
      </w:r>
      <w:r>
        <w:rPr>
          <w:color w:val="000000"/>
        </w:rPr>
        <w:t xml:space="preserve"> </w:t>
      </w:r>
      <w:r>
        <w:rPr>
          <w:rFonts w:ascii="Times New Roman;serif" w:hAnsi="Times New Roman;serif"/>
          <w:b w:val="false"/>
          <w:color w:val="000000"/>
          <w:sz w:val="20"/>
        </w:rPr>
        <w:t>at December 31, 2025 from $316 million at December 31, 2024, primarily due to differences between the fair value methodologies of our equity-sensitive liabilities compared to the methodologies used to value the related derivative instruments.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discussed above, we economically hedge substantially all of our foreign currency exposure such that sensitivity to changes in foreign currencies is minimal.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199515"/>
                <wp:effectExtent l="0" t="0" r="0" b="0"/>
                <wp:wrapNone/>
                <wp:docPr id="69" name="Frame68"/>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Index to Consolidated Financial Statements, Notes and Schedules</w:t>
      </w:r>
    </w:p>
    <w:tbl>
      <w:tblPr>
        <w:tblW w:w="10205" w:type="dxa"/>
        <w:jc w:val="center"/>
        <w:tblInd w:w="0" w:type="dxa"/>
        <w:tblLayout w:type="fixed"/>
        <w:tblCellMar>
          <w:top w:w="28" w:type="dxa"/>
          <w:left w:w="28" w:type="dxa"/>
          <w:bottom w:w="28" w:type="dxa"/>
          <w:right w:w="28" w:type="dxa"/>
        </w:tblCellMar>
      </w:tblPr>
      <w:tblGrid>
        <w:gridCol w:w="3541"/>
        <w:gridCol w:w="3036"/>
        <w:gridCol w:w="3055"/>
        <w:gridCol w:w="167"/>
        <w:gridCol w:w="167"/>
        <w:gridCol w:w="239"/>
      </w:tblGrid>
      <w:tr>
        <w:trPr/>
        <w:tc>
          <w:tcPr>
            <w:tcW w:w="3541" w:type="dxa"/>
            <w:tcBorders/>
            <w:vAlign w:val="center"/>
          </w:tcPr>
          <w:p>
            <w:pPr>
              <w:pStyle w:val="TableContents"/>
              <w:bidi w:val="0"/>
              <w:spacing w:before="0" w:after="283"/>
              <w:jc w:val="left"/>
              <w:rPr>
                <w:sz w:val="4"/>
                <w:szCs w:val="4"/>
              </w:rPr>
            </w:pPr>
            <w:r>
              <w:rPr>
                <w:sz w:val="4"/>
                <w:szCs w:val="4"/>
              </w:rPr>
            </w:r>
          </w:p>
        </w:tc>
        <w:tc>
          <w:tcPr>
            <w:tcW w:w="3036" w:type="dxa"/>
            <w:tcBorders/>
            <w:vAlign w:val="center"/>
          </w:tcPr>
          <w:p>
            <w:pPr>
              <w:pStyle w:val="TableContents"/>
              <w:bidi w:val="0"/>
              <w:spacing w:before="0" w:after="283"/>
              <w:jc w:val="left"/>
              <w:rPr>
                <w:sz w:val="4"/>
                <w:szCs w:val="4"/>
              </w:rPr>
            </w:pPr>
            <w:r>
              <w:rPr>
                <w:sz w:val="4"/>
                <w:szCs w:val="4"/>
              </w:rPr>
            </w:r>
          </w:p>
        </w:tc>
        <w:tc>
          <w:tcPr>
            <w:tcW w:w="305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9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4b9e6b138e4c15b462f76456fc5e4b_196">
              <w:r>
                <w:rPr>
                  <w:rStyle w:val="InternetLink"/>
                  <w:rFonts w:ascii="Times New Roman;serif" w:hAnsi="Times New Roman;serif"/>
                  <w:b w:val="false"/>
                  <w:color w:val="0000FF"/>
                  <w:sz w:val="20"/>
                  <w:u w:val="single"/>
                </w:rPr>
                <w:t>Report of Independent Registered Public Accounting Firm</w:t>
              </w:r>
            </w:hyperlink>
          </w:p>
        </w:tc>
        <w:tc>
          <w:tcPr>
            <w:tcW w:w="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3c4b9e6b138e4c15b462f76456fc5e4b_196">
              <w:r>
                <w:rPr>
                  <w:rStyle w:val="InternetLink"/>
                  <w:rFonts w:ascii="Times New Roman;serif" w:hAnsi="Times New Roman;serif"/>
                  <w:b w:val="false"/>
                  <w:color w:val="0000FF"/>
                  <w:sz w:val="20"/>
                  <w:u w:val="single"/>
                </w:rPr>
                <w:t>69</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Financial Statements at December 31, 2025 and 2024 and for the Years Ended December 31, 2025, 2024 and 2023:</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3c4b9e6b138e4c15b462f76456fc5e4b_199">
              <w:r>
                <w:rPr>
                  <w:rStyle w:val="InternetLink"/>
                  <w:rFonts w:ascii="Times New Roman;serif" w:hAnsi="Times New Roman;serif"/>
                  <w:b w:val="false"/>
                  <w:color w:val="0000FF"/>
                  <w:sz w:val="20"/>
                  <w:u w:val="single"/>
                </w:rPr>
                <w:t>Consolidated Balance Sheets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199">
              <w:r>
                <w:rPr>
                  <w:rStyle w:val="InternetLink"/>
                  <w:rFonts w:ascii="Times New Roman;serif" w:hAnsi="Times New Roman;serif"/>
                  <w:b w:val="false"/>
                  <w:color w:val="0000FF"/>
                  <w:sz w:val="20"/>
                  <w:u w:val="single"/>
                </w:rPr>
                <w:t>72</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3c4b9e6b138e4c15b462f76456fc5e4b_202">
              <w:r>
                <w:rPr>
                  <w:rStyle w:val="InternetLink"/>
                  <w:rFonts w:ascii="Times New Roman;serif" w:hAnsi="Times New Roman;serif"/>
                  <w:b w:val="false"/>
                  <w:color w:val="0000FF"/>
                  <w:sz w:val="20"/>
                  <w:u w:val="single"/>
                </w:rPr>
                <w:t>Consolidated Statements of Operations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202">
              <w:r>
                <w:rPr>
                  <w:rStyle w:val="InternetLink"/>
                  <w:rFonts w:ascii="Times New Roman;serif" w:hAnsi="Times New Roman;serif"/>
                  <w:b w:val="false"/>
                  <w:color w:val="0000FF"/>
                  <w:sz w:val="20"/>
                  <w:u w:val="single"/>
                </w:rPr>
                <w:t>73</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3c4b9e6b138e4c15b462f76456fc5e4b_205">
              <w:r>
                <w:rPr>
                  <w:rStyle w:val="InternetLink"/>
                  <w:rFonts w:ascii="Times New Roman;serif" w:hAnsi="Times New Roman;serif"/>
                  <w:b w:val="false"/>
                  <w:color w:val="0000FF"/>
                  <w:sz w:val="20"/>
                  <w:u w:val="single"/>
                </w:rPr>
                <w:t>Consolidated Statements of Comprehensive Income (Loss)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205">
              <w:r>
                <w:rPr>
                  <w:rStyle w:val="InternetLink"/>
                  <w:rFonts w:ascii="Times New Roman;serif" w:hAnsi="Times New Roman;serif"/>
                  <w:b w:val="false"/>
                  <w:color w:val="0000FF"/>
                  <w:sz w:val="20"/>
                  <w:u w:val="single"/>
                </w:rPr>
                <w:t>74</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3c4b9e6b138e4c15b462f76456fc5e4b_208">
              <w:r>
                <w:rPr>
                  <w:rStyle w:val="InternetLink"/>
                  <w:rFonts w:ascii="Times New Roman;serif" w:hAnsi="Times New Roman;serif"/>
                  <w:b w:val="false"/>
                  <w:color w:val="0000FF"/>
                  <w:sz w:val="20"/>
                  <w:u w:val="single"/>
                </w:rPr>
                <w:t>Consolidated Statements of Equity</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208">
              <w:r>
                <w:rPr>
                  <w:rStyle w:val="InternetLink"/>
                  <w:rFonts w:ascii="Times New Roman;serif" w:hAnsi="Times New Roman;serif"/>
                  <w:b w:val="false"/>
                  <w:color w:val="0000FF"/>
                  <w:sz w:val="20"/>
                  <w:u w:val="single"/>
                </w:rPr>
                <w:t>75</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3c4b9e6b138e4c15b462f76456fc5e4b_211">
              <w:r>
                <w:rPr>
                  <w:rStyle w:val="InternetLink"/>
                  <w:rFonts w:ascii="Times New Roman;serif" w:hAnsi="Times New Roman;serif"/>
                  <w:b w:val="false"/>
                  <w:color w:val="0000FF"/>
                  <w:sz w:val="20"/>
                  <w:u w:val="single"/>
                </w:rPr>
                <w:t>Consolidated Statements of Cash Flows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211">
              <w:r>
                <w:rPr>
                  <w:rStyle w:val="InternetLink"/>
                  <w:rFonts w:ascii="Times New Roman;serif" w:hAnsi="Times New Roman;serif"/>
                  <w:b w:val="false"/>
                  <w:color w:val="0000FF"/>
                  <w:sz w:val="20"/>
                  <w:u w:val="single"/>
                </w:rPr>
                <w:t>76</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Notes to the Consolidated Financial Statements</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3c4b9e6b138e4c15b462f76456fc5e4b_214">
              <w:r>
                <w:rPr>
                  <w:rStyle w:val="InternetLink"/>
                  <w:rFonts w:ascii="Times New Roman;serif" w:hAnsi="Times New Roman;serif"/>
                  <w:b w:val="false"/>
                  <w:color w:val="0000FF"/>
                  <w:sz w:val="20"/>
                  <w:u w:val="single"/>
                </w:rPr>
                <w:t>Note 1 — Business, Basis of Presentation and Summary of Significant Accounting Policies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214">
              <w:r>
                <w:rPr>
                  <w:rStyle w:val="InternetLink"/>
                  <w:rFonts w:ascii="Times New Roman;serif" w:hAnsi="Times New Roman;serif"/>
                  <w:b w:val="false"/>
                  <w:color w:val="0000FF"/>
                  <w:sz w:val="20"/>
                  <w:u w:val="single"/>
                </w:rPr>
                <w:t>78</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3c4b9e6b138e4c15b462f76456fc5e4b_220">
              <w:r>
                <w:rPr>
                  <w:rStyle w:val="InternetLink"/>
                  <w:rFonts w:ascii="Times New Roman;serif" w:hAnsi="Times New Roman;serif"/>
                  <w:b w:val="false"/>
                  <w:color w:val="0000FF"/>
                  <w:sz w:val="20"/>
                  <w:u w:val="single"/>
                </w:rPr>
                <w:t>Note 2 — Segment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220">
              <w:r>
                <w:rPr>
                  <w:rStyle w:val="InternetLink"/>
                  <w:rFonts w:ascii="Times New Roman;serif" w:hAnsi="Times New Roman;serif"/>
                  <w:b w:val="false"/>
                  <w:color w:val="0000FF"/>
                  <w:sz w:val="20"/>
                  <w:u w:val="single"/>
                </w:rPr>
                <w:t>87</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3c4b9e6b138e4c15b462f76456fc5e4b_241">
              <w:r>
                <w:rPr>
                  <w:rStyle w:val="InternetLink"/>
                  <w:rFonts w:ascii="Times New Roman;serif" w:hAnsi="Times New Roman;serif"/>
                  <w:b w:val="false"/>
                  <w:color w:val="0000FF"/>
                  <w:sz w:val="20"/>
                  <w:u w:val="single"/>
                </w:rPr>
                <w:t>Note 3 — Insurance Liabilities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241">
              <w:r>
                <w:rPr>
                  <w:rStyle w:val="InternetLink"/>
                  <w:rFonts w:ascii="Times New Roman;serif" w:hAnsi="Times New Roman;serif"/>
                  <w:b w:val="false"/>
                  <w:color w:val="0000FF"/>
                  <w:sz w:val="20"/>
                  <w:u w:val="single"/>
                </w:rPr>
                <w:t>93</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3c4b9e6b138e4c15b462f76456fc5e4b_253">
              <w:r>
                <w:rPr>
                  <w:rStyle w:val="InternetLink"/>
                  <w:rFonts w:ascii="Times New Roman;serif" w:hAnsi="Times New Roman;serif"/>
                  <w:b w:val="false"/>
                  <w:color w:val="0000FF"/>
                  <w:sz w:val="20"/>
                  <w:u w:val="single"/>
                </w:rPr>
                <w:t>Note 4 — Market Risk Benefits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253">
              <w:r>
                <w:rPr>
                  <w:rStyle w:val="InternetLink"/>
                  <w:rFonts w:ascii="Times New Roman;serif" w:hAnsi="Times New Roman;serif"/>
                  <w:b w:val="false"/>
                  <w:color w:val="0000FF"/>
                  <w:sz w:val="20"/>
                  <w:u w:val="single"/>
                </w:rPr>
                <w:t>99</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3c4b9e6b138e4c15b462f76456fc5e4b_259">
              <w:r>
                <w:rPr>
                  <w:rStyle w:val="InternetLink"/>
                  <w:rFonts w:ascii="Times New Roman;serif" w:hAnsi="Times New Roman;serif"/>
                  <w:b w:val="false"/>
                  <w:color w:val="0000FF"/>
                  <w:sz w:val="20"/>
                  <w:u w:val="single"/>
                </w:rPr>
                <w:t>Note 5 — Separate Accounts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259">
              <w:r>
                <w:rPr>
                  <w:rStyle w:val="InternetLink"/>
                  <w:rFonts w:ascii="Times New Roman;serif" w:hAnsi="Times New Roman;serif"/>
                  <w:b w:val="false"/>
                  <w:color w:val="0000FF"/>
                  <w:sz w:val="20"/>
                  <w:u w:val="single"/>
                </w:rPr>
                <w:t>100</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3c4b9e6b138e4c15b462f76456fc5e4b_268">
              <w:r>
                <w:rPr>
                  <w:rStyle w:val="InternetLink"/>
                  <w:rFonts w:ascii="Times New Roman;serif" w:hAnsi="Times New Roman;serif"/>
                  <w:b w:val="false"/>
                  <w:color w:val="0000FF"/>
                  <w:sz w:val="19"/>
                  <w:u w:val="single"/>
                </w:rPr>
                <w:t>Note 6 — Deferred Policy Acquisition Costs, Value of Business Acquired and Other Intangibles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268">
              <w:r>
                <w:rPr>
                  <w:rStyle w:val="InternetLink"/>
                  <w:rFonts w:ascii="Times New Roman;serif" w:hAnsi="Times New Roman;serif"/>
                  <w:b w:val="false"/>
                  <w:color w:val="0000FF"/>
                  <w:sz w:val="20"/>
                  <w:u w:val="single"/>
                </w:rPr>
                <w:t>102</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3c4b9e6b138e4c15b462f76456fc5e4b_280">
              <w:r>
                <w:rPr>
                  <w:rStyle w:val="InternetLink"/>
                  <w:rFonts w:ascii="Times New Roman;serif" w:hAnsi="Times New Roman;serif"/>
                  <w:b w:val="false"/>
                  <w:color w:val="0000FF"/>
                  <w:sz w:val="20"/>
                  <w:u w:val="single"/>
                </w:rPr>
                <w:t>Note 7 — Reinsurance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280">
              <w:r>
                <w:rPr>
                  <w:rStyle w:val="InternetLink"/>
                  <w:rFonts w:ascii="Times New Roman;serif" w:hAnsi="Times New Roman;serif"/>
                  <w:b w:val="false"/>
                  <w:color w:val="0000FF"/>
                  <w:sz w:val="20"/>
                  <w:u w:val="single"/>
                </w:rPr>
                <w:t>103</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3c4b9e6b138e4c15b462f76456fc5e4b_298">
              <w:r>
                <w:rPr>
                  <w:rStyle w:val="InternetLink"/>
                  <w:rFonts w:ascii="Times New Roman;serif" w:hAnsi="Times New Roman;serif"/>
                  <w:b w:val="false"/>
                  <w:color w:val="0000FF"/>
                  <w:sz w:val="20"/>
                  <w:u w:val="single"/>
                </w:rPr>
                <w:t>Note 8 — Investments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298">
              <w:r>
                <w:rPr>
                  <w:rStyle w:val="InternetLink"/>
                  <w:rFonts w:ascii="Times New Roman;serif" w:hAnsi="Times New Roman;serif"/>
                  <w:b w:val="false"/>
                  <w:color w:val="0000FF"/>
                  <w:sz w:val="20"/>
                  <w:u w:val="single"/>
                </w:rPr>
                <w:t>107</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3c4b9e6b138e4c15b462f76456fc5e4b_364">
              <w:r>
                <w:rPr>
                  <w:rStyle w:val="InternetLink"/>
                  <w:rFonts w:ascii="Times New Roman;serif" w:hAnsi="Times New Roman;serif"/>
                  <w:b w:val="false"/>
                  <w:color w:val="0000FF"/>
                  <w:sz w:val="20"/>
                  <w:u w:val="single"/>
                </w:rPr>
                <w:t>Note 9 — Derivatives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364">
              <w:r>
                <w:rPr>
                  <w:rStyle w:val="InternetLink"/>
                  <w:rFonts w:ascii="Times New Roman;serif" w:hAnsi="Times New Roman;serif"/>
                  <w:b w:val="false"/>
                  <w:color w:val="0000FF"/>
                  <w:sz w:val="20"/>
                  <w:u w:val="single"/>
                </w:rPr>
                <w:t>120</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3c4b9e6b138e4c15b462f76456fc5e4b_385">
              <w:r>
                <w:rPr>
                  <w:rStyle w:val="InternetLink"/>
                  <w:rFonts w:ascii="Times New Roman;serif" w:hAnsi="Times New Roman;serif"/>
                  <w:b w:val="false"/>
                  <w:color w:val="0000FF"/>
                  <w:sz w:val="20"/>
                  <w:u w:val="single"/>
                </w:rPr>
                <w:t>Note 10 — Fair Value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385">
              <w:r>
                <w:rPr>
                  <w:rStyle w:val="InternetLink"/>
                  <w:rFonts w:ascii="Times New Roman;serif" w:hAnsi="Times New Roman;serif"/>
                  <w:b w:val="false"/>
                  <w:color w:val="0000FF"/>
                  <w:sz w:val="20"/>
                  <w:u w:val="single"/>
                </w:rPr>
                <w:t>127</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3c4b9e6b138e4c15b462f76456fc5e4b_409">
              <w:r>
                <w:rPr>
                  <w:rStyle w:val="InternetLink"/>
                  <w:rFonts w:ascii="Times New Roman;serif" w:hAnsi="Times New Roman;serif"/>
                  <w:b w:val="false"/>
                  <w:color w:val="0000FF"/>
                  <w:sz w:val="20"/>
                  <w:u w:val="single"/>
                </w:rPr>
                <w:t>Note 11 — Long-term and Short-term Debt</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409">
              <w:r>
                <w:rPr>
                  <w:rStyle w:val="InternetLink"/>
                  <w:rFonts w:ascii="Times New Roman;serif" w:hAnsi="Times New Roman;serif"/>
                  <w:b w:val="false"/>
                  <w:color w:val="0000FF"/>
                  <w:sz w:val="20"/>
                  <w:u w:val="single"/>
                </w:rPr>
                <w:t>137</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3c4b9e6b138e4c15b462f76456fc5e4b_415">
              <w:r>
                <w:rPr>
                  <w:rStyle w:val="InternetLink"/>
                  <w:rFonts w:ascii="Times New Roman;serif" w:hAnsi="Times New Roman;serif"/>
                  <w:b w:val="false"/>
                  <w:color w:val="0000FF"/>
                  <w:sz w:val="20"/>
                  <w:u w:val="single"/>
                </w:rPr>
                <w:t>Note 12 — Equity</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415">
              <w:r>
                <w:rPr>
                  <w:rStyle w:val="InternetLink"/>
                  <w:rFonts w:ascii="Times New Roman;serif" w:hAnsi="Times New Roman;serif"/>
                  <w:b w:val="false"/>
                  <w:color w:val="0000FF"/>
                  <w:sz w:val="20"/>
                  <w:u w:val="single"/>
                </w:rPr>
                <w:t>138</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3c4b9e6b138e4c15b462f76456fc5e4b_436">
              <w:r>
                <w:rPr>
                  <w:rStyle w:val="InternetLink"/>
                  <w:rFonts w:ascii="Times New Roman;serif" w:hAnsi="Times New Roman;serif"/>
                  <w:b w:val="false"/>
                  <w:color w:val="000080"/>
                  <w:sz w:val="20"/>
                  <w:u w:val="single"/>
                </w:rPr>
                <w:t>Note 13</w:t>
              </w:r>
            </w:hyperlink>
            <w:hyperlink w:anchor="i3c4b9e6b138e4c15b462f76456fc5e4b_436">
              <w:r>
                <w:rPr>
                  <w:rStyle w:val="InternetLink"/>
                  <w:rFonts w:ascii="Times New Roman;serif" w:hAnsi="Times New Roman;serif"/>
                  <w:b w:val="false"/>
                  <w:color w:val="000080"/>
                  <w:sz w:val="20"/>
                  <w:u w:val="single"/>
                </w:rPr>
                <w:t xml:space="preserve"> </w:t>
              </w:r>
            </w:hyperlink>
            <w:hyperlink w:anchor="i3c4b9e6b138e4c15b462f76456fc5e4b_436">
              <w:r>
                <w:rPr>
                  <w:rStyle w:val="InternetLink"/>
                  <w:rFonts w:ascii="Times New Roman;serif" w:hAnsi="Times New Roman;serif"/>
                  <w:b w:val="false"/>
                  <w:color w:val="000080"/>
                  <w:sz w:val="20"/>
                  <w:u w:val="single"/>
                </w:rPr>
                <w:t>— Other Revenues and Other Expenses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436">
              <w:r>
                <w:rPr>
                  <w:rStyle w:val="InternetLink"/>
                  <w:rFonts w:ascii="Times New Roman;serif" w:hAnsi="Times New Roman;serif"/>
                  <w:b w:val="false"/>
                  <w:color w:val="0000FF"/>
                  <w:sz w:val="20"/>
                  <w:u w:val="single"/>
                </w:rPr>
                <w:t>142</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3c4b9e6b138e4c15b462f76456fc5e4b_445">
              <w:r>
                <w:rPr>
                  <w:rStyle w:val="InternetLink"/>
                  <w:rFonts w:ascii="Times New Roman;serif" w:hAnsi="Times New Roman;serif"/>
                  <w:b w:val="false"/>
                  <w:color w:val="0000FF"/>
                  <w:sz w:val="20"/>
                  <w:u w:val="single"/>
                </w:rPr>
                <w:t>Note 14 — Income Tax</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445">
              <w:r>
                <w:rPr>
                  <w:rStyle w:val="InternetLink"/>
                  <w:rFonts w:ascii="Times New Roman;serif" w:hAnsi="Times New Roman;serif"/>
                  <w:b w:val="false"/>
                  <w:color w:val="0000FF"/>
                  <w:sz w:val="20"/>
                  <w:u w:val="single"/>
                </w:rPr>
                <w:t>143</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3c4b9e6b138e4c15b462f76456fc5e4b_451">
              <w:r>
                <w:rPr>
                  <w:rStyle w:val="InternetLink"/>
                  <w:rFonts w:ascii="Times New Roman;serif" w:hAnsi="Times New Roman;serif"/>
                  <w:b w:val="false"/>
                  <w:color w:val="0000FF"/>
                  <w:sz w:val="20"/>
                  <w:u w:val="single"/>
                </w:rPr>
                <w:t>Note 15 — Contingencies, Commitments and Guarantees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451">
              <w:r>
                <w:rPr>
                  <w:rStyle w:val="InternetLink"/>
                  <w:rFonts w:ascii="Times New Roman;serif" w:hAnsi="Times New Roman;serif"/>
                  <w:b w:val="false"/>
                  <w:color w:val="0000FF"/>
                  <w:sz w:val="20"/>
                  <w:u w:val="single"/>
                </w:rPr>
                <w:t>147</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3c4b9e6b138e4c15b462f76456fc5e4b_463">
              <w:r>
                <w:rPr>
                  <w:rStyle w:val="InternetLink"/>
                  <w:rFonts w:ascii="Times New Roman;serif" w:hAnsi="Times New Roman;serif"/>
                  <w:b w:val="false"/>
                  <w:color w:val="0000FF"/>
                  <w:sz w:val="20"/>
                  <w:u w:val="single"/>
                </w:rPr>
                <w:t>Note 16 — Related Party Transactions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463">
              <w:r>
                <w:rPr>
                  <w:rStyle w:val="InternetLink"/>
                  <w:rFonts w:ascii="Times New Roman;serif" w:hAnsi="Times New Roman;serif"/>
                  <w:b w:val="false"/>
                  <w:color w:val="0000FF"/>
                  <w:sz w:val="20"/>
                  <w:u w:val="single"/>
                </w:rPr>
                <w:t>150</w:t>
              </w:r>
            </w:hyperlink>
          </w:p>
        </w:tc>
      </w:tr>
      <w:tr>
        <w:trPr/>
        <w:tc>
          <w:tcPr>
            <w:tcW w:w="9632"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Financial Statement Schedules at December 31, 2025 and 2024 and for the Years Ended December 31, 2025, 2024 and 2023:</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3c4b9e6b138e4c15b462f76456fc5e4b_478">
              <w:r>
                <w:rPr>
                  <w:rStyle w:val="InternetLink"/>
                  <w:rFonts w:ascii="Times New Roman;serif" w:hAnsi="Times New Roman;serif"/>
                  <w:b w:val="false"/>
                  <w:color w:val="0000FF"/>
                  <w:sz w:val="20"/>
                  <w:u w:val="single"/>
                </w:rPr>
                <w:t>Schedule I — Consolidated Summary of Investments — Other Than Investments in Related Parties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478">
              <w:r>
                <w:rPr>
                  <w:rStyle w:val="InternetLink"/>
                  <w:rFonts w:ascii="Times New Roman;serif" w:hAnsi="Times New Roman;serif"/>
                  <w:b w:val="false"/>
                  <w:color w:val="0000FF"/>
                  <w:sz w:val="20"/>
                  <w:u w:val="single"/>
                </w:rPr>
                <w:t>152</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3c4b9e6b138e4c15b462f76456fc5e4b_481">
              <w:r>
                <w:rPr>
                  <w:rStyle w:val="InternetLink"/>
                  <w:rFonts w:ascii="Times New Roman;serif" w:hAnsi="Times New Roman;serif"/>
                  <w:b w:val="false"/>
                  <w:color w:val="0000FF"/>
                  <w:sz w:val="20"/>
                  <w:u w:val="single"/>
                </w:rPr>
                <w:t>Schedule II — Condensed Financial Information (Parent Company Only)</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481">
              <w:r>
                <w:rPr>
                  <w:rStyle w:val="InternetLink"/>
                  <w:rFonts w:ascii="Times New Roman;serif" w:hAnsi="Times New Roman;serif"/>
                  <w:b w:val="false"/>
                  <w:color w:val="0000FF"/>
                  <w:sz w:val="20"/>
                  <w:u w:val="single"/>
                </w:rPr>
                <w:t>153</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3c4b9e6b138e4c15b462f76456fc5e4b_499">
              <w:r>
                <w:rPr>
                  <w:rStyle w:val="InternetLink"/>
                  <w:rFonts w:ascii="Times New Roman;serif" w:hAnsi="Times New Roman;serif"/>
                  <w:b w:val="false"/>
                  <w:color w:val="0000FF"/>
                  <w:sz w:val="20"/>
                  <w:u w:val="single"/>
                </w:rPr>
                <w:t>Schedule III — Consolidated Supplementary Insurance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499">
              <w:r>
                <w:rPr>
                  <w:rStyle w:val="InternetLink"/>
                  <w:rFonts w:ascii="Times New Roman;serif" w:hAnsi="Times New Roman;serif"/>
                  <w:b w:val="false"/>
                  <w:color w:val="0000FF"/>
                  <w:sz w:val="20"/>
                  <w:u w:val="single"/>
                </w:rPr>
                <w:t>157</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3c4b9e6b138e4c15b462f76456fc5e4b_502">
              <w:r>
                <w:rPr>
                  <w:rStyle w:val="InternetLink"/>
                  <w:rFonts w:ascii="Times New Roman;serif" w:hAnsi="Times New Roman;serif"/>
                  <w:b w:val="false"/>
                  <w:color w:val="0000FF"/>
                  <w:sz w:val="20"/>
                  <w:u w:val="single"/>
                </w:rPr>
                <w:t>Schedule IV — Consolidated Reinsurance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4b9e6b138e4c15b462f76456fc5e4b_502">
              <w:r>
                <w:rPr>
                  <w:rStyle w:val="InternetLink"/>
                  <w:rFonts w:ascii="Times New Roman;serif" w:hAnsi="Times New Roman;serif"/>
                  <w:b w:val="false"/>
                  <w:color w:val="0000FF"/>
                  <w:sz w:val="20"/>
                  <w:u w:val="single"/>
                </w:rPr>
                <w:t>159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199515"/>
                <wp:effectExtent l="0" t="0" r="0" b="0"/>
                <wp:wrapNone/>
                <wp:docPr id="70" name="Frame69"/>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Brighthouse Life Insurance Company</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Brighthouse Life Insurance Company and subsidiaries (the “Company”) as of December 31, 2025 and 2024, the related consolidated statements of operations, comprehensive income (loss), equity, and cash flows for each of the three years in the period ended December 31, 2025, and the related notes and the schedules listed in the Index to Consolidated Financial Statements, Notes and Schedules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Critical Audit Matters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i/>
          <w:color w:val="000000"/>
          <w:sz w:val="20"/>
        </w:rPr>
        <w:t>Certain Assumptions Used in the Valuation of Liability for Future Policy Benefits – Refer to Notes</w:t>
      </w:r>
      <w:r>
        <w:rPr>
          <w:color w:val="000000"/>
        </w:rPr>
        <w:t xml:space="preserve"> </w:t>
      </w:r>
      <w:r>
        <w:rPr>
          <w:rFonts w:ascii="Times New Roman;serif" w:hAnsi="Times New Roman;serif"/>
          <w:b/>
          <w:i/>
          <w:color w:val="000000"/>
          <w:sz w:val="20"/>
        </w:rPr>
        <w:t>1 and</w:t>
      </w:r>
      <w:r>
        <w:rPr>
          <w:color w:val="000000"/>
        </w:rPr>
        <w:t xml:space="preserve"> </w:t>
      </w:r>
      <w:r>
        <w:rPr>
          <w:rFonts w:ascii="Times New Roman;serif" w:hAnsi="Times New Roman;serif"/>
          <w:b/>
          <w:i/>
          <w:color w:val="000000"/>
          <w:sz w:val="20"/>
        </w:rPr>
        <w:t>3 to the financial statements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Critical Audit Matter Description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obligations under insurance contracts to pay benefits over an extended period of time. The Company establishes a liability for future policy benefits (“LFPB”) for nonparticipating traditional and limited-payment contracts and the additional insurance liabilities for universal life-type contracts with secondary guarantees.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199515"/>
                <wp:effectExtent l="0" t="0" r="0" b="0"/>
                <wp:wrapNone/>
                <wp:docPr id="71" name="Frame70"/>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regularly reviews its cash flow assumptions supporting the estimates of these actuarial liabilities and, if such assumptions change significantly, the associated liability is adjusted. The measurement of LFPBs can be significantly impacted by changes in economic assumptions related to market interest rates and the general account rate of return and changes in assumptions for policyholder behavior including premium persistency, mortality, lapses and withdrawals.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Given the future policy benefit obligation for certain contracts is sensitive to changes in these economic and policyholder behavior assumptions and the significant uncertainty inherent in estimating these actuarial liabilities, we identified management’s evaluation of these assumptions in the valuation of certain LFPBs as a critical audit matter. This required a high degree of auditor judgment and an increased extent of effort, including the involvement of our actuarial specialists.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How the Critical Audit Matter Was Addressed in the Audit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audit procedures related to these assumptions in the valuation of certain LFPBs included the following, among others: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tested the effectiveness of management’s controls over the assumption review process, including those over the selection of the significant economic and policyholder behavior assumptions.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With the assistance of our actuarial specialists, we evaluated the appropriateness of the significant assumptions used, developed an independent estimate of the LFPBs for a sample of policies and cohorts, and compared our estimates to management’s estimates.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tested the completeness and accuracy of the underlying data that served as the basis for the actuarial analysis to test that the inputs to the actuarial estimate were reasonable.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evaluated the methods and significant assumptions used by management to identify potential bias.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evaluated whether the significant assumptions used were consistent with evidence obtained in other areas of the audit.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 xml:space="preserve">Certain Assumptions Used in the Valuation of Market Risk Benefits – Refer to Notes 1, 4, and 10 to the financial statements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Critical Audit Matter Description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Market risk benefits are measured at fair value and separately presented on the consolidated balance sheet. The Company estimates market risk benefit assets and liabilities using significant judgment including discount rate assumptions, nonperformance risk, and actuarially determined assumptions including policyholder behavior, mortality and risk margins.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Given the sensitivity of certain market risk benefits to changes in these assumptions and the significant uncertainty inherent in estimating the market risk benefits, we identified management’s evaluation of these assumptions in the valuation of certain market risk benefits as a critical audit matter. This required a high degree of auditor judgment and an increased extent of effort, including the involvement of our actuarial and fair value specialists.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How the Critical Audit Matter Was Addressed in the Audit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audit procedures related to these assumptions in the valuation of certain market risk benefits included the following, among others: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tested the effectiveness of management’s controls over the assumption review process, including those over the selection of the significant assumptions related to policyholder behavior, mortality and risk margins, as well as changes in nonperformance risk.</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With the assistance of our actuarial specialists, we evaluated the appropriateness of the significant assumptions used, developed an independent estimate of the market risk benefits for a sample of policies, and compared our estimates to management’s estimates.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tested the completeness and accuracy of the underlying data that served as the basis for the actuarial analysis to test that the inputs to the actuarial estimate were reasonable.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evaluated the reasonableness of the Company’s assumptions by comparing those selected by management to those independently derived by our fair value and actuarial specialists, drawing upon standard actuarial and industry practice.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199515"/>
                <wp:effectExtent l="0" t="0" r="0" b="0"/>
                <wp:wrapNone/>
                <wp:docPr id="72" name="Frame71"/>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evaluated the methods and assumptions used by management to identify potential bias in the determination of the market risk benefits.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evaluated whether the assumptions used were consistent with evidence obtained in other areas of the audit.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Charlotte, North Carolina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27, 2026</w:t>
      </w:r>
    </w:p>
    <w:p>
      <w:pPr>
        <w:pStyle w:val="TextBody"/>
        <w:bidi w:val="0"/>
        <w:spacing w:before="60" w:after="283"/>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2005.</w:t>
      </w:r>
    </w:p>
    <w:p>
      <w:pPr>
        <w:pStyle w:val="TextBody"/>
        <w:bidi w:val="0"/>
        <w:spacing w:before="60" w:after="283"/>
        <w:ind w:left="0" w:right="0" w:firstLine="360"/>
        <w:jc w:val="both"/>
        <w:rPr/>
      </w:pPr>
      <w:r>
        <w:rPr/>
      </w:r>
    </w:p>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199515"/>
                <wp:effectExtent l="0" t="0" r="0" b="0"/>
                <wp:wrapNone/>
                <wp:docPr id="73" name="Frame72"/>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12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120"/>
        <w:ind w:left="0" w:right="0" w:firstLine="360"/>
        <w:jc w:val="center"/>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0" w:after="120"/>
        <w:ind w:left="0" w:right="0" w:firstLine="360"/>
        <w:jc w:val="center"/>
        <w:rPr>
          <w:rFonts w:ascii="Times New Roman;serif" w:hAnsi="Times New Roman;serif"/>
          <w:b/>
          <w:color w:val="000000"/>
          <w:sz w:val="20"/>
        </w:rPr>
      </w:pPr>
      <w:r>
        <w:rPr>
          <w:rFonts w:ascii="Times New Roman;serif" w:hAnsi="Times New Roman;serif"/>
          <w:b/>
          <w:color w:val="000000"/>
          <w:sz w:val="20"/>
        </w:rPr>
        <w:t>(In millions, except share and per share data)</w:t>
      </w:r>
    </w:p>
    <w:tbl>
      <w:tblPr>
        <w:tblW w:w="10205" w:type="dxa"/>
        <w:jc w:val="left"/>
        <w:tblInd w:w="0" w:type="dxa"/>
        <w:tblLayout w:type="fixed"/>
        <w:tblCellMar>
          <w:top w:w="28" w:type="dxa"/>
          <w:left w:w="28" w:type="dxa"/>
          <w:bottom w:w="28" w:type="dxa"/>
          <w:right w:w="28" w:type="dxa"/>
        </w:tblCellMar>
      </w:tblPr>
      <w:tblGrid>
        <w:gridCol w:w="2846"/>
        <w:gridCol w:w="2436"/>
        <w:gridCol w:w="2468"/>
        <w:gridCol w:w="196"/>
        <w:gridCol w:w="736"/>
        <w:gridCol w:w="109"/>
        <w:gridCol w:w="109"/>
        <w:gridCol w:w="109"/>
        <w:gridCol w:w="109"/>
        <w:gridCol w:w="196"/>
        <w:gridCol w:w="736"/>
        <w:gridCol w:w="155"/>
      </w:tblGrid>
      <w:tr>
        <w:trPr/>
        <w:tc>
          <w:tcPr>
            <w:tcW w:w="2846" w:type="dxa"/>
            <w:tcBorders/>
            <w:vAlign w:val="center"/>
          </w:tcPr>
          <w:p>
            <w:pPr>
              <w:pStyle w:val="TableContents"/>
              <w:bidi w:val="0"/>
              <w:spacing w:before="0" w:after="283"/>
              <w:jc w:val="left"/>
              <w:rPr>
                <w:sz w:val="4"/>
                <w:szCs w:val="4"/>
              </w:rPr>
            </w:pPr>
            <w:r>
              <w:rPr>
                <w:sz w:val="4"/>
                <w:szCs w:val="4"/>
              </w:rPr>
            </w:r>
          </w:p>
        </w:tc>
        <w:tc>
          <w:tcPr>
            <w:tcW w:w="2436" w:type="dxa"/>
            <w:tcBorders/>
            <w:vAlign w:val="center"/>
          </w:tcPr>
          <w:p>
            <w:pPr>
              <w:pStyle w:val="TableContents"/>
              <w:bidi w:val="0"/>
              <w:spacing w:before="0" w:after="283"/>
              <w:jc w:val="left"/>
              <w:rPr>
                <w:sz w:val="4"/>
                <w:szCs w:val="4"/>
              </w:rPr>
            </w:pPr>
            <w:r>
              <w:rPr>
                <w:sz w:val="4"/>
                <w:szCs w:val="4"/>
              </w:rPr>
            </w:r>
          </w:p>
        </w:tc>
        <w:tc>
          <w:tcPr>
            <w:tcW w:w="24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Fixed maturity securities available-for-sale, at estimated fair value (amortized cost: $85,907 and $86,565, respectively; allowance for credit losses of $62 and $79, respectively)</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80,960 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79,129 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securities, at estimated fair value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 at estimated fair value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Mortgage loans (net of allowance for credit losses of $200 and $178,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22,726 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23,254 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Policy loans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1,626 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Limited partnerships and limited liability companies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4,827 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investments, principally at estimated fair value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1,157 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Other invested assets, principally at estimated fair value (net of allowance for credit losses of $0 and $0,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5,244 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investments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118,558 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115,269 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4,592 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investment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1,261 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Premiums, reinsurance and other receivables (net of allowance for credit losses of $3 and $3,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21,238 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20,809 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policy acquisition costs and value of business acquired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4,374 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income tax recoverable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asset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1,823 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Market risk benefit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Separate account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78,825 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79,006 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231,986 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228,591 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Equity</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Future policy benefits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31,682 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31,085 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Policyholder account balances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87,174 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87,162 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 risk benefit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8,346 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policy-related balances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3,677 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for collateral under securities loaned and other transactions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3,874 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8,460 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Separate account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78,825 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79,006 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223,888 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222,443 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Contingencies, Commitments and Guarantees (Note 15)</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Equity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Brighthouse Life Insurance Company’s stockholder’s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par value $25,000 per share; 4,000 shares authorized; 3,000 shares issued and outstanding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17,607 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17,507 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 (deficit)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(5,997)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(6,286)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(5,163)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Brighthouse Life Insurance Company’s stockholder’s equity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8,083 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6,133 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equity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8,098 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6,148 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231,986 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228,591 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360"/>
        <w:jc w:val="center"/>
        <w:rPr>
          <w:rFonts w:ascii="Times New Roman;serif" w:hAnsi="Times New Roman;serif"/>
          <w:b/>
          <w:color w:val="000000"/>
          <w:sz w:val="20"/>
        </w:rPr>
      </w:pPr>
      <w:r>
        <w:rPr>
          <w:rFonts w:ascii="Times New Roman;serif" w:hAnsi="Times New Roman;serif"/>
          <w:b/>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199515"/>
                <wp:effectExtent l="0" t="0" r="0" b="0"/>
                <wp:wrapNone/>
                <wp:docPr id="74" name="Frame73"/>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12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120"/>
        <w:ind w:left="0" w:right="0" w:firstLine="360"/>
        <w:jc w:val="center"/>
        <w:rPr>
          <w:rFonts w:ascii="Times New Roman;serif" w:hAnsi="Times New Roman;serif"/>
          <w:b/>
          <w:color w:val="000000"/>
          <w:sz w:val="20"/>
        </w:rPr>
      </w:pPr>
      <w:r>
        <w:rPr>
          <w:rFonts w:ascii="Times New Roman;serif" w:hAnsi="Times New Roman;serif"/>
          <w:b/>
          <w:color w:val="000000"/>
          <w:sz w:val="20"/>
        </w:rPr>
        <w:t>For the Years Ended December 31, 2025, 2024 and 2023</w:t>
      </w:r>
    </w:p>
    <w:p>
      <w:pPr>
        <w:pStyle w:val="TextBody"/>
        <w:bidi w:val="0"/>
        <w:spacing w:lineRule="auto" w:line="288" w:before="0" w:after="120"/>
        <w:ind w:left="0" w:right="0" w:firstLine="360"/>
        <w:jc w:val="center"/>
        <w:rPr>
          <w:rFonts w:ascii="Times New Roman;serif" w:hAnsi="Times New Roman;serif"/>
          <w:b/>
          <w:color w:val="000000"/>
          <w:sz w:val="20"/>
        </w:rPr>
      </w:pPr>
      <w:r>
        <w:rPr>
          <w:rFonts w:ascii="Times New Roman;serif" w:hAnsi="Times New Roman;serif"/>
          <w:b/>
          <w:color w:val="000000"/>
          <w:sz w:val="20"/>
        </w:rPr>
        <w:t xml:space="preserve">(In millions) </w:t>
      </w:r>
    </w:p>
    <w:tbl>
      <w:tblPr>
        <w:tblW w:w="10205" w:type="dxa"/>
        <w:jc w:val="left"/>
        <w:tblInd w:w="0" w:type="dxa"/>
        <w:tblLayout w:type="fixed"/>
        <w:tblCellMar>
          <w:top w:w="28" w:type="dxa"/>
          <w:left w:w="28" w:type="dxa"/>
          <w:bottom w:w="28" w:type="dxa"/>
          <w:right w:w="28" w:type="dxa"/>
        </w:tblCellMar>
      </w:tblPr>
      <w:tblGrid>
        <w:gridCol w:w="2574"/>
        <w:gridCol w:w="2253"/>
        <w:gridCol w:w="2282"/>
        <w:gridCol w:w="199"/>
        <w:gridCol w:w="428"/>
        <w:gridCol w:w="109"/>
        <w:gridCol w:w="109"/>
        <w:gridCol w:w="109"/>
        <w:gridCol w:w="109"/>
        <w:gridCol w:w="199"/>
        <w:gridCol w:w="428"/>
        <w:gridCol w:w="109"/>
        <w:gridCol w:w="109"/>
        <w:gridCol w:w="109"/>
        <w:gridCol w:w="109"/>
        <w:gridCol w:w="196"/>
        <w:gridCol w:w="618"/>
        <w:gridCol w:w="156"/>
      </w:tblGrid>
      <w:tr>
        <w:trPr/>
        <w:tc>
          <w:tcPr>
            <w:tcW w:w="2574"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Premiums</w:t>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Universal life and investment-type product policy fees</w:t>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1,778 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Net investment income</w:t>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4,560 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Other revenues</w:t>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Net investment gains (losses)</w:t>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(242)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Net derivative gains (losses)</w:t>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(1,789)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(3,688)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(3,920)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6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6,086 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3,973 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3,405 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Expenses</w:t>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Policyholder benefits and claims (including liability remeasurement gains (losses) of ($273), ($980), ($233), respectively)</w:t>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2,418 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Interest credited to policyholder account balances</w:t>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policy acquisition costs and value of business acquired</w:t>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market risk benefits</w:t>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6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4,911 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provision for income tax</w:t>
            </w:r>
          </w:p>
        </w:tc>
        <w:tc>
          <w:tcPr>
            <w:tcW w:w="6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(1,506)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 expense (benefit)</w:t>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(383)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6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(1,123)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Less: Net income (loss) attributable to noncontrolling interests</w:t>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Brighthouse Life Insurance Company</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(1,124)</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360"/>
        <w:jc w:val="center"/>
        <w:rPr>
          <w:rFonts w:ascii="Times New Roman;serif" w:hAnsi="Times New Roman;serif"/>
          <w:b/>
          <w:color w:val="000000"/>
          <w:sz w:val="20"/>
        </w:rPr>
      </w:pPr>
      <w:r>
        <w:rPr>
          <w:rFonts w:ascii="Times New Roman;serif" w:hAnsi="Times New Roman;serif"/>
          <w:b/>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199515"/>
                <wp:effectExtent l="0" t="0" r="0" b="0"/>
                <wp:wrapNone/>
                <wp:docPr id="75" name="Frame74"/>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12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 (Loss)</w:t>
      </w:r>
    </w:p>
    <w:p>
      <w:pPr>
        <w:pStyle w:val="TextBody"/>
        <w:bidi w:val="0"/>
        <w:spacing w:lineRule="auto" w:line="288" w:before="0" w:after="120"/>
        <w:ind w:left="0" w:right="0" w:firstLine="360"/>
        <w:jc w:val="center"/>
        <w:rPr>
          <w:rFonts w:ascii="Times New Roman;serif" w:hAnsi="Times New Roman;serif"/>
          <w:b/>
          <w:color w:val="000000"/>
          <w:sz w:val="20"/>
        </w:rPr>
      </w:pPr>
      <w:r>
        <w:rPr>
          <w:rFonts w:ascii="Times New Roman;serif" w:hAnsi="Times New Roman;serif"/>
          <w:b/>
          <w:color w:val="000000"/>
          <w:sz w:val="20"/>
        </w:rPr>
        <w:t>For the Years Ended December 31, 2025, 2024 and 2023</w:t>
      </w:r>
    </w:p>
    <w:p>
      <w:pPr>
        <w:pStyle w:val="TextBody"/>
        <w:bidi w:val="0"/>
        <w:spacing w:lineRule="auto" w:line="288" w:before="0" w:after="120"/>
        <w:ind w:left="0" w:right="0" w:firstLine="360"/>
        <w:jc w:val="center"/>
        <w:rPr>
          <w:rFonts w:ascii="Times New Roman;serif" w:hAnsi="Times New Roman;serif"/>
          <w:b/>
          <w:color w:val="000000"/>
          <w:sz w:val="20"/>
        </w:rPr>
      </w:pPr>
      <w:r>
        <w:rPr>
          <w:rFonts w:ascii="Times New Roman;serif" w:hAnsi="Times New Roman;serif"/>
          <w:b/>
          <w:color w:val="000000"/>
          <w:sz w:val="20"/>
        </w:rPr>
        <w:t>(In millions)</w:t>
      </w:r>
    </w:p>
    <w:tbl>
      <w:tblPr>
        <w:tblW w:w="9909" w:type="dxa"/>
        <w:jc w:val="center"/>
        <w:tblInd w:w="0" w:type="dxa"/>
        <w:tblLayout w:type="fixed"/>
        <w:tblCellMar>
          <w:top w:w="28" w:type="dxa"/>
          <w:left w:w="28" w:type="dxa"/>
          <w:bottom w:w="28" w:type="dxa"/>
          <w:right w:w="28" w:type="dxa"/>
        </w:tblCellMar>
      </w:tblPr>
      <w:tblGrid>
        <w:gridCol w:w="2409"/>
        <w:gridCol w:w="2126"/>
        <w:gridCol w:w="2139"/>
        <w:gridCol w:w="196"/>
        <w:gridCol w:w="556"/>
        <w:gridCol w:w="109"/>
        <w:gridCol w:w="109"/>
        <w:gridCol w:w="109"/>
        <w:gridCol w:w="109"/>
        <w:gridCol w:w="200"/>
        <w:gridCol w:w="430"/>
        <w:gridCol w:w="109"/>
        <w:gridCol w:w="109"/>
        <w:gridCol w:w="109"/>
        <w:gridCol w:w="109"/>
        <w:gridCol w:w="196"/>
        <w:gridCol w:w="631"/>
        <w:gridCol w:w="154"/>
      </w:tblGrid>
      <w:tr>
        <w:trPr/>
        <w:tc>
          <w:tcPr>
            <w:tcW w:w="2409"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(1,123)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Unrealized investment gains (losses), net of related offsets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2,313 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Unrealized gains (losses) on derivatives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Changes in instrument-specific credit risk on market risk benefits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Changes in discount rates on the liability for future policy benefits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income tax</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1,977 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 related to items of other comprehensive income (loss)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income tax</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(306)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Less: Comprehensive income (loss) attributable to noncontrolling interests, net of income tax</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 attributable to Brighthouse Life Insurance Company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(307)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180"/>
        <w:jc w:val="center"/>
        <w:rPr>
          <w:rFonts w:ascii="Times New Roman;serif" w:hAnsi="Times New Roman;serif"/>
          <w:b/>
          <w:color w:val="000000"/>
          <w:sz w:val="20"/>
        </w:rPr>
      </w:pPr>
      <w:r>
        <w:rPr>
          <w:rFonts w:ascii="Times New Roman;serif" w:hAnsi="Times New Roman;serif"/>
          <w:b/>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199515"/>
                <wp:effectExtent l="0" t="0" r="0" b="0"/>
                <wp:wrapNone/>
                <wp:docPr id="76" name="Frame75"/>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Consolidated Statements of Equity</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For the Years Ended December 31, 2025, 2024 and 2023</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674"/>
        <w:gridCol w:w="301"/>
        <w:gridCol w:w="303"/>
        <w:gridCol w:w="109"/>
        <w:gridCol w:w="109"/>
        <w:gridCol w:w="109"/>
        <w:gridCol w:w="200"/>
        <w:gridCol w:w="338"/>
        <w:gridCol w:w="111"/>
        <w:gridCol w:w="109"/>
        <w:gridCol w:w="109"/>
        <w:gridCol w:w="109"/>
        <w:gridCol w:w="202"/>
        <w:gridCol w:w="666"/>
        <w:gridCol w:w="112"/>
        <w:gridCol w:w="109"/>
        <w:gridCol w:w="109"/>
        <w:gridCol w:w="109"/>
        <w:gridCol w:w="202"/>
        <w:gridCol w:w="594"/>
        <w:gridCol w:w="112"/>
        <w:gridCol w:w="109"/>
        <w:gridCol w:w="109"/>
        <w:gridCol w:w="109"/>
        <w:gridCol w:w="246"/>
        <w:gridCol w:w="718"/>
        <w:gridCol w:w="138"/>
        <w:gridCol w:w="109"/>
        <w:gridCol w:w="109"/>
        <w:gridCol w:w="109"/>
        <w:gridCol w:w="236"/>
        <w:gridCol w:w="673"/>
        <w:gridCol w:w="133"/>
        <w:gridCol w:w="109"/>
        <w:gridCol w:w="109"/>
        <w:gridCol w:w="109"/>
        <w:gridCol w:w="320"/>
        <w:gridCol w:w="542"/>
        <w:gridCol w:w="179"/>
        <w:gridCol w:w="109"/>
        <w:gridCol w:w="109"/>
        <w:gridCol w:w="109"/>
        <w:gridCol w:w="196"/>
        <w:gridCol w:w="556"/>
        <w:gridCol w:w="164"/>
      </w:tblGrid>
      <w:tr>
        <w:trPr/>
        <w:tc>
          <w:tcPr>
            <w:tcW w:w="67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Retained Earnings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Brighthouse Life Insurance Company’s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center"/>
              <w:rPr>
                <w:rFonts w:ascii="Times New Roman;serif" w:hAnsi="Times New Roman;serif"/>
                <w:b/>
                <w:color w:val="000000"/>
                <w:sz w:val="14"/>
              </w:rPr>
            </w:pPr>
            <w:r>
              <w:rPr>
                <w:rFonts w:ascii="Times New Roman;serif" w:hAnsi="Times New Roman;serif"/>
                <w:b/>
                <w:color w:val="000000"/>
                <w:sz w:val="14"/>
              </w:rPr>
              <w:t>Total Equity</w:t>
            </w:r>
          </w:p>
        </w:tc>
      </w:tr>
      <w:tr>
        <w:trPr/>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17,773 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(5,418)</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(5,931)</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6,499 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6,514 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8"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Dividends paid to parent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(266)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(266)</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8"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Change in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(1,124)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(1,124)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(1,123)</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8"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 net of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817 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817 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17,507 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(6,542)</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(5,114)</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5,926 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5,941 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Change in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8"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256 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257 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 net of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8"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17,507 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(6,286)</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(5,163)</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6,133 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6,148 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Capital contribution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Change in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8"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 net of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1,561 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17,607 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(5,997)</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(3,602)</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8,083 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8,098 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199515"/>
                <wp:effectExtent l="0" t="0" r="0" b="0"/>
                <wp:wrapNone/>
                <wp:docPr id="77" name="Frame76"/>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12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120"/>
        <w:ind w:left="0" w:right="0" w:firstLine="360"/>
        <w:jc w:val="center"/>
        <w:rPr>
          <w:rFonts w:ascii="Times New Roman;serif" w:hAnsi="Times New Roman;serif"/>
          <w:b/>
          <w:color w:val="000000"/>
          <w:sz w:val="20"/>
        </w:rPr>
      </w:pPr>
      <w:r>
        <w:rPr>
          <w:rFonts w:ascii="Times New Roman;serif" w:hAnsi="Times New Roman;serif"/>
          <w:b/>
          <w:color w:val="000000"/>
          <w:sz w:val="20"/>
        </w:rPr>
        <w:t>For the Years Ended December 31, 2025, 2024 and 2023</w:t>
      </w:r>
    </w:p>
    <w:p>
      <w:pPr>
        <w:pStyle w:val="TextBody"/>
        <w:bidi w:val="0"/>
        <w:spacing w:lineRule="auto" w:line="288" w:before="0" w:after="120"/>
        <w:ind w:left="0" w:right="0" w:firstLine="360"/>
        <w:jc w:val="center"/>
        <w:rPr>
          <w:rFonts w:ascii="Times New Roman;serif" w:hAnsi="Times New Roman;serif"/>
          <w:b/>
          <w:color w:val="000000"/>
          <w:sz w:val="20"/>
        </w:rPr>
      </w:pPr>
      <w:r>
        <w:rPr>
          <w:rFonts w:ascii="Times New Roman;serif" w:hAnsi="Times New Roman;serif"/>
          <w:b/>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2430"/>
        <w:gridCol w:w="2130"/>
        <w:gridCol w:w="2138"/>
        <w:gridCol w:w="109"/>
        <w:gridCol w:w="226"/>
        <w:gridCol w:w="492"/>
        <w:gridCol w:w="109"/>
        <w:gridCol w:w="109"/>
        <w:gridCol w:w="109"/>
        <w:gridCol w:w="109"/>
        <w:gridCol w:w="196"/>
        <w:gridCol w:w="629"/>
        <w:gridCol w:w="109"/>
        <w:gridCol w:w="109"/>
        <w:gridCol w:w="109"/>
        <w:gridCol w:w="109"/>
        <w:gridCol w:w="196"/>
        <w:gridCol w:w="629"/>
        <w:gridCol w:w="158"/>
      </w:tblGrid>
      <w:tr>
        <w:trPr/>
        <w:tc>
          <w:tcPr>
            <w:tcW w:w="2430"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698"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8"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2"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(1,123)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8"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(loss) to net cash provided by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8"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Amortization of premiums and accretion of discounts associated with investments, net</w:t>
            </w:r>
          </w:p>
        </w:tc>
        <w:tc>
          <w:tcPr>
            <w:tcW w:w="109" w:type="dxa"/>
            <w:tcBorders/>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(258)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8"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(Gains) losses on investments, net</w:t>
            </w:r>
          </w:p>
        </w:tc>
        <w:tc>
          <w:tcPr>
            <w:tcW w:w="109" w:type="dxa"/>
            <w:tcBorders/>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8"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(Gains) losses on derivatives, net</w:t>
            </w:r>
          </w:p>
        </w:tc>
        <w:tc>
          <w:tcPr>
            <w:tcW w:w="109" w:type="dxa"/>
            <w:tcBorders/>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2,632 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8"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equity method investments, net of dividends and distributions</w:t>
            </w:r>
          </w:p>
        </w:tc>
        <w:tc>
          <w:tcPr>
            <w:tcW w:w="109" w:type="dxa"/>
            <w:tcBorders/>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8"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credited to policyholder account balances</w:t>
            </w:r>
          </w:p>
        </w:tc>
        <w:tc>
          <w:tcPr>
            <w:tcW w:w="109" w:type="dxa"/>
            <w:tcBorders/>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1,801 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8"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Universal life and investment-type product policy fees</w:t>
            </w:r>
          </w:p>
        </w:tc>
        <w:tc>
          <w:tcPr>
            <w:tcW w:w="109" w:type="dxa"/>
            <w:tcBorders/>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(1,778)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8"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Change in market risk benefits, net</w:t>
            </w:r>
          </w:p>
        </w:tc>
        <w:tc>
          <w:tcPr>
            <w:tcW w:w="109" w:type="dxa"/>
            <w:tcBorders/>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(888)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8"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Change in accrued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8"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Change in premiums, reinsurance and other receivables</w:t>
            </w:r>
          </w:p>
        </w:tc>
        <w:tc>
          <w:tcPr>
            <w:tcW w:w="109" w:type="dxa"/>
            <w:tcBorders/>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(1,279)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8"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Change in deferred policy acquisition costs and value of business acquired, net</w:t>
            </w:r>
          </w:p>
        </w:tc>
        <w:tc>
          <w:tcPr>
            <w:tcW w:w="109" w:type="dxa"/>
            <w:tcBorders/>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8"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Change in income tax</w:t>
            </w:r>
          </w:p>
        </w:tc>
        <w:tc>
          <w:tcPr>
            <w:tcW w:w="109" w:type="dxa"/>
            <w:tcBorders/>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(380)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8"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Change in other assets</w:t>
            </w:r>
          </w:p>
        </w:tc>
        <w:tc>
          <w:tcPr>
            <w:tcW w:w="109" w:type="dxa"/>
            <w:tcBorders/>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8"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Change in future policy benefits and other policy-related balances</w:t>
            </w:r>
          </w:p>
        </w:tc>
        <w:tc>
          <w:tcPr>
            <w:tcW w:w="109" w:type="dxa"/>
            <w:tcBorders/>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8"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Change in 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8"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7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8"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8"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Sales, maturities and repayments of:</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8"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Fixed maturity securities</w:t>
            </w:r>
          </w:p>
        </w:tc>
        <w:tc>
          <w:tcPr>
            <w:tcW w:w="109" w:type="dxa"/>
            <w:tcBorders/>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5,922 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8"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Trading securities</w:t>
            </w:r>
          </w:p>
        </w:tc>
        <w:tc>
          <w:tcPr>
            <w:tcW w:w="109" w:type="dxa"/>
            <w:tcBorders/>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8"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w:t>
            </w:r>
          </w:p>
        </w:tc>
        <w:tc>
          <w:tcPr>
            <w:tcW w:w="109" w:type="dxa"/>
            <w:tcBorders/>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8"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Mortgage loans</w:t>
            </w:r>
          </w:p>
        </w:tc>
        <w:tc>
          <w:tcPr>
            <w:tcW w:w="109" w:type="dxa"/>
            <w:tcBorders/>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1,206 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8"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Limited partnerships and limited liability companies</w:t>
            </w:r>
          </w:p>
        </w:tc>
        <w:tc>
          <w:tcPr>
            <w:tcW w:w="109" w:type="dxa"/>
            <w:tcBorders/>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8"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Purchases of:</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8"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Fixed maturity securities</w:t>
            </w:r>
          </w:p>
        </w:tc>
        <w:tc>
          <w:tcPr>
            <w:tcW w:w="109" w:type="dxa"/>
            <w:tcBorders/>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(11,973)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(11,811)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(8,699)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8"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Trading securities</w:t>
            </w:r>
          </w:p>
        </w:tc>
        <w:tc>
          <w:tcPr>
            <w:tcW w:w="109" w:type="dxa"/>
            <w:tcBorders/>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8"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w:t>
            </w:r>
          </w:p>
        </w:tc>
        <w:tc>
          <w:tcPr>
            <w:tcW w:w="109" w:type="dxa"/>
            <w:tcBorders/>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8"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Mortgage loans</w:t>
            </w:r>
          </w:p>
        </w:tc>
        <w:tc>
          <w:tcPr>
            <w:tcW w:w="109" w:type="dxa"/>
            <w:tcBorders/>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(813)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8"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Limited partnerships and limited liability companies</w:t>
            </w:r>
          </w:p>
        </w:tc>
        <w:tc>
          <w:tcPr>
            <w:tcW w:w="109" w:type="dxa"/>
            <w:tcBorders/>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(453)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8"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Cash received in connection with freestanding derivatives</w:t>
            </w:r>
          </w:p>
        </w:tc>
        <w:tc>
          <w:tcPr>
            <w:tcW w:w="109" w:type="dxa"/>
            <w:tcBorders/>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5,048 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8"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Cash paid in connection with freestanding derivatives</w:t>
            </w:r>
          </w:p>
        </w:tc>
        <w:tc>
          <w:tcPr>
            <w:tcW w:w="109" w:type="dxa"/>
            <w:tcBorders/>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(11,856)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(5,422)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8"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Receipts on loans to affiliate</w:t>
            </w:r>
          </w:p>
        </w:tc>
        <w:tc>
          <w:tcPr>
            <w:tcW w:w="109" w:type="dxa"/>
            <w:tcBorders/>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8"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Net change in policy loans</w:t>
            </w:r>
          </w:p>
        </w:tc>
        <w:tc>
          <w:tcPr>
            <w:tcW w:w="109" w:type="dxa"/>
            <w:tcBorders/>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8"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Net change in short-term investments</w:t>
            </w:r>
          </w:p>
        </w:tc>
        <w:tc>
          <w:tcPr>
            <w:tcW w:w="109" w:type="dxa"/>
            <w:tcBorders/>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(259)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8"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Net change in other invested assets</w:t>
            </w:r>
          </w:p>
        </w:tc>
        <w:tc>
          <w:tcPr>
            <w:tcW w:w="109" w:type="dxa"/>
            <w:tcBorders/>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8"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660 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(2,059)</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(3,263)</w:t>
            </w:r>
          </w:p>
        </w:tc>
        <w:tc>
          <w:tcPr>
            <w:tcW w:w="1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360"/>
        <w:jc w:val="center"/>
        <w:rPr>
          <w:rFonts w:ascii="Times New Roman;serif" w:hAnsi="Times New Roman;serif"/>
          <w:b/>
          <w:color w:val="000000"/>
          <w:sz w:val="20"/>
        </w:rPr>
      </w:pPr>
      <w:r>
        <w:rPr>
          <w:rFonts w:ascii="Times New Roman;serif" w:hAnsi="Times New Roman;serif"/>
          <w:b/>
          <w:color w:val="000000"/>
          <w:sz w:val="20"/>
        </w:rPr>
        <w:t>See accompanying notes to the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199515"/>
                <wp:effectExtent l="0" t="0" r="0" b="0"/>
                <wp:wrapNone/>
                <wp:docPr id="78" name="Frame77"/>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Consolidated Statements of Cash Flows (continued)</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For the Years Ended December 31, 2025, 2024 and 2023</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2376"/>
        <w:gridCol w:w="2075"/>
        <w:gridCol w:w="2092"/>
        <w:gridCol w:w="109"/>
        <w:gridCol w:w="196"/>
        <w:gridCol w:w="646"/>
        <w:gridCol w:w="109"/>
        <w:gridCol w:w="109"/>
        <w:gridCol w:w="109"/>
        <w:gridCol w:w="109"/>
        <w:gridCol w:w="196"/>
        <w:gridCol w:w="646"/>
        <w:gridCol w:w="109"/>
        <w:gridCol w:w="109"/>
        <w:gridCol w:w="109"/>
        <w:gridCol w:w="109"/>
        <w:gridCol w:w="196"/>
        <w:gridCol w:w="646"/>
        <w:gridCol w:w="155"/>
      </w:tblGrid>
      <w:tr>
        <w:trPr/>
        <w:tc>
          <w:tcPr>
            <w:tcW w:w="2376"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54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Policyholder account balances:</w:t>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Deposits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19,746 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29,950 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21,514 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Withdrawals</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(20,899)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(26,287)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(17,641)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Net change in payables for collateral under securities loaned and other transactions</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(887)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54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Long-term and short-term debt repaid</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Dividends paid to parent</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(266)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Capital contribution</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Financing element on certain derivative instruments and other derivative related transactions, net</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2,683 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Change in 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(587)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beginning of year</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3,752 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6"/>
              </w:rPr>
            </w:pPr>
            <w:r>
              <w:rPr>
                <w:rFonts w:ascii="Times New Roman;serif" w:hAnsi="Times New Roman;serif"/>
                <w:b/>
                <w:color w:val="000000"/>
                <w:sz w:val="16"/>
              </w:rPr>
              <w:t>Cash, cash equivalents and restricted cash, end of year</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5,057 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4,592 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3,165 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6"/>
              </w:rPr>
            </w:pPr>
            <w:r>
              <w:rPr>
                <w:rFonts w:ascii="Times New Roman;serif" w:hAnsi="Times New Roman;serif"/>
                <w:b/>
                <w:color w:val="000000"/>
                <w:sz w:val="16"/>
              </w:rPr>
              <w:t>Supplemental disclosures of cash flow information</w:t>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Net cash paid (received) for:</w:t>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Income tax</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Non-cash transactions:</w:t>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Transfer of mortgage loans to affiliates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Transfer of limited partnerships and limited liability companies from affiliates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color w:val="000000"/>
              </w:rPr>
            </w:pPr>
            <w:r>
              <w:rPr>
                <w:color w:val="000000"/>
              </w:rPr>
              <w:t>—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360"/>
        <w:jc w:val="center"/>
        <w:rPr>
          <w:rFonts w:ascii="Times New Roman;serif" w:hAnsi="Times New Roman;serif"/>
          <w:b/>
          <w:color w:val="000000"/>
          <w:sz w:val="20"/>
        </w:rPr>
      </w:pPr>
      <w:r>
        <w:rPr>
          <w:rFonts w:ascii="Times New Roman;serif" w:hAnsi="Times New Roman;serif"/>
          <w:b/>
          <w:color w:val="000000"/>
          <w:sz w:val="20"/>
        </w:rPr>
        <w:t>See accompanying notes to the consolidated financial statements.</w:t>
      </w:r>
    </w:p>
    <w:p>
      <w:pPr>
        <w:pStyle w:val="TextBody"/>
        <w:bidi w:val="0"/>
        <w:spacing w:before="60" w:after="283"/>
        <w:ind w:left="0" w:right="0" w:firstLine="360"/>
        <w:jc w:val="center"/>
        <w:rPr/>
      </w:pPr>
      <w:r>
        <w:rPr/>
      </w:r>
    </w:p>
    <w:p>
      <w:pPr>
        <w:pStyle w:val="TextBody"/>
        <w:bidi w:val="0"/>
        <w:spacing w:before="60" w:after="283"/>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199515"/>
                <wp:effectExtent l="0" t="0" r="0" b="0"/>
                <wp:wrapNone/>
                <wp:docPr id="79" name="Frame78"/>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 Business, Basis of Presentation and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Business</w:t>
      </w:r>
    </w:p>
    <w:p>
      <w:pPr>
        <w:pStyle w:val="TextBody"/>
        <w:bidi w:val="0"/>
        <w:spacing w:lineRule="auto" w:line="288" w:before="120" w:after="283"/>
        <w:ind w:left="0" w:right="0" w:firstLine="360"/>
        <w:jc w:val="both"/>
        <w:rPr>
          <w:color w:val="000000"/>
        </w:rPr>
      </w:pPr>
      <w:r>
        <w:rPr>
          <w:color w:val="000000"/>
        </w:rPr>
        <w:t>“</w:t>
      </w:r>
      <w:r>
        <w:rPr>
          <w:rFonts w:ascii="Times New Roman;serif" w:hAnsi="Times New Roman;serif"/>
          <w:b w:val="false"/>
          <w:color w:val="000000"/>
          <w:sz w:val="20"/>
        </w:rPr>
        <w:t>BLIC” and the “Company” refer to Brighthouse Life Insurance Company, a Delaware corporation originally incorporated in Connecticut in 1863, and its subsidiaries. Brighthouse Life Insurance Company is a wholly-owned subsidiary of Brighthouse Holdings, LLC (“BH Holdings”) and an indirect wholly-owned subsidiary of Brighthouse Financial, Inc. (“BHF” and, together with its subsidiaries, “Brighthouse Financial”).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BLIC offers a range of annuity and life insurance products to individuals. The Company is organized into the following reportable segments: Annuities; Life; Run-off; and Corporate &amp; Other.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6, 2025, BHF entered into an Agreement and Plan of Merger (the “Merger Agreement”) with Aquarian Holdings VI L.P., a Delaware limited partnership (“Aquarian Parent”), Aquarian Beacon Merger Sub Inc., a Delaware corporation and an indirect wholly-owned subsidiary of Aquarian Parent (“Merger Sub”), and Aquarian Holdings LLC, a Delaware limited liability company, solely for the purpose of certain provisions, pursuant to which, at the closing of the transactions contemplated by the Merger Agreement, Merger Sub will merge with and into BHF, with BHF surviving as a wholly-owned subsidiary of Aquarian Parent (the “Merger”).</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accounting principles generally accepted in the United States of America (“GAAP”) requires management to adopt accounting policies and make estimates and assumptions that affect amounts reported on the consolidated financial statements. In applying these policies and estimates, management makes subjective and complex judgments that frequently require assumptions about matters that are inherently uncertain. Many of these policies, estimates and related judgments are common in the insurance and financial services industries; others are specific to the Company’s business and operations. Actual results could differ from these estimates.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Consolidation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include the accounts of Brighthouse Life Insurance Company and its subsidiaries, as well as partnerships and limited liability companies (“LLC”) that the Company controls. Intercompany accounts and transactions have been eliminated.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uses the equity method of accounting for investments in limited partnerships and LLCs when it has more than a minor ownership interest or more than a minor influence over the investee’s operations. The Company generally recognizes its share of the investee’s earnings on a three-month lag in instances where the investee’s financial information is not sufficiently timely or when the investee’s reporting period differs from the Company’s reporting period. When the Company has virtually no influence over the investee’s operations, the investment is carried at fair value.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Summary of Significant Accounting Policies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Insurance Contract Obligations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obligations under insurance contracts to pay benefits over an extended period of time. The Company establishes liabilities for future obligations under long-duration insurance contracts based on the accounting model appropriate for each type of contract or contract feature. Liabilities for insurance contract benefits are generally accrued over time as revenue is recognized, or established based on the balance that accrues to the contract holder. In addition, certain insurance contracts may contain features that are required to be measured at fair value separately from the base contracts, either as a market risk benefit (“MRB”) or embedded derivative.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discussion below provides an overview of the different accounting models for insurance contract obligations and the applicability of such models to the Company’s insurance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199515"/>
                <wp:effectExtent l="0" t="0" r="0" b="0"/>
                <wp:wrapNone/>
                <wp:docPr id="80" name="Frame79"/>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 Business, Basis of Presentation and Summary of Significant Accounting Policies (continued)</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Liability for Future Policy Benefits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establishes a liability for future policy benefits (“LFPB”) for non-participating term and whole life insurance and income annuities. LFPBs are accrued over time as revenue is recognized based on a net premium ratio. The net premium ratio is the portion of gross premiums required to provide for all future benefits. LFPBs are established using the Company’s current assumptions of future cash flows, discounted at a rate that approximates a single A corporate bond curve. The Company generally aggregates insurance contracts into groupings by issue year, product and segment for determining the net premium ratio and related LFPBs.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reviews cash flow assumptions regularly, and if they change significantly, LFPBs are adjusted by determining a revised net premium ratio. The revised net premium ratio is calculated as of contract inception using both actual historical experience and updated future cash flow assumptions. The recalculated net premium ratio is applied to derive a remeasurement gain or loss recognized in the current period net income. For insurance policies in-force as of December 31, 2020, January 1, 2021 is considered the contract inception date. The net premium ratio is also updated quarterly for the difference between actual and expected experience.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net premium ratio is not updated for changes in discount rate assumptions, as changes in the discount rate are updated quarterly and the impacts are reflected in other comprehensive income (loss) (“OCI”). The discount rate assumption is determined by developing a yield curve based on market observable yields for upper-medium grade fixed income instruments derived from an external index. The yield curve is applied to the expected future cash flows used in the measurement of LFPBs based on the duration characteristics of those liabilities.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most significant cash flow assumptions used in the establishment of LFPBs are mortality, policy lapses and market interest rates. See Note 3 for more information on the effect of changes in assumptions on the measurement of LFPBs.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also establishes an LFPB for participating term and whole life insurance using a net premium ratio and the Company’s current assumptions of future cash flows. Assumptions are determined at issuance of the policy and are not updated unless a premium deficiency exists. A premium deficiency exists when the LFPB plus the present value of expected future gross premiums are less than expected future benefits and expenses (based on current assumptions). When a premium deficiency exists, the Company will reduce any deferred acquisition costs and may also establish an additional liability to eliminate the deficiency. See Note 3 for more information on assumptions used in establishing LFPBs related to participating term and whole life insurance.</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Policyholder Account Balances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establishes a policyholder account balance liability for customer deposits on universal life insurance, universal life insurance with secondary guarantees (“ULSG”) and deferred annuity contracts. The policyholder account balance liability is equal to the sum of deposits, plus interest credited, less charges and withdrawals, excluding the impact of any applicable charge that may be incurred upon surrender. The Company also holds additional liabilities for certain product features including secondary guarantees on universal life insurance contracts and the crediting rates associated with index-linked annuities.</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Additional Liabilities for ULSG</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establishes a liability in addition to the account balance for ULSG. These liabilities are determined by estimating the expected value of death benefits payable when the account balance is projected to be zero and recognizing those benefits ratably over the contract period based on total expected assessments. The benefits used in calculating the liabilities are based on the average benefits payable over a range of scenarios. The Company also maintains a liability for profits followed by losses on ULSG determined by projecting future earnings and establishing a liability to offset losses that are expected to occur in later years. Both ULSG liabilities are adjusted for the effects of unrealized investment gains and losses.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reviews cash flow assumptions regularly, and, if they change significantly, the liability for secondary guarantees is adjusted by a cumulative charge or credit to net income. Liabilities for secondary guarantees are presented within future policy benefits with changes in the liabilities reported in policyholder benefits and claims, except for the effects of unrealized investment gains and losses, which are reported in OCI.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199515"/>
                <wp:effectExtent l="0" t="0" r="0" b="0"/>
                <wp:wrapNone/>
                <wp:docPr id="81" name="Frame80"/>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 Business, Basis of Presentation and Summary of Significant Accounting Policies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most significant assumptions used in estimating liabilities for secondary guarantees are the general account rate of return, mortality, premium persistency, lapses and withdrawals. See Note 3 for more information on the effect of changes in assumptions on the measurement of liabilities for secondary guarantees.</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Market Risk Benefits on Annuity Guarantees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MRBs are contracts or contract features that provide protection to the policyholder from capital markets risks by transferring such risks to the Company. MRBs are required to be separated from the deferred annuity host contract and measured at fair value. The Company establishes MRB assets and liabilities for guaranteed minimum benefits on variable annuity contracts including guaranteed minimum death benefits, guaranteed minimum income benefits (“GMIB”), guaranteed minimum accumulation benefits (“GMAB”) and guaranteed minimum withdrawal benefits (“GMWB”). MRB assets are also established for reinsured benefits related to these guarantees. Certain index-linked annuity products may also have guaranteed minimum benefits classified as MRBs.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measurement of fair value includes an adjustment for the risk that the Company fails to satisfy its obligations, which is referred to as nonperformance risk, as well as risk margin to capture the non-capital markets risks of the instrument, which represents the additional compensation a market participant would require to assume the risks related to the uncertainties in certain actuarial assumptions. MRBs are measured at estimated fair value, with changes reported in change in MRBs, except for the change due to nonperformance risk, which is reported in OCI.</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4 for more information on the effect of changes in inputs and assumptions on the measurement of MRBs and Note 10 for more information on the determination of fair value of MRBs.</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Embedded Derivatives on Index-Linked Annuities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issues, and assumes through reinsurance, index-linked annuities which allow the policyholder to participate in returns from certain specified equity indices. The crediting rates associated with these features are classified as embedded derivatives and measured at estimated fair value, with changes in estimated fair value reported in net derivative gains (losses). These embedded derivatives are classified within policyholder account balances on the consolidated balance sheets.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Embedded derivative liabilities are required to be separated from the deferred annuity host contract and measured at fair value. The estimated fair value is determined using a combination of an option pricing model and an option-budget approach. Under this approach, the Company estimates the cost of funding the crediting rate using option pricing and establishes that cost on the balance sheet as a reduction to the initial deposit amount. The estimate of fair value includes an adjustment for nonperformance risk, as well as a risk margin.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Actuarial assumptions are reviewed at least annually, and if they change significantly, the estimated fair value is adjusted through net income. Capital market inputs used in the measurement of index-linked crediting rate embedded derivatives are updated quarterly through net income. The reduction to the initial deposit is accreted back up to the initial deposit over the estimated life of the contract. Embedded derivatives related to index-linked annuities are presented within policyholder account balances while changes in the estimated fair value are reported in net derivative gains (losses).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more information on the determination of estimated fair value of embedded derivatives, see Note 10.</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Recognition of Revenues and Deposits on Insurance Contracts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Premiums related to traditional long-duration contracts are recognized as revenues when due from policyholders. When premiums for income annuities are due over a significantly shorter period than the period over which policyholder benefits are incurred, the Company establishes a deferred profit liability (“DPL”) for the excess of the gross premium over the net premium. DPLs are amortized into net income in proportion to the amount of expected future benefit payments. Assumptions used in the measurement of the DPL are updated at the same time as the related LFPBs, with the updated estimates used to recalculate the DPL as of contract inception. The remeasurement gain or loss from updating DPLs is recognized in current period net income along with the related change in LFPBs.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199515"/>
                <wp:effectExtent l="0" t="0" r="0" b="0"/>
                <wp:wrapNone/>
                <wp:docPr id="82" name="Frame81"/>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 Business, Basis of Presentation and Summary of Significant Accounting Policies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Deposits related to universal life insurance, deferred annuity contracts and investment contracts are credited to policyholder account balances. Revenues from such contracts consist of asset-based investment management fees, cost of insurance (“COI”) charges, risk charges, policy administration fees and surrender charges. These fees, which are included in universal life and investment-type product policy fees, are recognized when assessed to the contract holder, except for non-level insurance charges which are deferred by the establishment of an unearned revenue liability and amortized over the expected life of the contracts.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Premiums and policy fees are presented net of reinsurance.</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Deferred Policy Acquisition Costs, Value of Business Acquired and Other Intangibles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incurs significant costs in connection with acquiring new and renewal insurance business. Costs that are directly related to the successful acquisition or renewal of insurance contracts are capitalized as deferred policy acquisition costs (“DAC”). These costs mainly consist of commissions and include the portion of employees’ compensation and benefits related to time spent selling, underwriting or processing the issuance of new insurance contracts. All other acquisition-related costs are expensed as incurred.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Value of business acquired (“VOBA”) is an intangible asset resulting from a business combination that represents the excess of book value over the estimated fair value of acquired insurance, annuity and investment-type contracts in-force as of the acquisition date.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amortizes DAC and VOBA in a manner that approximates a straight-line basis over the expected life of the related contracts. For life insurance contracts, amortization is based on projections of amounts of insurance in-force, while projections of policy counts are used for deferred annuity contracts and expected future benefits payments for income annuities. These assumptions are reviewed at least annually, and if they change significantly, updates are recognized through changes to future amortization. VOBA balances are tested annually to determine if the balance is deemed unrecoverable from expected future profits. All changes in DAC and VOBA balances are recorded to net income.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Periodically, the Company modifies product benefits, features, rights or coverages that occur by the exchange of an existing contract for a new contract, or by amendment, endorsement, or rider to a contract, or by election or coverage within a contract. If a modification is considered to have substantially changed the contract, the associated DAC or VOBA is written off immediately through net income and any new acquisition costs associated with the replacement contract are deferred. If the modification does not substantially change the contract, the DAC or VOBA amortization on the original contract will continue and any acquisition costs associated with the related modification are expensed.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also has intangible assets representing deferred sales inducements (“DSI”), which are included in other assets, and unearned revenue liabilities, which are included in other policy-related balances. The Company defers sales inducements and unearned revenue and amortizes the balances using the same methodology and assumptions used to amortize DAC and VOBA.</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Reinsurance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enters into reinsurance arrangements pursuant to which it cedes certain insurance risks to unaffiliated and former related party reinsurers. Cessions under reinsurance agreements do not discharge the Company’s obligations as the primary insurer. The accounting for reinsurance arrangements depends on whether the arrangement provides indemnification against loss or liability relating to insurance risk in accordance with GAAP.</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ceded reinsurance of existing in-force blocks of insurance contracts that transfer significant insurance risk, premiums, benefits and the amortization of DAC are reported net of reinsurance ceded. Amounts recoverable from reinsurers related to incurred claims and ceded reserves are included in premiums, reinsurance and other receivables and amounts payable to reinsurers included in other liabilities.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the Company determines that a reinsurance agreement does not expose the reinsurer to a reasonable possibility of a significant loss from insurance risk, the Company records the agreement using the deposit method of accounting. Deposits received are included in other liabilities and deposits made are included in premiums, reinsurance and other receivables. As amounts are paid or received, consistent with the underlying contracts, the deposit assets or liabilities are adjusted. Interest on such deposits is recorded as other revenues or other expenses, as appropriate.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199515"/>
                <wp:effectExtent l="0" t="0" r="0" b="0"/>
                <wp:wrapNone/>
                <wp:docPr id="83" name="Frame82"/>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 Business, Basis of Presentation and Summary of Significant Accounting Policies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funds withheld liability represents amounts withheld by the Company in accordance with the terms of the reinsurance agreements. Under certain reinsurance agreements, the Company withholds the funds rather than transferring the underlying investments and, as a result, records a funds withheld liability in other liabilities. The Company recognizes interest on funds withheld, included in other expenses, at rates defined by the terms of the agreement which may be contractually specified or directly related to the investment portfolio.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funds withheld arrangements may also contain embedded derivatives measured at fair value that are related to the investment return on the assets withheld. Embedded derivatives related to funds withheld arrangements are presented within policyholder account balances on the consolidated balance sheets, with changes in the estimated fair value reported in net derivative gains (losses).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Reinsurance arrangements may also contain features classified as MRBs, including reinsurance of guaranteed minimum benefits associated with variable annuity contracts.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accounts for assumed reinsurance similar to directly written business.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Investments</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Net Investment Income and Net Investment Gains (Losses)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Income from investments is reported in net investment income, unless otherwise stated herein. Gains and losses on sales of investments, impairment losses and changes in valuation allowances are reported in net investment gains (losses), unless otherwise stated herein.</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Fixed Maturity Securities Available-For-Sale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Fixed maturity securities classified as available-for-sale are reported at their estimated fair value. Unrealized investment gains and losses on these securities are recorded as a separate component of OCI, net of policy-related amounts and deferred income taxes. Publicly-traded security transactions are recorded on a trade date basis, while privately-placed and bank loan security transactions are recorded on a settlement date basis. Investment gains and losses on sales are determined on a specific identification basis.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and prepayment fees are recognized when earned. Interest income is recognized using an effective yield method giving effect to amortization of premiums and accretion of discounts and is based on the estimated economic life of the securities, which for residential mortgage-backed securities (“RMBS”), commercial mortgage-backed securities (“CMBS”) and asset-backed securities (“ABS”) (collectively, “Structured Securities”) considers the estimated timing and amount of prepayments of the underlying loans. The amortization of premium and accretion of discount of fixed maturity securities also takes into consideration call and maturity dates.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of premium and accretion of discount on Structured Securities considers the estimated timing and amount of prepayments of the underlying loans. Actual prepayment experience is periodically reviewed, and effective yields are recalculated when differences arise between the originally anticipated and the actual prepayments received and currently anticipated. Prepayment assumptions for Structured Securities are estimated using inputs obtained from third-party specialists and based on management’s knowledge of the current market. For credit-sensitive Structured Securities and certain prepayment-sensitive securities, the effective yield is recalculated on a prospective basis. For all other Structured Securities, the effective yield is recalculated on a retrospective basis.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regularly evaluates fixed maturity securities for declines in fair value to determine if a credit loss exists. This evaluation is based on management’s case-by-case evaluation of the underlying reasons for the decline in fair value including, but not limited to, an analysis of the gross unrealized losses by severity and financial condition of the issuer.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fixed maturity securities in an unrealized loss position, when the Company has the intent to sell the security, or it is more likely than not that the Company will be required to sell the security before recovery, the amortized cost basis of the security is written down to fair value through net investment gains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199515"/>
                <wp:effectExtent l="0" t="0" r="0" b="0"/>
                <wp:wrapNone/>
                <wp:docPr id="84" name="Frame83"/>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 Business, Basis of Presentation and Summary of Significant Accounting Policies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fixed maturity securities that do not meet the aforementioned criteria, management evaluates whether the decline in estimated fair value has resulted from credit losses or other factors. If the Company determines the decline in estimated fair value is due to credit losses, the difference between the amortized cost of the security and the present value of projected future cash flows expected to be collected is recognized as an allowance through net investment gains (losses). If the estimated fair value is less than the present value of projected future cash flows expected to be collected, this portion of the allowance related to other-than-credit factors is recorded in OCI.</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Once a security specific allowance for credit losses is established, the present value of cash flows expected to be collected from the security continues to be reassessed. Any changes in the security specific allowance for credit losses are recorded as a provision for (or reversal of) credit loss expense in net investment gains (losses).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Fixed maturity securities are also evaluated to determine whether any amounts have become uncollectible. When all, or a portion, of a security is deemed uncollectible, the uncollectible portion is written-off with an adjustment to amortized cost and a corresponding reduction to the allowance for credit losses.</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Trading Securities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Fixed maturity securities classified as trading securities are reported at their estimated fair value. The recognition and measurement of trading securities and related interest income is consistent with the accounting for fixed maturity securities available-for-sale. Realized and unrealized investment gains (losses) are recorded in net investment income.</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Mortgage Loans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Mortgage loans are stated at unpaid principal balance, adjusted for any unamortized premium or discount, and any deferred fees or expenses, and net of an allowance for credit losses. Interest income and prepayment fees are recognized when earned. Interest income is recognized using an effective yield method giving effect to amortization of premiums and accretion of discounts. The allowance for credit losses for mortgage loans represents the Company’s best estimate of expected credit losses over the remaining life of the loans and is determined using relevant available information from internal and external sources, relating to past events, current conditions, and a reasonable and supportable forecast.</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Policy Loans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Policy loans are stated at unpaid principal balances. Interest income is recorded as earned using the contractual interest rate. Generally, accrued interest is capitalized on the policy’s anniversary date. Any unpaid principal and accrued interest is deducted from the cash surrender value or the death benefit prior to settlement of the insurance policy</w:t>
      </w:r>
      <w:r>
        <w:rPr>
          <w:rFonts w:ascii="Times New Roman;serif" w:hAnsi="Times New Roman;serif"/>
          <w:b/>
          <w:color w:val="000000"/>
          <w:sz w:val="20"/>
        </w:rPr>
        <w:t>.</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Limited Partnerships and LLCs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uses the equity method of accounting for investments when it has more than a minor ownership interest or more than a minor influence over the investee’s operations; when the Company has virtually no influence over the investee’s operations the investment is carried at estimated fair value. The Company generally recognizes its share of the equity method investee’s earnings on a three-month lag in instances where the investee’s financial information is not sufficiently timely or when the investee’s reporting period differs from the Company’s reporting period; while distributions on investments carried at estimated fair value are recognized as earned or received.</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Short-term Investments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Short-term investments include securities and other investments with remaining maturities of one year or less, but greater than three months, at the time of purchase and are stated at estimated fair value or amortized cost, which approximates estimated fair value. The Company’s short-term investments generally involve large dollar amounts that turn over quickly and have short maturities.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2024 and 2023, cash proceeds from sales, maturities and repayments of short-term investments were $2.1 billion, $1.1 billion and $1.1 billion, respectively. For the years ended December 31, 2025, 2024 and 2023, cash payments on purchases of short-term investments were $1.6 billion, $1.7 billion and $1.4 billion,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199515"/>
                <wp:effectExtent l="0" t="0" r="0" b="0"/>
                <wp:wrapNone/>
                <wp:docPr id="85" name="Frame84"/>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 Business, Basis of Presentation and Summary of Significant Accounting Policies (continued)</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Other Invested Assets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invested assets consist principally of freestanding derivatives with positive estimated fair values which are described in “— Derivatives” below.</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Securities Lending Program</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Securities lending transactions whereby blocks of securities are loaned to third parties, primarily brokerage firms and commercial banks, are treated as financing arrangements and the associated liability is recorded at the amount of cash received. Income and expenses associated with securities lending transactions are reported as investment income and investment expense, respectively, in net investment income.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obtains collateral at the inception of the loan, usually cash, in an amount generally equal to 102% of the estimated fair value of the securities loaned and maintains it at a level greater than or equal to 100% for the duration of the loan. The Company monitors the estimated fair value of the securities loaned on a daily basis and additional collateral is obtained as necessary throughout the duration of the loan. Securities loaned under such transactions may be sold or re-pledged by the transferee. The Company is liable to return to the counterparties the cash collateral received.</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Funding Agreements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established liabilities for funding agreements associated with the Company’s institutional spread margin business, which are equal to the unpaid principal balance, adjusted for any unamortized premium or discount. Liabilities related to funding agreements are reported in policyholder account balances.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Derivatives</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Freestanding Derivatives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Freestanding derivatives are carried at estimated fair value on the Company’s balance sheet either as assets in other invested assets or as liabilities in other liabilities. The Company does not offset the estimated fair value amounts recognized for derivatives executed with the same counterparty under the same master netting agreement.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a derivative is not designated or did not qualify as an accounting hedge, changes in the estimated fair value of the derivative are reported in net derivative gains (losses).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generally reports cash received or paid for a derivative in the investing activity section of the statement of cash flows except for cash flows of certain derivative options with deferred premiums, which are reported in the financing activity section of the statement of cash flows. </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Hedge Accounting</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primarily designates derivatives as a hedge of a forecasted transaction or a variability of cash flows to be received or paid related to a recognized asset or liability (cash flow hedge). When a derivative is designated as a cash flow hedge and is determined to be highly effective, changes in fair value are recorded in OCI and subsequently reclassified into the statement of operations when the Company’s earnings are affected by the variability in cash flows of the hedged item.</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qualify for hedge accounting, at the inception of the hedging relationship, the Company formally documents its risk management objective and strategy for undertaking the hedging transaction, as well as its designation of the hedge. In its hedge documentation, the Company sets forth how the hedging instrument is expected to hedge the designated risks related to the hedged item and sets forth the method that will be used to retrospectively and prospectively assess the hedging instrument’s effectiveness. A derivative designated as a hedging instrument must be assessed as being highly effective in offsetting the designated risk of the hedged item. Hedge effectiveness is formally assessed at inception and at least quarterly throughout the life of the designated hedging relationship.</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discontinues hedge accounting prospectively when: (i) it is determined that the derivative is no longer highly effective in offsetting changes in the estimated fair value or cash flows of a hedged item; (ii) the derivative or hedged item expires, is sold, terminated, or exercised; (iii) it is no longer probable that the hedged forecasted transaction will occur; or (iv) the derivative is de-designated as a hedging instrument.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199515"/>
                <wp:effectExtent l="0" t="0" r="0" b="0"/>
                <wp:wrapNone/>
                <wp:docPr id="86" name="Frame85"/>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 Business, Basis of Presentation and Summary of Significant Accounting Policies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When hedge accounting is discontinued the derivative is carried at its estimated fair value on the balance sheet, with changes in its estimated fair value recognized in the current period as net derivative gains (losses). The changes in estimated fair value of derivatives previously recorded in OCI related to discontinued cash flow hedges are released into the statement of operations when the Company’s earnings are affected by the variability in cash flows of the hedged item. When the hedged item matures or is sold, or the forecasted transaction is not probable of occurring, the Company immediately reclassifies any remaining balances in OCI to net derivative gains (losses).</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Embedded Derivatives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index-linked annuities that are directly written or assumed through reinsurance contracts that contain embedded derivatives which are required to be separated from their host contracts and reported as derivatives. Certain funds withheld arrangements associated with reinsurance may also contain embedded derivatives. See “— Insurance Contract Obligations” and “— Reinsurance” for additional information on the accounting policies for embedded derivatives.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Fair Value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paid to transfer a liability (an exit price) in the principal or most advantageous market for the asset or liability in an orderly transaction between market participants on the measurement date. In most cases, the exit price and the transaction (or entry) price will be the same at initial recognition.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determining the estimated fair value of the Company’s investments, fair values are based on unadjusted quoted prices for identical investments in active markets that are readily and regularly obtainable. When such quoted prices are not available, fair values are based on quoted prices in markets that are not active, quoted prices for similar but not identical investments, or other observable inputs. If these inputs are not available, or observable inputs are not determinable, unobservable inputs and/or adjustments to observable inputs requiring management judgment are used to determine the estimated fair value of investments.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Separate Accounts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Separate accounts underlying the Company’s variable life and annuity contracts are reported at fair value. Assets in separate accounts supporting the contract liabilities are legally insulated from the Company’s general account liabilities. Investments in these separate accounts are directed by the contract holder and all investment performance, net of contract fees and assessments, is passed through to the contract holder. Investment performance and the corresponding amounts credited to contract holders of such separate accounts are offset in the same line on the statements of operations.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Separate accounts that do not pass all investment performance to the contract holder, including those underlying certain index-linked annuities, are combined on a line-by-line basis with the Company’s general account assets, liabilities, revenues and expenses. The accounting for investments in these separate accounts is consistent with the methodologies described herein for similar financial instruments held in the general account.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receives asset-based distribution and service fees from mutual funds available to the variable life and annuity contract holders as investment options in its separate accounts. These fees are recognized in the period in which the related services are performed and are included in other revenues.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Income Tax</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income tax provision was prepared following the modified separate return method. The modified separate return method applies the Accounting Standards Codification 740 — Income Taxes (“ASC 740”) to the standalone financial statements of each member of the consolidated group as if the member were a separate taxpayer and a standalone enterprise, after providing benefits for losses. The Company’s accounting for income taxes represents management’s best estimate of various events and transactions. Current and deferred income taxes included herein and attributable to periods up until the Company’s separation from MetLife, Inc. (together with its subsidiaries and affiliates, “MetLife”) (“Separation”) have been allocated to the Company in a manner that is systematic, rational and consistent with the asset and liability method prescribed by ASC 740.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199515"/>
                <wp:effectExtent l="0" t="0" r="0" b="0"/>
                <wp:wrapNone/>
                <wp:docPr id="87" name="Frame86"/>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 Business, Basis of Presentation and Summary of Significant Accounting Policies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Deferred tax assets and liabilities resulting from temporary differences between the financial reporting and tax bases of assets and liabilities are measured at the balance sheet date using enacted tax rates expected to apply to taxable income in the years the temporary differences are expected to reverse.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realization of deferred tax assets depends upon the existence of sufficient taxable income within the carryback or carryforward periods under the tax law in the applicable tax jurisdiction. Valuation allowances are established when management determines, based on available information, that it is more likely than not that deferred income tax assets will not be realized. Significant judgment is required in determining whether valuation allowances should be established, as well as the amount of such allowances. When making such determination, the Company considers many factors, including the jurisdiction in which the deferred tax asset was generated, the length of time that carryforward can be utilized in the various taxing jurisdictions, future taxable income exclusive of reversing temporary differences and carryforwards, future reversals of existing taxable temporary differences, taxable income in prior carryback years, tax planning strategies and the nature, frequency, and amount of cumulative financial reporting income and losses in recent years.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The Inflation Reduction Act, which was enacted in 2022, established a 15% corporate alternative minimum tax (“CAMT”) for corporations whose average annual adjusted financial statement income for any consecutive three–tax year period ending after December 31, 2021, and preceding the tax year exceeds $1.0 billion.</w:t>
      </w:r>
      <w:r>
        <w:rPr>
          <w:color w:val="000000"/>
        </w:rPr>
        <w:t xml:space="preserve"> </w:t>
      </w:r>
      <w:r>
        <w:rPr>
          <w:rFonts w:ascii="Times New Roman;serif" w:hAnsi="Times New Roman;serif"/>
          <w:b w:val="false"/>
          <w:color w:val="000000"/>
          <w:sz w:val="20"/>
        </w:rPr>
        <w:t>The Company elects not to consider any future effects resulting from applicability of the CAMT when assessing the valuation allowance for regular deferred tax assets.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may be required to change its provision for income taxes when estimates used in determining valuation allowances on deferred tax assets significantly change or when receipt of new information indicates the need for adjustment in valuation allowances. Additionally, the effect of changes in tax laws, tax regulations, or interpretations of such laws or regulations, is recognized in net income tax expense (benefit) in the period of change.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determines whether it is more likely than not that a tax position will be sustained upon examination by the appropriate taxing authorities before any part of the benefit can be recorded on the financial statements. A tax position is measured at the largest amount of benefit that is greater than 50% likely of being realized upon settlement. Unrecognized tax benefits due to tax uncertainties that do not meet the threshold are included in other liabilities and are charged to earnings in the period that such determination is made.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classifies interest recognized as interest expense and penalties recognized as a component of income tax expense.</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Litigation and Other Loss Contingencies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a party to or involved in a number of legal disputes, including litigation matters, as well as disputes or other matters involving third parties (e.g., vendors, reinsurers or tax or other authorities), and are subject in the ordinary course to a number of regulatory examinations and investigations. The Company reviews relevant information with respect to litigation and other loss contingencies related to these matters and establishes liabilities when it is probable that a loss has been incurred and the amount of the loss can be reasonably estimated. Legal costs are recognized as incurred.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matters where it is not probable, but it is reasonably possible that a loss will be incurred and the amount of loss can be reasonably estimated, such losses or range of losses are disclosed, and no accrual is made. In the absence of sufficient information to support an assessment of a reasonably possible loss or range of loss, no accrual is made and no loss or range of loss is disclosed.</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Other Accounting Policies</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Cash and Cash Equivalents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considers all highly liquid securities and other investments purchased with an original or remaining maturity of three months or less at the date of purchase to be cash equivalents. Cash equivalents are stated at estimated fair value or amortized cost, which approximates estimated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199515"/>
                <wp:effectExtent l="0" t="0" r="0" b="0"/>
                <wp:wrapNone/>
                <wp:docPr id="88" name="Frame87"/>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 Business, Basis of Presentation and Summary of Significant Accounting Policies (continued)</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Employee Benefit Plans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Brighthouse Services, LLC, an affiliate, sponsors qualified and non-qualified defined contribution plans, and New England Life Insurance Company (“NELICO”), an affiliate, sponsors certain frozen defined benefit pension and postretirement plans. Within its consolidated statement of operations, the Company has included expenses associated with its participants in these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Adoption of New Accounting Pronouncements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Changes to GAAP are established by the Financial Accounting Standards Board (“FASB”) in the form of accounting standards updates (“ASU”) to the FASB Accounting Standards Codification. The Company considers the applicability and impact of all ASUs. Except as noted below, there were no significant ASUs adopted during the year ended December 31, 2025.</w:t>
      </w:r>
    </w:p>
    <w:p>
      <w:pPr>
        <w:pStyle w:val="TextBody"/>
        <w:bidi w:val="0"/>
        <w:spacing w:lineRule="auto" w:line="288" w:before="120" w:after="283"/>
        <w:ind w:left="0" w:right="0" w:firstLine="360"/>
        <w:jc w:val="both"/>
        <w:rPr/>
      </w:pPr>
      <w:r>
        <w:rPr>
          <w:rFonts w:ascii="Times New Roman;serif" w:hAnsi="Times New Roman;serif"/>
          <w:b w:val="false"/>
          <w:color w:val="000000"/>
          <w:sz w:val="20"/>
        </w:rPr>
        <w:t>In December 2023, the FASB issued new guidance on Income Tax Disclosures (ASU 2023-09,</w:t>
      </w:r>
      <w:r>
        <w:rPr>
          <w:color w:val="000000"/>
        </w:rPr>
        <w:t xml:space="preserve">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This ASU updates the required income tax disclosures to include disclosure of income taxes paid disaggregated by jurisdiction and greater disaggregation of information in the required rate reconciliation. The Company adopted this guidance during fiscal year 2025 on a retrospective basis.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Future Adoption of New Accounting Pronouncements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In November 2025, the FASB issued new guidance on financial instrument credit losses (ASU 2025-08, </w:t>
      </w:r>
      <w:r>
        <w:rPr>
          <w:rFonts w:ascii="Times New Roman;serif" w:hAnsi="Times New Roman;serif"/>
          <w:b w:val="false"/>
          <w:i/>
          <w:color w:val="000000"/>
          <w:sz w:val="20"/>
        </w:rPr>
        <w:t>Financial Instruments – Credit Losses (Topic 326): Purchased Loans)</w:t>
      </w:r>
      <w:r>
        <w:rPr>
          <w:rFonts w:ascii="Times New Roman;serif" w:hAnsi="Times New Roman;serif"/>
          <w:b w:val="false"/>
          <w:color w:val="000000"/>
          <w:sz w:val="20"/>
        </w:rPr>
        <w:t>. Under current GAAP, an allowance for credit losses for assets purchased with credit deterioration is established by grossing up the amortized cost basis of the asset, while the allowance for all other loans is recognized separately as an expense. The ASU expands the population of purchased financial instruments subject to the gross-up approach for determining the allowance for credit losses to include all purchased loans that meet certain criteria. The ASU is effective for annual and interim periods starting with fiscal year 2027. This ASU is required to be adopted prospectively for all loans acquired on or after the effective date. The Company is currently evaluating the impact of this guidance on its financial statements.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In November 2024, the FASB issued new guidance on income statement expense disclosures (ASU 2024-03, </w:t>
      </w:r>
      <w:r>
        <w:rPr>
          <w:rFonts w:ascii="Times New Roman;serif" w:hAnsi="Times New Roman;serif"/>
          <w:b w:val="false"/>
          <w:i/>
          <w:color w:val="000000"/>
          <w:sz w:val="20"/>
        </w:rPr>
        <w:t>Income Statement—Reporting Comprehensive Income—Expense Disaggregation Disclosures (Subtopic 220-40)</w:t>
      </w:r>
      <w:r>
        <w:rPr>
          <w:rFonts w:ascii="Times New Roman;serif" w:hAnsi="Times New Roman;serif"/>
          <w:b w:val="false"/>
          <w:color w:val="000000"/>
          <w:sz w:val="20"/>
        </w:rPr>
        <w:t>: Disaggregation of Income Statement Expenses). This ASU requires public companies to disclose additional disaggregated information about expenses in the notes to financial statements at each interim and annual reporting period. This ASU is effective for fiscal years starting January 1, 2027, and for interim periods starting January 1, 2028. This ASU is required to be adopted prospectively with the option of retrospective application. The Company is currently evaluating the impact of this guidance on its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2. Segment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organized into and provides its products and services through the following reportable segments: Annuities; Life; Run-off; and Corporate &amp; Other. The Company’s chief operating decision maker (“CODM”) views and manages the business through these segments.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Annuities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Annuities segment consists of a variety of variable, fixed, index-linked and income annuities designed to address contract holders’ needs for protected wealth accumulation on a tax-deferred basis, wealth transfer and income security.</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Life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Life segment consists of insurance products, including term, universal, whole and variable life products designed to address policyholders’ needs for financial security and protected wealth transfer, which may be on a tax-advantaged basis.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Run-off</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Run-off segment consists primarily of products that are no longer actively sold and are separately managed, including ULSG, structured settlements, pension risk transfer contracts, certain company-owned life insurance policies and certain funding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199515"/>
                <wp:effectExtent l="0" t="0" r="0" b="0"/>
                <wp:wrapNone/>
                <wp:docPr id="89" name="Frame88"/>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2. Segment Information (continued)</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Corporate &amp; Other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Corporate &amp; Other segment consists of activities related to funding agreements associated with the Company’s institutional spread margin business, excess capital not allocated to the other segments and interest expense related to the Company’s outstanding debt, as well as expenses associated with certain legal proceedings and income tax audit issues. The Corporate &amp; Other segment also includes long-term care business reinsured through 100% quota share reinsurance agreements.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Financial Measure and Segment Accounting Policies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CODM is its Chief Executive Officer (“CEO”). The CEO uses adjusted earnings to evaluate segment performance and facilitate comparisons to industry results. The Company believes the presentation of adjusted earnings, as the Company measures it for management purposes, enhances the understanding of its performance by the investor community by highlighting the results of operations and the underlying profitability drivers of the business.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earnings, which may be positive or negative, focuses on the Company’s primary businesses by excluding the impact of market volatility, which could distort trends. Adjusted earnings was updated during the first quarter of 2025 in connection with the establishment of a trading portfolio comprised of certain fixed income securities (classified as “trading securities” under GAAP). The Company did not have trading securities prior to the first quarter of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items are excluded from total revenues in calculating adjusted earnings: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Net investment gains (losses);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Investment gains (losses) on trading securities measured at estimated fair value through net investment income;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Net derivative gains (losses), excluding earned income and amortization of premium on derivatives that are hedges of investments or that are used to replicate certain investments, but do not qualify for hedge accounting treatment (“Investment Hedge Adjustments”).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items are excluded from total expenses in calculating adjusted earnings: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 in MRBs;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 in fair value of the crediting rate on experience-rated contracts and market value adjustments on institutional group annuities that are economically offset by gains (losses) on the related trading securities (“Market Value Adjustments”).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 related to adjusted earnings is calculated using the statutory tax rate of 21%, net of impacts related to the dividends received deduction, tax credits and current period non-recurring items.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segment accounting policies are the same as those used to prepare the Company’s consolidated financial statements, except for the adjustments to calculate adjusted earnings described above. In addition, segment accounting policies include the methods of capital allocation described below.</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Segment investment and capitalization targets are based on statutory oriented risk principles and metrics. Segment invested assets backing liabilities are based on net statutory liabilities plus excess capital, with excess capital determined based on statutory risk-based capital (“RBC”) metrics. Assets in excess of those allocated to the Annuities, Life and Run-off segments, if any, are held in the Corporate &amp; Other segment. Segment net investment income reflects the performance of each segment’s respective invested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199515"/>
                <wp:effectExtent l="0" t="0" r="0" b="0"/>
                <wp:wrapNone/>
                <wp:docPr id="90" name="Frame89"/>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2. Segment Information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tables below provide information about the Company’s segments, including significant segment expenses, and reconciliations to Net income (loss) attributable to Brighthouse Life Insurance Company.</w:t>
      </w:r>
    </w:p>
    <w:tbl>
      <w:tblPr>
        <w:tblW w:w="10205" w:type="dxa"/>
        <w:jc w:val="left"/>
        <w:tblInd w:w="0" w:type="dxa"/>
        <w:tblLayout w:type="fixed"/>
        <w:tblCellMar>
          <w:top w:w="28" w:type="dxa"/>
          <w:left w:w="28" w:type="dxa"/>
          <w:bottom w:w="28" w:type="dxa"/>
          <w:right w:w="28" w:type="dxa"/>
        </w:tblCellMar>
      </w:tblPr>
      <w:tblGrid>
        <w:gridCol w:w="1554"/>
        <w:gridCol w:w="1207"/>
        <w:gridCol w:w="1214"/>
        <w:gridCol w:w="109"/>
        <w:gridCol w:w="109"/>
        <w:gridCol w:w="109"/>
        <w:gridCol w:w="196"/>
        <w:gridCol w:w="556"/>
        <w:gridCol w:w="109"/>
        <w:gridCol w:w="109"/>
        <w:gridCol w:w="109"/>
        <w:gridCol w:w="109"/>
        <w:gridCol w:w="196"/>
        <w:gridCol w:w="421"/>
        <w:gridCol w:w="109"/>
        <w:gridCol w:w="109"/>
        <w:gridCol w:w="109"/>
        <w:gridCol w:w="109"/>
        <w:gridCol w:w="196"/>
        <w:gridCol w:w="556"/>
        <w:gridCol w:w="109"/>
        <w:gridCol w:w="109"/>
        <w:gridCol w:w="109"/>
        <w:gridCol w:w="109"/>
        <w:gridCol w:w="334"/>
        <w:gridCol w:w="718"/>
        <w:gridCol w:w="186"/>
        <w:gridCol w:w="109"/>
        <w:gridCol w:w="109"/>
        <w:gridCol w:w="109"/>
        <w:gridCol w:w="196"/>
        <w:gridCol w:w="556"/>
        <w:gridCol w:w="157"/>
      </w:tblGrid>
      <w:tr>
        <w:trPr/>
        <w:tc>
          <w:tcPr>
            <w:tcW w:w="155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Run-off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Revenues excluded from adjusted earnings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Segment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Policyholder benefits and claims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Interest credited to policyholder account balances, excluding market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Amortization of DAC and 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expenses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Provision for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gains (losses) on trading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derivative gains (losses), excluding investment hedge adjustments of $0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 in market risk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Market value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Brighthouse Life Insurance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199515"/>
                <wp:effectExtent l="0" t="0" r="0" b="0"/>
                <wp:wrapNone/>
                <wp:docPr id="91" name="Frame90"/>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2. Segment Information (continued)</w:t>
      </w:r>
    </w:p>
    <w:tbl>
      <w:tblPr>
        <w:tblW w:w="10205" w:type="dxa"/>
        <w:jc w:val="left"/>
        <w:tblInd w:w="0" w:type="dxa"/>
        <w:tblLayout w:type="fixed"/>
        <w:tblCellMar>
          <w:top w:w="28" w:type="dxa"/>
          <w:left w:w="28" w:type="dxa"/>
          <w:bottom w:w="28" w:type="dxa"/>
          <w:right w:w="28" w:type="dxa"/>
        </w:tblCellMar>
      </w:tblPr>
      <w:tblGrid>
        <w:gridCol w:w="1434"/>
        <w:gridCol w:w="1075"/>
        <w:gridCol w:w="1081"/>
        <w:gridCol w:w="109"/>
        <w:gridCol w:w="109"/>
        <w:gridCol w:w="109"/>
        <w:gridCol w:w="196"/>
        <w:gridCol w:w="556"/>
        <w:gridCol w:w="109"/>
        <w:gridCol w:w="109"/>
        <w:gridCol w:w="109"/>
        <w:gridCol w:w="109"/>
        <w:gridCol w:w="196"/>
        <w:gridCol w:w="421"/>
        <w:gridCol w:w="109"/>
        <w:gridCol w:w="109"/>
        <w:gridCol w:w="109"/>
        <w:gridCol w:w="109"/>
        <w:gridCol w:w="196"/>
        <w:gridCol w:w="556"/>
        <w:gridCol w:w="109"/>
        <w:gridCol w:w="109"/>
        <w:gridCol w:w="109"/>
        <w:gridCol w:w="109"/>
        <w:gridCol w:w="321"/>
        <w:gridCol w:w="689"/>
        <w:gridCol w:w="178"/>
        <w:gridCol w:w="109"/>
        <w:gridCol w:w="109"/>
        <w:gridCol w:w="109"/>
        <w:gridCol w:w="196"/>
        <w:gridCol w:w="556"/>
        <w:gridCol w:w="109"/>
        <w:gridCol w:w="109"/>
        <w:gridCol w:w="109"/>
        <w:gridCol w:w="109"/>
        <w:gridCol w:w="156"/>
      </w:tblGrid>
      <w:tr>
        <w:trPr/>
        <w:tc>
          <w:tcPr>
            <w:tcW w:w="1434"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Run-off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483" w:type="dxa"/>
            <w:gridSpan w:val="4"/>
            <w:tcBorders/>
          </w:tcPr>
          <w:p>
            <w:pPr>
              <w:pStyle w:val="TableContents"/>
              <w:bidi w:val="0"/>
              <w:spacing w:before="0" w:after="283"/>
              <w:jc w:val="left"/>
              <w:rPr>
                <w:sz w:val="4"/>
                <w:szCs w:val="4"/>
              </w:rPr>
            </w:pPr>
            <w:r>
              <w:rPr>
                <w:sz w:val="4"/>
                <w:szCs w:val="4"/>
              </w:rPr>
            </w:r>
          </w:p>
        </w:tc>
      </w:tr>
      <w:tr>
        <w:trPr/>
        <w:tc>
          <w:tcPr>
            <w:tcW w:w="3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Revenues excluded from adjusted earnings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Segment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Policyholder benefits and claims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Interest credited to policyholder account balances, excluding market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Amortization of DAC and 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expenses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Provision for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gains (losses) on trading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derivative gains (losses), excluding investment hedge adjustments of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 in market risk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 value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Brighthouse Life Insurance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199515"/>
                <wp:effectExtent l="0" t="0" r="0" b="0"/>
                <wp:wrapNone/>
                <wp:docPr id="92" name="Frame91"/>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2. Segment Information (continued)</w:t>
      </w:r>
    </w:p>
    <w:tbl>
      <w:tblPr>
        <w:tblW w:w="10205" w:type="dxa"/>
        <w:jc w:val="left"/>
        <w:tblInd w:w="0" w:type="dxa"/>
        <w:tblLayout w:type="fixed"/>
        <w:tblCellMar>
          <w:top w:w="28" w:type="dxa"/>
          <w:left w:w="28" w:type="dxa"/>
          <w:bottom w:w="28" w:type="dxa"/>
          <w:right w:w="28" w:type="dxa"/>
        </w:tblCellMar>
      </w:tblPr>
      <w:tblGrid>
        <w:gridCol w:w="1422"/>
        <w:gridCol w:w="1062"/>
        <w:gridCol w:w="1067"/>
        <w:gridCol w:w="109"/>
        <w:gridCol w:w="109"/>
        <w:gridCol w:w="109"/>
        <w:gridCol w:w="196"/>
        <w:gridCol w:w="556"/>
        <w:gridCol w:w="109"/>
        <w:gridCol w:w="109"/>
        <w:gridCol w:w="109"/>
        <w:gridCol w:w="109"/>
        <w:gridCol w:w="196"/>
        <w:gridCol w:w="421"/>
        <w:gridCol w:w="109"/>
        <w:gridCol w:w="109"/>
        <w:gridCol w:w="109"/>
        <w:gridCol w:w="109"/>
        <w:gridCol w:w="196"/>
        <w:gridCol w:w="556"/>
        <w:gridCol w:w="109"/>
        <w:gridCol w:w="109"/>
        <w:gridCol w:w="109"/>
        <w:gridCol w:w="109"/>
        <w:gridCol w:w="319"/>
        <w:gridCol w:w="686"/>
        <w:gridCol w:w="178"/>
        <w:gridCol w:w="109"/>
        <w:gridCol w:w="109"/>
        <w:gridCol w:w="109"/>
        <w:gridCol w:w="196"/>
        <w:gridCol w:w="599"/>
        <w:gridCol w:w="109"/>
        <w:gridCol w:w="109"/>
        <w:gridCol w:w="109"/>
        <w:gridCol w:w="109"/>
        <w:gridCol w:w="157"/>
      </w:tblGrid>
      <w:tr>
        <w:trPr/>
        <w:tc>
          <w:tcPr>
            <w:tcW w:w="142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Run-off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484" w:type="dxa"/>
            <w:gridSpan w:val="4"/>
            <w:tcBorders/>
          </w:tcPr>
          <w:p>
            <w:pPr>
              <w:pStyle w:val="TableContents"/>
              <w:bidi w:val="0"/>
              <w:spacing w:before="0" w:after="283"/>
              <w:jc w:val="left"/>
              <w:rPr>
                <w:sz w:val="4"/>
                <w:szCs w:val="4"/>
              </w:rPr>
            </w:pPr>
            <w:r>
              <w:rPr>
                <w:sz w:val="4"/>
                <w:szCs w:val="4"/>
              </w:rPr>
            </w:r>
          </w:p>
        </w:tc>
      </w:tr>
      <w:tr>
        <w:trPr/>
        <w:tc>
          <w:tcPr>
            <w:tcW w:w="3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Revenues excluded from adjusted earnings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Segment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Policyholder benefits and claims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Interest credited to policyholder account balances, excluding market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Amortization of DAC and 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expenses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Provision for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gains (losses) on trading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derivative gains (losses), excluding investment hedge adjustments of $105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 in market risk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Market value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Brighthouse Life Insurance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(1)For each reportable segment, certain revenues are excluded from adjusted earnings (loss), including net investment gains (losses), investment gains (losses) on trading securities and net derivative gains (losses), excluding Investment Hedge Adjustments.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(2)Other expenses include corporate expense allocations directly attributable to each of the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199515"/>
                <wp:effectExtent l="0" t="0" r="0" b="0"/>
                <wp:wrapNone/>
                <wp:docPr id="93" name="Frame92"/>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2. Segment Information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assets by segment were as follows at:</w:t>
      </w:r>
    </w:p>
    <w:tbl>
      <w:tblPr>
        <w:tblW w:w="4236" w:type="dxa"/>
        <w:jc w:val="center"/>
        <w:tblInd w:w="0" w:type="dxa"/>
        <w:tblLayout w:type="fixed"/>
        <w:tblCellMar>
          <w:top w:w="28" w:type="dxa"/>
          <w:left w:w="28" w:type="dxa"/>
          <w:bottom w:w="28" w:type="dxa"/>
          <w:right w:w="28" w:type="dxa"/>
        </w:tblCellMar>
      </w:tblPr>
      <w:tblGrid>
        <w:gridCol w:w="527"/>
        <w:gridCol w:w="461"/>
        <w:gridCol w:w="467"/>
        <w:gridCol w:w="109"/>
        <w:gridCol w:w="109"/>
        <w:gridCol w:w="109"/>
        <w:gridCol w:w="196"/>
        <w:gridCol w:w="736"/>
        <w:gridCol w:w="109"/>
        <w:gridCol w:w="109"/>
        <w:gridCol w:w="109"/>
        <w:gridCol w:w="109"/>
        <w:gridCol w:w="196"/>
        <w:gridCol w:w="736"/>
        <w:gridCol w:w="154"/>
      </w:tblGrid>
      <w:tr>
        <w:trPr/>
        <w:tc>
          <w:tcPr>
            <w:tcW w:w="52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Annuities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160,887 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Run-off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Corporate &amp;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21,989 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231,986 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228,591 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premiums, universal life and investment-type product policy fees and other revenues by major product group were as follows:</w:t>
      </w:r>
    </w:p>
    <w:tbl>
      <w:tblPr>
        <w:tblW w:w="5067" w:type="dxa"/>
        <w:jc w:val="left"/>
        <w:tblInd w:w="0" w:type="dxa"/>
        <w:tblLayout w:type="fixed"/>
        <w:tblCellMar>
          <w:top w:w="28" w:type="dxa"/>
          <w:left w:w="28" w:type="dxa"/>
          <w:bottom w:w="28" w:type="dxa"/>
          <w:right w:w="28" w:type="dxa"/>
        </w:tblCellMar>
      </w:tblPr>
      <w:tblGrid>
        <w:gridCol w:w="645"/>
        <w:gridCol w:w="567"/>
        <w:gridCol w:w="573"/>
        <w:gridCol w:w="196"/>
        <w:gridCol w:w="556"/>
        <w:gridCol w:w="109"/>
        <w:gridCol w:w="109"/>
        <w:gridCol w:w="109"/>
        <w:gridCol w:w="109"/>
        <w:gridCol w:w="196"/>
        <w:gridCol w:w="556"/>
        <w:gridCol w:w="109"/>
        <w:gridCol w:w="109"/>
        <w:gridCol w:w="109"/>
        <w:gridCol w:w="109"/>
        <w:gridCol w:w="196"/>
        <w:gridCol w:w="556"/>
        <w:gridCol w:w="154"/>
      </w:tblGrid>
      <w:tr>
        <w:trPr/>
        <w:tc>
          <w:tcPr>
            <w:tcW w:w="64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Annuity products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Life insurance products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products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Substantially all of the Company’s premiums, universal life and investment-type product policy fees and other revenues originated in the U.S.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Revenues derived from any individual customer did not exceed 10% of premiums, universal life and investment-type product policy fees and other revenues for the years ended December 31, 2025,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199515"/>
                <wp:effectExtent l="0" t="0" r="0" b="0"/>
                <wp:wrapNone/>
                <wp:docPr id="94" name="Frame93"/>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3. Insurance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Liability for Future Policy Benefits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regarding LFPBs for non-participating traditional and limited-payment contracts was as follows:</w:t>
      </w:r>
    </w:p>
    <w:tbl>
      <w:tblPr>
        <w:tblW w:w="12091" w:type="dxa"/>
        <w:jc w:val="center"/>
        <w:tblInd w:w="0" w:type="dxa"/>
        <w:tblLayout w:type="fixed"/>
        <w:tblCellMar>
          <w:top w:w="28" w:type="dxa"/>
          <w:left w:w="28" w:type="dxa"/>
          <w:bottom w:w="28" w:type="dxa"/>
          <w:right w:w="28" w:type="dxa"/>
        </w:tblCellMar>
      </w:tblPr>
      <w:tblGrid>
        <w:gridCol w:w="705"/>
        <w:gridCol w:w="225"/>
        <w:gridCol w:w="226"/>
        <w:gridCol w:w="109"/>
        <w:gridCol w:w="109"/>
        <w:gridCol w:w="109"/>
        <w:gridCol w:w="181"/>
        <w:gridCol w:w="466"/>
        <w:gridCol w:w="211"/>
        <w:gridCol w:w="109"/>
        <w:gridCol w:w="109"/>
        <w:gridCol w:w="109"/>
        <w:gridCol w:w="181"/>
        <w:gridCol w:w="466"/>
        <w:gridCol w:w="211"/>
        <w:gridCol w:w="109"/>
        <w:gridCol w:w="109"/>
        <w:gridCol w:w="109"/>
        <w:gridCol w:w="181"/>
        <w:gridCol w:w="541"/>
        <w:gridCol w:w="211"/>
        <w:gridCol w:w="109"/>
        <w:gridCol w:w="109"/>
        <w:gridCol w:w="109"/>
        <w:gridCol w:w="181"/>
        <w:gridCol w:w="466"/>
        <w:gridCol w:w="211"/>
        <w:gridCol w:w="109"/>
        <w:gridCol w:w="109"/>
        <w:gridCol w:w="109"/>
        <w:gridCol w:w="181"/>
        <w:gridCol w:w="466"/>
        <w:gridCol w:w="211"/>
        <w:gridCol w:w="109"/>
        <w:gridCol w:w="109"/>
        <w:gridCol w:w="109"/>
        <w:gridCol w:w="181"/>
        <w:gridCol w:w="541"/>
        <w:gridCol w:w="211"/>
        <w:gridCol w:w="109"/>
        <w:gridCol w:w="109"/>
        <w:gridCol w:w="109"/>
        <w:gridCol w:w="181"/>
        <w:gridCol w:w="466"/>
        <w:gridCol w:w="211"/>
        <w:gridCol w:w="109"/>
        <w:gridCol w:w="109"/>
        <w:gridCol w:w="109"/>
        <w:gridCol w:w="181"/>
        <w:gridCol w:w="466"/>
        <w:gridCol w:w="211"/>
        <w:gridCol w:w="109"/>
        <w:gridCol w:w="109"/>
        <w:gridCol w:w="109"/>
        <w:gridCol w:w="181"/>
        <w:gridCol w:w="541"/>
        <w:gridCol w:w="256"/>
      </w:tblGrid>
      <w:tr>
        <w:trPr/>
        <w:tc>
          <w:tcPr>
            <w:tcW w:w="70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8"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Years Ended December 31,</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2023</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Term and Whole Life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Income 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Structured Settlement and Pension Risk Transfer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Term and Whole Life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Income 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Structured Settlement and Pension Risk Transfer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Term and Whole Life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Income 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Structured Settlement and Pension Risk Transfer Annuities</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8"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(Dollars in millions)</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Present value of expected net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2,758 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2,899 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2,804 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Beginning balance at original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3,110 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3,162 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3,146 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Effect of model refinements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Effect of changes in cash flow assumptions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Effect of actual variances from expected experience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Adjusted beginning of year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2,952 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3,320 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3,335 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Interest accrual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premiums collected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Ending balance at original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2,705 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3,110 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3,162 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Effect of changes in discount rate assumptions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2,462 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2,758 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2,899 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Present value of expected future policy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5,245 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3,728 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6,118 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5,385 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3,719 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6,697 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5,172 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3,469 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Beginning balance at original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5,908 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4,121 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6,876 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5,905 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3,993 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7,085 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5,816 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3,848 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Effect of model refinements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Effect of changes in cash flow assumptions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Effect of actual variances from expected experience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Adjusted beginning of year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5,709 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4,102 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6,873 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6,145 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3,970 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7,157 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6,097 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3,827 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7,363 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Interest accrual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Benefit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Ending balance at original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5,446 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4,231 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6,635 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5,908 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4,121 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6,876 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5,905 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3,993 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7,085 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Effect of changes in discount rate assumptions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end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4,984 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3,947 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6,009 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5,245 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3,728 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6,118 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5,385 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3,719 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6,697 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liability for future policy benefits, 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2,522 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3,947 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6,009 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2,487 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3,728 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6,118 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2,486 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3,719 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6,697 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Less: Reinsurance recoverable, end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65 </w:t>
            </w:r>
          </w:p>
        </w:tc>
        <w:tc>
          <w:tcPr>
            <w:tcW w:w="2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liability for future policy benefits, after reinsurance recoverable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2,507 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3,915 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5,953 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2,468 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3,697 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6,059 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2,462 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3,689 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6,632 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Weighted-average duration of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4"/>
              </w:rPr>
            </w:pPr>
            <w:r>
              <w:rPr>
                <w:rFonts w:ascii="Times New Roman;serif" w:hAnsi="Times New Roman;serif"/>
                <w:b w:val="false"/>
                <w:color w:val="000000"/>
                <w:sz w:val="14"/>
              </w:rPr>
              <w:t>11.6 years</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Weighted-average interest accretion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3.90 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4.14 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4.47 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3.92 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4.04 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4.46 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3.91 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3.99 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Current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5.01 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5.14 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5.47 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5.42 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5.48 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5.64 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4.94 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4.95 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Gross premiums or assessments recognized during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Expected future gross premiums, undiscounted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4,959 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5,714 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5,999 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Expected future gross premiums, discounted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3,738 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4,244 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4,535 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Expected future benefit payments, undiscounted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7,284 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5,896 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12,820 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8,031 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5,759 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13,336 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8,148 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5,616 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13,767 </w:t>
            </w:r>
          </w:p>
        </w:tc>
        <w:tc>
          <w:tcPr>
            <w:tcW w:w="2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Expected future benefit payments, discounted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5,446 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4,231 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6,635 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5,908 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4,121 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6,876 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5,905 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3,993 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7,085 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199515"/>
                <wp:effectExtent l="0" t="0" r="0" b="0"/>
                <wp:wrapNone/>
                <wp:docPr id="95" name="Frame94"/>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3. Insurance Liabilities (continued)</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measurement of LFPBs can be significantly impacted by changes in assumptions for policyholder behavior. As part of the 2025 and 2024 annual actuarial reviews (“AAR”), the Company updated assumptions regarding mortality and lapses for term participating and non-participating whole life insurance. The impact from changes in assumptions is presented in effect of changes in cash flow assumptions in the table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regarding the additional insurance liabilities for universal life-type contracts with secondary guarantees was as follows:</w:t>
      </w:r>
    </w:p>
    <w:tbl>
      <w:tblPr>
        <w:tblW w:w="8820" w:type="dxa"/>
        <w:jc w:val="center"/>
        <w:tblInd w:w="0" w:type="dxa"/>
        <w:tblLayout w:type="fixed"/>
        <w:tblCellMar>
          <w:top w:w="28" w:type="dxa"/>
          <w:left w:w="28" w:type="dxa"/>
          <w:bottom w:w="28" w:type="dxa"/>
          <w:right w:w="28" w:type="dxa"/>
        </w:tblCellMar>
      </w:tblPr>
      <w:tblGrid>
        <w:gridCol w:w="1726"/>
        <w:gridCol w:w="1515"/>
        <w:gridCol w:w="1529"/>
        <w:gridCol w:w="109"/>
        <w:gridCol w:w="109"/>
        <w:gridCol w:w="109"/>
        <w:gridCol w:w="196"/>
        <w:gridCol w:w="556"/>
        <w:gridCol w:w="256"/>
        <w:gridCol w:w="109"/>
        <w:gridCol w:w="109"/>
        <w:gridCol w:w="109"/>
        <w:gridCol w:w="196"/>
        <w:gridCol w:w="556"/>
        <w:gridCol w:w="256"/>
        <w:gridCol w:w="109"/>
        <w:gridCol w:w="109"/>
        <w:gridCol w:w="109"/>
        <w:gridCol w:w="196"/>
        <w:gridCol w:w="556"/>
        <w:gridCol w:w="301"/>
      </w:tblGrid>
      <w:tr>
        <w:trPr/>
        <w:tc>
          <w:tcPr>
            <w:tcW w:w="1726"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3"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 before the effect of unrealized gains and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changes in cash flow assumptions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actual variances from expected experience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beginning of year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7,372 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accrual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assessments collected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 before the effect of unrealized gains and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7,784 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unrealized gains and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7,607 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Reinsurance recoverable, end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additional liability, after reinsurance recoverable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6,169 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duration of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6.7 years</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interest accretion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assessments recognized during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measurement of liabilities for secondary guarantees can be significantly impacted by changes in assumptions for policyholder behavior, as well as the expected general account rate of return, which is driven by the Company’s assumption for long-term treasury yields. The Company’s practice of projecting treasury yields uses a mean reversion approach that assumes that long-term interest rates are less influenced by short-term fluctuations and are only changed when sustained interim deviations are expected. As part of the 2025 and 2024 AARs, the Company updated assumptions regarding policyholder behavior, including mortality, premium persistency, lapses and withdrawals. In 2025, the Company also increased the long-term general account earned rate, driven by an increase in the mean reversion rate, from 4.00% to 4.50%. The impact from changes in assumptions, excluding the effects on the ULSG liability for profits followed by losses, is presented in effect of changes in cash flow assumptions in the table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199515"/>
                <wp:effectExtent l="0" t="0" r="0" b="0"/>
                <wp:wrapNone/>
                <wp:docPr id="96" name="Frame95"/>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3. Insurance Liabilities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reconciliation of the net LFPBs for non-participating traditional and limited-payment contracts and the additional insurance liabilities for universal life-type contracts with secondary guarantees reported in the preceding rollforward tables to LFPBs on the consolidated balance sheets was as follows at:</w:t>
      </w:r>
    </w:p>
    <w:tbl>
      <w:tblPr>
        <w:tblW w:w="7813" w:type="dxa"/>
        <w:jc w:val="center"/>
        <w:tblInd w:w="0" w:type="dxa"/>
        <w:tblLayout w:type="fixed"/>
        <w:tblCellMar>
          <w:top w:w="28" w:type="dxa"/>
          <w:left w:w="28" w:type="dxa"/>
          <w:bottom w:w="28" w:type="dxa"/>
          <w:right w:w="28" w:type="dxa"/>
        </w:tblCellMar>
      </w:tblPr>
      <w:tblGrid>
        <w:gridCol w:w="1808"/>
        <w:gridCol w:w="1588"/>
        <w:gridCol w:w="1598"/>
        <w:gridCol w:w="109"/>
        <w:gridCol w:w="109"/>
        <w:gridCol w:w="109"/>
        <w:gridCol w:w="196"/>
        <w:gridCol w:w="646"/>
        <w:gridCol w:w="109"/>
        <w:gridCol w:w="109"/>
        <w:gridCol w:w="109"/>
        <w:gridCol w:w="109"/>
        <w:gridCol w:w="196"/>
        <w:gridCol w:w="646"/>
        <w:gridCol w:w="109"/>
        <w:gridCol w:w="109"/>
        <w:gridCol w:w="154"/>
      </w:tblGrid>
      <w:tr>
        <w:trPr/>
        <w:tc>
          <w:tcPr>
            <w:tcW w:w="1808"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reported in the preceding rollforward tables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care insurance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ULSG liabilities, including liability for profits followed by losses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Participating whole life insurance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profit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liability for future policy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liabilities related to fully reinsured individual long-term care insurance. See Notes 2 and 7.</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effect of changes in assumptions for ULSG liabilities, including the liability for profits followed by losses was ($1.2) billion for the year ended December 31, 2025.</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(3)Participating whole life insurance uses an interest assumption based on the non-forfeiture interest rate, ranging from 3.5% to 4.0%, and mortality rates guaranteed in calculating the cash surrender values described in such contracts, and also includes a liability for terminal dividends. Participating whole life insurance represented 3% of the Company’s life insurance in-force at both December 31, 2025 and 2024, and 38% and 39% of gross traditional life insurance premiums for the years ended December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199515"/>
                <wp:effectExtent l="0" t="0" r="0" b="0"/>
                <wp:wrapNone/>
                <wp:docPr id="97" name="Frame96"/>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3. Insurance Liabilities (continued)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Policyholder Account Balances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regarding policyholder account balances was as follows:</w:t>
      </w:r>
    </w:p>
    <w:tbl>
      <w:tblPr>
        <w:tblW w:w="10205" w:type="dxa"/>
        <w:jc w:val="center"/>
        <w:tblInd w:w="0" w:type="dxa"/>
        <w:tblLayout w:type="fixed"/>
        <w:tblCellMar>
          <w:top w:w="28" w:type="dxa"/>
          <w:left w:w="28" w:type="dxa"/>
          <w:bottom w:w="28" w:type="dxa"/>
          <w:right w:w="28" w:type="dxa"/>
        </w:tblCellMar>
      </w:tblPr>
      <w:tblGrid>
        <w:gridCol w:w="722"/>
        <w:gridCol w:w="427"/>
        <w:gridCol w:w="429"/>
        <w:gridCol w:w="109"/>
        <w:gridCol w:w="109"/>
        <w:gridCol w:w="109"/>
        <w:gridCol w:w="210"/>
        <w:gridCol w:w="598"/>
        <w:gridCol w:w="259"/>
        <w:gridCol w:w="109"/>
        <w:gridCol w:w="109"/>
        <w:gridCol w:w="109"/>
        <w:gridCol w:w="206"/>
        <w:gridCol w:w="586"/>
        <w:gridCol w:w="254"/>
        <w:gridCol w:w="109"/>
        <w:gridCol w:w="109"/>
        <w:gridCol w:w="109"/>
        <w:gridCol w:w="204"/>
        <w:gridCol w:w="675"/>
        <w:gridCol w:w="251"/>
        <w:gridCol w:w="109"/>
        <w:gridCol w:w="109"/>
        <w:gridCol w:w="109"/>
        <w:gridCol w:w="201"/>
        <w:gridCol w:w="664"/>
        <w:gridCol w:w="248"/>
        <w:gridCol w:w="109"/>
        <w:gridCol w:w="109"/>
        <w:gridCol w:w="109"/>
        <w:gridCol w:w="196"/>
        <w:gridCol w:w="556"/>
        <w:gridCol w:w="241"/>
        <w:gridCol w:w="109"/>
        <w:gridCol w:w="109"/>
        <w:gridCol w:w="109"/>
        <w:gridCol w:w="246"/>
        <w:gridCol w:w="700"/>
        <w:gridCol w:w="370"/>
      </w:tblGrid>
      <w:tr>
        <w:trPr/>
        <w:tc>
          <w:tcPr>
            <w:tcW w:w="72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Universal Life 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Variable Annuities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Index-linked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Fixed Rate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ULSG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Company-Owned Life Insurance (1)</w:t>
            </w:r>
          </w:p>
        </w:tc>
      </w:tr>
      <w:tr>
        <w:trPr/>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Year Ended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2,028 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3,667 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48,605 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14,665 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1,166 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Premiums and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1,225 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Surrenders and withdrawals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(7,861)</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(2,835)</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Benefit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3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transfers from (to) separate account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credited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Policy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related to embedded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end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2,077 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3,264 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52,594 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13,252 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646 </w:t>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crediting rate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4.35 </w:t>
            </w:r>
          </w:p>
        </w:tc>
        <w:tc>
          <w:tcPr>
            <w:tcW w:w="25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2.88 </w:t>
            </w:r>
          </w:p>
        </w:tc>
        <w:tc>
          <w:tcPr>
            <w:tcW w:w="2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1.93 </w:t>
            </w:r>
          </w:p>
        </w:tc>
        <w:tc>
          <w:tcPr>
            <w:tcW w:w="2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3.97 </w:t>
            </w:r>
          </w:p>
        </w:tc>
        <w:tc>
          <w:tcPr>
            <w:tcW w:w="24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2.78 </w:t>
            </w:r>
          </w:p>
        </w:tc>
        <w:tc>
          <w:tcPr>
            <w:tcW w:w="37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Year Ended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4,111 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41,627 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14,672 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Premiums and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1,127 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Surrenders and withdrawals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(5,532)</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(1,356)</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Benefit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37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transfers from (to) separate account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credited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Policy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related to embedded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2,028 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3,667 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48,605 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14,665 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1,166 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crediting rate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4.10 </w:t>
            </w:r>
          </w:p>
        </w:tc>
        <w:tc>
          <w:tcPr>
            <w:tcW w:w="2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2.81 </w:t>
            </w:r>
          </w:p>
        </w:tc>
        <w:tc>
          <w:tcPr>
            <w:tcW w:w="25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2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3.84 </w:t>
            </w:r>
          </w:p>
        </w:tc>
        <w:tc>
          <w:tcPr>
            <w:tcW w:w="24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3.63 </w:t>
            </w:r>
          </w:p>
        </w:tc>
        <w:tc>
          <w:tcPr>
            <w:tcW w:w="3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 Ended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2,100 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4,664 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33,897 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14,274 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Premiums and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2,694 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Surrenders and withdrawals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(3,732)</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(2,405)</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Benefit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3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transfers from (to) separate account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credited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Policy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related to embedded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end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1,980 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4,111 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41,627 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14,672 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653 </w:t>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Weighted-average crediting rate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2.03 </w:t>
            </w:r>
          </w:p>
        </w:tc>
        <w:tc>
          <w:tcPr>
            <w:tcW w:w="25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2.91 </w:t>
            </w:r>
          </w:p>
        </w:tc>
        <w:tc>
          <w:tcPr>
            <w:tcW w:w="2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2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3.31 </w:t>
            </w:r>
          </w:p>
        </w:tc>
        <w:tc>
          <w:tcPr>
            <w:tcW w:w="24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4.33 </w:t>
            </w:r>
          </w:p>
        </w:tc>
        <w:tc>
          <w:tcPr>
            <w:tcW w:w="37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liabilities related to separate account products where the contract holder elected a general account investment option.</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(2)Excludes the effects of embedded derivatives related to index-linked crediting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199515"/>
                <wp:effectExtent l="0" t="0" r="0" b="0"/>
                <wp:wrapNone/>
                <wp:docPr id="98" name="Frame97"/>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3. Insurance Liabilities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reconciliation of policyholder account balances reported in the preceding rollforward table to the liability for policyholder account balances on the consolidated balance sheets was as follows at:</w:t>
      </w:r>
    </w:p>
    <w:tbl>
      <w:tblPr>
        <w:tblW w:w="7881" w:type="dxa"/>
        <w:jc w:val="center"/>
        <w:tblInd w:w="0" w:type="dxa"/>
        <w:tblLayout w:type="fixed"/>
        <w:tblCellMar>
          <w:top w:w="28" w:type="dxa"/>
          <w:left w:w="28" w:type="dxa"/>
          <w:bottom w:w="28" w:type="dxa"/>
          <w:right w:w="28" w:type="dxa"/>
        </w:tblCellMar>
      </w:tblPr>
      <w:tblGrid>
        <w:gridCol w:w="1913"/>
        <w:gridCol w:w="1681"/>
        <w:gridCol w:w="1686"/>
        <w:gridCol w:w="109"/>
        <w:gridCol w:w="109"/>
        <w:gridCol w:w="109"/>
        <w:gridCol w:w="196"/>
        <w:gridCol w:w="646"/>
        <w:gridCol w:w="109"/>
        <w:gridCol w:w="109"/>
        <w:gridCol w:w="109"/>
        <w:gridCol w:w="109"/>
        <w:gridCol w:w="196"/>
        <w:gridCol w:w="646"/>
        <w:gridCol w:w="154"/>
      </w:tblGrid>
      <w:tr>
        <w:trPr/>
        <w:tc>
          <w:tcPr>
            <w:tcW w:w="1913"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Policyholder account balances reported in the preceding rollforward table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Funding agreements classified as investment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Institutional group annuities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investment 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policyholder account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199515"/>
                <wp:effectExtent l="0" t="0" r="0" b="0"/>
                <wp:wrapNone/>
                <wp:docPr id="99" name="Frame98"/>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3. Insurance Liabilities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balance of account values by range of guaranteed minimum crediting rates and the related range of difference, in basis points, between rates being credited to policyholders and the respective guaranteed minimums was as follows at:</w:t>
      </w:r>
    </w:p>
    <w:tbl>
      <w:tblPr>
        <w:tblW w:w="10205" w:type="dxa"/>
        <w:jc w:val="center"/>
        <w:tblInd w:w="0" w:type="dxa"/>
        <w:tblLayout w:type="fixed"/>
        <w:tblCellMar>
          <w:top w:w="28" w:type="dxa"/>
          <w:left w:w="28" w:type="dxa"/>
          <w:bottom w:w="28" w:type="dxa"/>
          <w:right w:w="28" w:type="dxa"/>
        </w:tblCellMar>
      </w:tblPr>
      <w:tblGrid>
        <w:gridCol w:w="711"/>
        <w:gridCol w:w="624"/>
        <w:gridCol w:w="628"/>
        <w:gridCol w:w="109"/>
        <w:gridCol w:w="109"/>
        <w:gridCol w:w="109"/>
        <w:gridCol w:w="304"/>
        <w:gridCol w:w="865"/>
        <w:gridCol w:w="169"/>
        <w:gridCol w:w="109"/>
        <w:gridCol w:w="109"/>
        <w:gridCol w:w="109"/>
        <w:gridCol w:w="296"/>
        <w:gridCol w:w="841"/>
        <w:gridCol w:w="164"/>
        <w:gridCol w:w="109"/>
        <w:gridCol w:w="109"/>
        <w:gridCol w:w="109"/>
        <w:gridCol w:w="312"/>
        <w:gridCol w:w="885"/>
        <w:gridCol w:w="173"/>
        <w:gridCol w:w="109"/>
        <w:gridCol w:w="109"/>
        <w:gridCol w:w="109"/>
        <w:gridCol w:w="362"/>
        <w:gridCol w:w="1029"/>
        <w:gridCol w:w="201"/>
        <w:gridCol w:w="109"/>
        <w:gridCol w:w="109"/>
        <w:gridCol w:w="109"/>
        <w:gridCol w:w="196"/>
        <w:gridCol w:w="646"/>
        <w:gridCol w:w="164"/>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Range of Guaranteed Minimum Crediting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At Guaranteed Minimum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1 to 50 Basis Points Above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51 to 150 Basis Points Above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Greater than 150 Basis Points Above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5"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Annuities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than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2.00% to 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Greater than 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7,279 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8,460 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17,069 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Life insurance (2)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than 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2.00% to 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Greater than 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ULSG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than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2.00% to 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Greater than 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1,279 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1,496 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4,446 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Annuities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than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2.00% to 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Greater than 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7,930 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9,083 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18,210 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Life insurance (2)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than 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2.00% to 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Greater than 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ULSG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than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2.00% to 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Greater than 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1,386 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1,602 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4,762 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policyholder account balances for fixed rate annuities and the fixed account portion of variable annuities.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(2)Includes policyholder account balances for retained asset accounts, universal life policies and the fixed account portion of universal variable life insurance policies.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(3)Amounts are gross of policy loans.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5 for information regarding net amount at risk and cash surrender values.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199515"/>
                <wp:effectExtent l="0" t="0" r="0" b="0"/>
                <wp:wrapNone/>
                <wp:docPr id="100" name="Frame99"/>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3. Insurance Liabilities (continued)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Obligations Under Funding Agreements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Institutional Spread Margin Business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Brighthouse Life Insurance Company has issued unsecured fixed and floating rate funding agreements to certain special purpose entities that have issued either debt securities or commercial paper for which payment of interest and principal is secured by such funding agreements. The Company had obligations outstanding under these funding agreements of $4.3 billion and $5.5 billion at December 31, 2025 and 2024, respectively.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Brighthouse Life Insurance Company established a secured funding agreement-backed repurchase agreement program in January 2024. Brighthouse Life Insurance Company may enter into repurchase agreements with bank counterparties and the proceeds of the repurchase agreements are then used by a special purpose entity to purchase funding agreements from Brighthouse Life Insurance Company. The Company had obligations under this program of $500 million at both December 31, 2025 and 2024.</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Brighthouse Life Insurance Company has a secured funding agreement program with the Federal Home Loan Bank (“FHLB”) of Atlanta and the Federal Agricultural Mortgage Corporation and its affiliate Farmer Mac Mortgage Securities Corporation (“Farmer Mac”). Funding agreements are issued to FHLB and Farmer Mac in exchange for cash, for which these programs have been granted liens on certain assets, some of which are in their custody to collateralize the Company’s obligations under the funding agreements. Upon any event of default by the Company, the program recovery on the collateral is limited to the amount of the Company’s liabilities to FHLB and Farmer Mac, respectively. The Company had obligations outstanding under these programs of $4.7 billion and $5.0 billion at December 31, 2025 and 2024, respectively.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8 for information on invested assets pledged as collateral in connection with funding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4. Market Risk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regarding MRB assets and liabilities associated with variable annuities was as follows:</w:t>
      </w:r>
    </w:p>
    <w:tbl>
      <w:tblPr>
        <w:tblW w:w="9099" w:type="dxa"/>
        <w:jc w:val="center"/>
        <w:tblInd w:w="0" w:type="dxa"/>
        <w:tblLayout w:type="fixed"/>
        <w:tblCellMar>
          <w:top w:w="28" w:type="dxa"/>
          <w:left w:w="28" w:type="dxa"/>
          <w:bottom w:w="28" w:type="dxa"/>
          <w:right w:w="28" w:type="dxa"/>
        </w:tblCellMar>
      </w:tblPr>
      <w:tblGrid>
        <w:gridCol w:w="1987"/>
        <w:gridCol w:w="1743"/>
        <w:gridCol w:w="1760"/>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1987"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beginning of year, before effect of changes in nonperformance risk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changes in future expected assumptions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actual different from expected experience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changes in interest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Effect of changes in fund returns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changes in equity index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changes in risk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Aging of the block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end of year, before effect of changes in nonperformance risk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Effect of changes in nonperformance risk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Reinsurance recoverable, 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end of year, net of reinsurance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attained age of contract holder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 years</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(1)Amounts represent the sum of MRB assets and MRB liabilities presented on the consolidated balance sheets at December 31, 2025, 2024 and 2023, with the exception of $10 million, $21 million and $9 million, respectively, of index-linked annuity MRBs not included in this table.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199515"/>
                <wp:effectExtent l="0" t="0" r="0" b="0"/>
                <wp:wrapNone/>
                <wp:docPr id="101" name="Frame100"/>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4. Market Risk Benefits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Market conditions, including, but not limited to, changes in interest rates, equity indices, market volatility and variations in actuarial assumptions, including policyholder behavior, mortality and risk margins related to non-capital markets inputs, as well as changes in nonperformance risk, may result in significant fluctuations in the estimated fair value of the guarantees. As part of the 2025 and 2024 AARs, the Company updated assumptions regarding policyholder behavior, mortality and separate account fund allocations. The impact from changes in assumptions is presented in effect of changes in future expected assumptions in the table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5. Separate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Separate Accounts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regarding separate account liabilities was as follows:</w:t>
      </w:r>
    </w:p>
    <w:tbl>
      <w:tblPr>
        <w:tblW w:w="13573" w:type="dxa"/>
        <w:jc w:val="center"/>
        <w:tblInd w:w="0" w:type="dxa"/>
        <w:tblLayout w:type="fixed"/>
        <w:tblCellMar>
          <w:top w:w="28" w:type="dxa"/>
          <w:left w:w="28" w:type="dxa"/>
          <w:bottom w:w="28" w:type="dxa"/>
          <w:right w:w="28" w:type="dxa"/>
        </w:tblCellMar>
      </w:tblPr>
      <w:tblGrid>
        <w:gridCol w:w="555"/>
        <w:gridCol w:w="225"/>
        <w:gridCol w:w="226"/>
        <w:gridCol w:w="109"/>
        <w:gridCol w:w="109"/>
        <w:gridCol w:w="109"/>
        <w:gridCol w:w="196"/>
        <w:gridCol w:w="646"/>
        <w:gridCol w:w="109"/>
        <w:gridCol w:w="109"/>
        <w:gridCol w:w="109"/>
        <w:gridCol w:w="109"/>
        <w:gridCol w:w="196"/>
        <w:gridCol w:w="556"/>
        <w:gridCol w:w="109"/>
        <w:gridCol w:w="109"/>
        <w:gridCol w:w="109"/>
        <w:gridCol w:w="109"/>
        <w:gridCol w:w="314"/>
        <w:gridCol w:w="891"/>
        <w:gridCol w:w="176"/>
        <w:gridCol w:w="109"/>
        <w:gridCol w:w="109"/>
        <w:gridCol w:w="109"/>
        <w:gridCol w:w="196"/>
        <w:gridCol w:w="646"/>
        <w:gridCol w:w="109"/>
        <w:gridCol w:w="109"/>
        <w:gridCol w:w="109"/>
        <w:gridCol w:w="109"/>
        <w:gridCol w:w="196"/>
        <w:gridCol w:w="556"/>
        <w:gridCol w:w="109"/>
        <w:gridCol w:w="109"/>
        <w:gridCol w:w="109"/>
        <w:gridCol w:w="109"/>
        <w:gridCol w:w="314"/>
        <w:gridCol w:w="891"/>
        <w:gridCol w:w="176"/>
        <w:gridCol w:w="109"/>
        <w:gridCol w:w="109"/>
        <w:gridCol w:w="109"/>
        <w:gridCol w:w="196"/>
        <w:gridCol w:w="646"/>
        <w:gridCol w:w="109"/>
        <w:gridCol w:w="109"/>
        <w:gridCol w:w="109"/>
        <w:gridCol w:w="109"/>
        <w:gridCol w:w="196"/>
        <w:gridCol w:w="556"/>
        <w:gridCol w:w="109"/>
        <w:gridCol w:w="109"/>
        <w:gridCol w:w="109"/>
        <w:gridCol w:w="109"/>
        <w:gridCol w:w="308"/>
        <w:gridCol w:w="875"/>
        <w:gridCol w:w="243"/>
      </w:tblGrid>
      <w:tr>
        <w:trPr/>
        <w:tc>
          <w:tcPr>
            <w:tcW w:w="5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0"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Variable 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Universal Life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Company-Owned Life 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Variable 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Universal Life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Company-Owned Life 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Variable 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Universal Life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Company-Owned Life Insurance</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0" w:type="dxa"/>
            <w:gridSpan w:val="5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1,919 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Premiums and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Surrenders and withdrawals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Benefit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performance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Policy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243"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transfers from (to) general account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2,447 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2,148 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reconciliation of separate account liabilities reported in the preceding rollforward table to the separate account liabilities balance on the consolidated balance sheets was as follows at:</w:t>
      </w:r>
    </w:p>
    <w:tbl>
      <w:tblPr>
        <w:tblW w:w="7610" w:type="dxa"/>
        <w:jc w:val="center"/>
        <w:tblInd w:w="0" w:type="dxa"/>
        <w:tblLayout w:type="fixed"/>
        <w:tblCellMar>
          <w:top w:w="28" w:type="dxa"/>
          <w:left w:w="28" w:type="dxa"/>
          <w:bottom w:w="28" w:type="dxa"/>
          <w:right w:w="28" w:type="dxa"/>
        </w:tblCellMar>
      </w:tblPr>
      <w:tblGrid>
        <w:gridCol w:w="1813"/>
        <w:gridCol w:w="1593"/>
        <w:gridCol w:w="1603"/>
        <w:gridCol w:w="109"/>
        <w:gridCol w:w="109"/>
        <w:gridCol w:w="109"/>
        <w:gridCol w:w="196"/>
        <w:gridCol w:w="646"/>
        <w:gridCol w:w="109"/>
        <w:gridCol w:w="109"/>
        <w:gridCol w:w="109"/>
        <w:gridCol w:w="109"/>
        <w:gridCol w:w="196"/>
        <w:gridCol w:w="646"/>
        <w:gridCol w:w="154"/>
      </w:tblGrid>
      <w:tr>
        <w:trPr/>
        <w:tc>
          <w:tcPr>
            <w:tcW w:w="1813"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Separate account liabilities reported in the preceding rollforward table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income annuities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risk transfer annuities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separate account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aggregate estimated fair value of assets, by major investment asset category, supporting separate accounts was as follows at:</w:t>
      </w:r>
    </w:p>
    <w:tbl>
      <w:tblPr>
        <w:tblW w:w="5870" w:type="dxa"/>
        <w:jc w:val="center"/>
        <w:tblInd w:w="0" w:type="dxa"/>
        <w:tblLayout w:type="fixed"/>
        <w:tblCellMar>
          <w:top w:w="28" w:type="dxa"/>
          <w:left w:w="28" w:type="dxa"/>
          <w:bottom w:w="28" w:type="dxa"/>
          <w:right w:w="28" w:type="dxa"/>
        </w:tblCellMar>
      </w:tblPr>
      <w:tblGrid>
        <w:gridCol w:w="1181"/>
        <w:gridCol w:w="1039"/>
        <w:gridCol w:w="1049"/>
        <w:gridCol w:w="109"/>
        <w:gridCol w:w="109"/>
        <w:gridCol w:w="109"/>
        <w:gridCol w:w="196"/>
        <w:gridCol w:w="646"/>
        <w:gridCol w:w="109"/>
        <w:gridCol w:w="109"/>
        <w:gridCol w:w="109"/>
        <w:gridCol w:w="109"/>
        <w:gridCol w:w="196"/>
        <w:gridCol w:w="646"/>
        <w:gridCol w:w="154"/>
      </w:tblGrid>
      <w:tr>
        <w:trPr/>
        <w:tc>
          <w:tcPr>
            <w:tcW w:w="118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Fixed maturity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aggregate estimated fair value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199515"/>
                <wp:effectExtent l="0" t="0" r="0" b="0"/>
                <wp:wrapNone/>
                <wp:docPr id="102" name="Frame101"/>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5. Separate Accounts (continued)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Net Amount at Risk and Cash Surrender Values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regarding the net amount at risk and cash surrender value for insurance products was as follows at:</w:t>
      </w:r>
    </w:p>
    <w:p>
      <w:pPr>
        <w:pStyle w:val="TextBody"/>
        <w:bidi w:val="0"/>
        <w:spacing w:before="120" w:after="283"/>
        <w:ind w:left="0" w:right="0" w:firstLine="360"/>
        <w:jc w:val="both"/>
        <w:rPr/>
      </w:pPr>
      <w:r>
        <w:rPr/>
      </w:r>
    </w:p>
    <w:tbl>
      <w:tblPr>
        <w:tblW w:w="10205" w:type="dxa"/>
        <w:jc w:val="center"/>
        <w:tblInd w:w="0" w:type="dxa"/>
        <w:tblLayout w:type="fixed"/>
        <w:tblCellMar>
          <w:top w:w="28" w:type="dxa"/>
          <w:left w:w="28" w:type="dxa"/>
          <w:bottom w:w="28" w:type="dxa"/>
          <w:right w:w="28" w:type="dxa"/>
        </w:tblCellMar>
      </w:tblPr>
      <w:tblGrid>
        <w:gridCol w:w="613"/>
        <w:gridCol w:w="436"/>
        <w:gridCol w:w="437"/>
        <w:gridCol w:w="109"/>
        <w:gridCol w:w="109"/>
        <w:gridCol w:w="109"/>
        <w:gridCol w:w="221"/>
        <w:gridCol w:w="729"/>
        <w:gridCol w:w="123"/>
        <w:gridCol w:w="109"/>
        <w:gridCol w:w="109"/>
        <w:gridCol w:w="109"/>
        <w:gridCol w:w="209"/>
        <w:gridCol w:w="691"/>
        <w:gridCol w:w="116"/>
        <w:gridCol w:w="109"/>
        <w:gridCol w:w="109"/>
        <w:gridCol w:w="109"/>
        <w:gridCol w:w="226"/>
        <w:gridCol w:w="748"/>
        <w:gridCol w:w="127"/>
        <w:gridCol w:w="109"/>
        <w:gridCol w:w="109"/>
        <w:gridCol w:w="109"/>
        <w:gridCol w:w="214"/>
        <w:gridCol w:w="706"/>
        <w:gridCol w:w="119"/>
        <w:gridCol w:w="109"/>
        <w:gridCol w:w="109"/>
        <w:gridCol w:w="109"/>
        <w:gridCol w:w="196"/>
        <w:gridCol w:w="646"/>
        <w:gridCol w:w="109"/>
        <w:gridCol w:w="109"/>
        <w:gridCol w:w="109"/>
        <w:gridCol w:w="109"/>
        <w:gridCol w:w="301"/>
        <w:gridCol w:w="856"/>
        <w:gridCol w:w="420"/>
      </w:tblGrid>
      <w:tr>
        <w:trPr/>
        <w:tc>
          <w:tcPr>
            <w:tcW w:w="61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Universal Life 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Variable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Index-linked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Fixed Rate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ULSG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Company-Owned Life Insurance</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2"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Account balances reported in the preceding rollforward tables: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Policyholder account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52,594 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13,252 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Separate account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73,416 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2,447 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Total account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4,764 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76,680 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52,594 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13,252 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3,093 </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Net amount at risk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19,904 </w:t>
            </w:r>
          </w:p>
        </w:tc>
        <w:tc>
          <w:tcPr>
            <w:tcW w:w="1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11,864 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61,647 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2,603 </w:t>
            </w:r>
          </w:p>
        </w:tc>
        <w:tc>
          <w:tcPr>
            <w:tcW w:w="4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Cash surrender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4,553 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76,347 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52,999 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13,275 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2,891 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Account balances reported in the preceding rollforward tables: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Policyholder account balances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48,605 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14,665 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1,166 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Separate account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74,483 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1,799 </w:t>
            </w:r>
          </w:p>
        </w:tc>
        <w:tc>
          <w:tcPr>
            <w:tcW w:w="420" w:type="dxa"/>
            <w:tcBorders/>
            <w:shd w:fill="CCEE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Total account balances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4,512 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78,150 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48,605 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14,665 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4,779 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2,965 </w:t>
            </w:r>
          </w:p>
        </w:tc>
        <w:tc>
          <w:tcPr>
            <w:tcW w:w="4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Net amount at risk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20,958 </w:t>
            </w:r>
          </w:p>
        </w:tc>
        <w:tc>
          <w:tcPr>
            <w:tcW w:w="1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12,757 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63,580 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2,649 </w:t>
            </w:r>
          </w:p>
        </w:tc>
        <w:tc>
          <w:tcPr>
            <w:tcW w:w="42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Cash surrender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4,303 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77,761 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47,013 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14,361 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2,134 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Account balances reported in the preceding rollforward tables: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Policyholder account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41,627 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14,672 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Separate account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77,086 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2,148 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Total account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4,256 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81,197 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41,627 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14,672 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2,801 </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Net amount at risk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22,214 </w:t>
            </w:r>
          </w:p>
        </w:tc>
        <w:tc>
          <w:tcPr>
            <w:tcW w:w="1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13,156 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65,299 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2,644 </w:t>
            </w:r>
          </w:p>
        </w:tc>
        <w:tc>
          <w:tcPr>
            <w:tcW w:w="4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Cash surrender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4,049 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80,756 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39,270 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14,068 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2,579 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Products may contain both separate account and general account fund options; accordingly, net amount at risk and cash surrender value reported in the table above relate to the total account balance for each respective product grouping.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199515"/>
                <wp:effectExtent l="0" t="0" r="0" b="0"/>
                <wp:wrapNone/>
                <wp:docPr id="103" name="Frame102"/>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6. Deferred Policy Acquisition Costs, Value of Business Acquired and Other Intangibles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Deferred Policy Acquisition Costs and Value of Business Acquired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1 for a description of capitalized acquisition costs.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regarding DAC and VOBA was as follows:</w:t>
      </w:r>
    </w:p>
    <w:tbl>
      <w:tblPr>
        <w:tblW w:w="10205" w:type="dxa"/>
        <w:jc w:val="center"/>
        <w:tblInd w:w="0" w:type="dxa"/>
        <w:tblLayout w:type="fixed"/>
        <w:tblCellMar>
          <w:top w:w="28" w:type="dxa"/>
          <w:left w:w="28" w:type="dxa"/>
          <w:bottom w:w="28" w:type="dxa"/>
          <w:right w:w="28" w:type="dxa"/>
        </w:tblCellMar>
      </w:tblPr>
      <w:tblGrid>
        <w:gridCol w:w="741"/>
        <w:gridCol w:w="482"/>
        <w:gridCol w:w="491"/>
        <w:gridCol w:w="109"/>
        <w:gridCol w:w="109"/>
        <w:gridCol w:w="109"/>
        <w:gridCol w:w="267"/>
        <w:gridCol w:w="759"/>
        <w:gridCol w:w="148"/>
        <w:gridCol w:w="109"/>
        <w:gridCol w:w="109"/>
        <w:gridCol w:w="109"/>
        <w:gridCol w:w="329"/>
        <w:gridCol w:w="709"/>
        <w:gridCol w:w="186"/>
        <w:gridCol w:w="109"/>
        <w:gridCol w:w="109"/>
        <w:gridCol w:w="109"/>
        <w:gridCol w:w="315"/>
        <w:gridCol w:w="894"/>
        <w:gridCol w:w="176"/>
        <w:gridCol w:w="109"/>
        <w:gridCol w:w="109"/>
        <w:gridCol w:w="109"/>
        <w:gridCol w:w="443"/>
        <w:gridCol w:w="957"/>
        <w:gridCol w:w="250"/>
        <w:gridCol w:w="109"/>
        <w:gridCol w:w="109"/>
        <w:gridCol w:w="109"/>
        <w:gridCol w:w="359"/>
        <w:gridCol w:w="774"/>
        <w:gridCol w:w="290"/>
      </w:tblGrid>
      <w:tr>
        <w:trPr/>
        <w:tc>
          <w:tcPr>
            <w:tcW w:w="74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Variable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Fixed Rate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Index-linked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Term and Whole Life 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Universal Life Insurance</w:t>
            </w:r>
          </w:p>
        </w:tc>
      </w:tr>
      <w:tr>
        <w:trPr/>
        <w:tc>
          <w:tcPr>
            <w:tcW w:w="1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DAC: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January 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2,040 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1,462 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Capitalization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January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DAC and 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2,319 </w:t>
            </w:r>
          </w:p>
        </w:tc>
        <w:tc>
          <w:tcPr>
            <w:tcW w:w="14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1,462 </w:t>
            </w:r>
          </w:p>
        </w:tc>
        <w:tc>
          <w:tcPr>
            <w:tcW w:w="17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25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29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2,526 </w:t>
            </w:r>
          </w:p>
        </w:tc>
        <w:tc>
          <w:tcPr>
            <w:tcW w:w="14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8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1,332 </w:t>
            </w:r>
          </w:p>
        </w:tc>
        <w:tc>
          <w:tcPr>
            <w:tcW w:w="1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25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29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Deferred Sales Inducements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regarding DSI, included in other assets, was as follows:</w:t>
      </w:r>
    </w:p>
    <w:tbl>
      <w:tblPr>
        <w:tblW w:w="10205" w:type="dxa"/>
        <w:jc w:val="center"/>
        <w:tblInd w:w="0" w:type="dxa"/>
        <w:tblLayout w:type="fixed"/>
        <w:tblCellMar>
          <w:top w:w="28" w:type="dxa"/>
          <w:left w:w="28" w:type="dxa"/>
          <w:bottom w:w="28" w:type="dxa"/>
          <w:right w:w="28" w:type="dxa"/>
        </w:tblCellMar>
      </w:tblPr>
      <w:tblGrid>
        <w:gridCol w:w="668"/>
        <w:gridCol w:w="411"/>
        <w:gridCol w:w="414"/>
        <w:gridCol w:w="109"/>
        <w:gridCol w:w="109"/>
        <w:gridCol w:w="109"/>
        <w:gridCol w:w="290"/>
        <w:gridCol w:w="625"/>
        <w:gridCol w:w="164"/>
        <w:gridCol w:w="109"/>
        <w:gridCol w:w="109"/>
        <w:gridCol w:w="109"/>
        <w:gridCol w:w="413"/>
        <w:gridCol w:w="508"/>
        <w:gridCol w:w="231"/>
        <w:gridCol w:w="109"/>
        <w:gridCol w:w="109"/>
        <w:gridCol w:w="109"/>
        <w:gridCol w:w="290"/>
        <w:gridCol w:w="625"/>
        <w:gridCol w:w="164"/>
        <w:gridCol w:w="109"/>
        <w:gridCol w:w="109"/>
        <w:gridCol w:w="109"/>
        <w:gridCol w:w="413"/>
        <w:gridCol w:w="508"/>
        <w:gridCol w:w="231"/>
        <w:gridCol w:w="109"/>
        <w:gridCol w:w="109"/>
        <w:gridCol w:w="109"/>
        <w:gridCol w:w="290"/>
        <w:gridCol w:w="625"/>
        <w:gridCol w:w="164"/>
        <w:gridCol w:w="109"/>
        <w:gridCol w:w="109"/>
        <w:gridCol w:w="109"/>
        <w:gridCol w:w="396"/>
        <w:gridCol w:w="487"/>
        <w:gridCol w:w="326"/>
      </w:tblGrid>
      <w:tr>
        <w:trPr/>
        <w:tc>
          <w:tcPr>
            <w:tcW w:w="6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1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1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Variable 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Fixed Rate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Variable 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Fixed Rate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Variable 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Fixed Rate Annuities</w:t>
            </w:r>
          </w:p>
        </w:tc>
      </w:tr>
      <w:tr>
        <w:trPr/>
        <w:tc>
          <w:tcPr>
            <w:tcW w:w="1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5"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199515"/>
                <wp:effectExtent l="0" t="0" r="0" b="0"/>
                <wp:wrapNone/>
                <wp:docPr id="104" name="Frame103"/>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6. Deferred Policy Acquisition Costs, Value of Business Acquired and Other Intangibles (continued)</w:t>
      </w:r>
    </w:p>
    <w:p>
      <w:pPr>
        <w:pStyle w:val="TextBody"/>
        <w:bidi w:val="0"/>
        <w:spacing w:before="120" w:after="283"/>
        <w:jc w:val="left"/>
        <w:rPr/>
      </w:pPr>
      <w:r>
        <w:rPr/>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Unearned Revenue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regarding unearned revenue, included in other policy-related balances, was as follows:</w:t>
      </w:r>
    </w:p>
    <w:tbl>
      <w:tblPr>
        <w:tblW w:w="11023" w:type="dxa"/>
        <w:jc w:val="center"/>
        <w:tblInd w:w="0" w:type="dxa"/>
        <w:tblLayout w:type="fixed"/>
        <w:tblCellMar>
          <w:top w:w="28" w:type="dxa"/>
          <w:left w:w="28" w:type="dxa"/>
          <w:bottom w:w="28" w:type="dxa"/>
          <w:right w:w="28" w:type="dxa"/>
        </w:tblCellMar>
      </w:tblPr>
      <w:tblGrid>
        <w:gridCol w:w="621"/>
        <w:gridCol w:w="229"/>
        <w:gridCol w:w="231"/>
        <w:gridCol w:w="109"/>
        <w:gridCol w:w="109"/>
        <w:gridCol w:w="109"/>
        <w:gridCol w:w="218"/>
        <w:gridCol w:w="470"/>
        <w:gridCol w:w="123"/>
        <w:gridCol w:w="109"/>
        <w:gridCol w:w="109"/>
        <w:gridCol w:w="109"/>
        <w:gridCol w:w="196"/>
        <w:gridCol w:w="421"/>
        <w:gridCol w:w="109"/>
        <w:gridCol w:w="109"/>
        <w:gridCol w:w="109"/>
        <w:gridCol w:w="109"/>
        <w:gridCol w:w="240"/>
        <w:gridCol w:w="406"/>
        <w:gridCol w:w="135"/>
        <w:gridCol w:w="109"/>
        <w:gridCol w:w="109"/>
        <w:gridCol w:w="109"/>
        <w:gridCol w:w="218"/>
        <w:gridCol w:w="470"/>
        <w:gridCol w:w="123"/>
        <w:gridCol w:w="109"/>
        <w:gridCol w:w="109"/>
        <w:gridCol w:w="109"/>
        <w:gridCol w:w="196"/>
        <w:gridCol w:w="421"/>
        <w:gridCol w:w="109"/>
        <w:gridCol w:w="109"/>
        <w:gridCol w:w="109"/>
        <w:gridCol w:w="109"/>
        <w:gridCol w:w="240"/>
        <w:gridCol w:w="406"/>
        <w:gridCol w:w="135"/>
        <w:gridCol w:w="109"/>
        <w:gridCol w:w="109"/>
        <w:gridCol w:w="109"/>
        <w:gridCol w:w="218"/>
        <w:gridCol w:w="470"/>
        <w:gridCol w:w="123"/>
        <w:gridCol w:w="109"/>
        <w:gridCol w:w="109"/>
        <w:gridCol w:w="109"/>
        <w:gridCol w:w="196"/>
        <w:gridCol w:w="421"/>
        <w:gridCol w:w="109"/>
        <w:gridCol w:w="109"/>
        <w:gridCol w:w="109"/>
        <w:gridCol w:w="109"/>
        <w:gridCol w:w="237"/>
        <w:gridCol w:w="401"/>
        <w:gridCol w:w="188"/>
      </w:tblGrid>
      <w:tr>
        <w:trPr/>
        <w:tc>
          <w:tcPr>
            <w:tcW w:w="62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5"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Universal Life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ULSG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Variable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Universal Life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ULSG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Variable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Universal Life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ULSG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Variable Annuities</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5"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7. Reinsurance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enters into reinsurance agreements primarily as a purchaser of reinsurance for its various insurance products and also as a provider of reinsurance for some insurance products issued by NELICO, as well as former affiliated and unaffiliated companies. The Company participates in reinsurance activities in order to limit losses, minimize exposure to significant risks and provide additional capacity for future growth.</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Accounting for reinsurance requires extensive use of assumptions and estimates, particularly related to the future performance of the underlying business and the potential impact of counterparty credit risks. The Company periodically reviews actual and anticipated experience compared to the aforementioned assumptions used to establish assets and liabilities relating to ceded and assumed reinsurance and evaluates the financial strength of counterparties to its reinsurance agreements using criteria similar to that evaluated in the security impairment process discussed in Note 8.</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Annuities and Life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annuities, the Company reinsures portions of the living and death benefit guarantees issued in connection with certain variable annuities to unaffiliated reinsurers. Under these reinsurance agreements, the Company pays a reinsurance premium generally based on fees associated with the guarantees collected from policyholders and receives reimbursement for benefits paid or accrued in excess of account values, subject to certain limitations. The value of MRBs on the ceded risk is determined using a methodology consistent with the guarantees directly written by the Company with the exception of the input for nonperformance risk that reflects the credit of the reinsurer. The Company also assumes 100% of the living and death benefit guarantees issued in connection with certain variable annuities issued by NELICO. The Company cedes certain fixed rate annuities to unaffiliated third-party reinsurers and assumes certain index-linked annuities from an unaffiliated third-party insurer. These reinsurance arrangements are structured on a coinsurance basis and are reported as deposit accounting.</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its life products, the Company has historically reinsured the mortality risk primarily on an excess of retention basis or on a quota share basis. In addition to reinsuring mortality risk as described above, the Company reinsures other risks, as well as specific coverages. Placement of reinsurance is done primarily on an automatic basis and also on a facultative basis for risks with specified characteristics. On a case-by-case basis, the Company may retain up to $20 million per life and reinsure 100% of amounts in excess of the amount the Company retains. The Company also reinsures 90% of the risk associated with participating whole life policies to a former affiliate and assumes certain term life policies and universal life policies with secondary death benefit guarantees issued by a former affiliate. The Company evaluates its reinsurance programs routinely and may increase or decrease its retention at any time.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Corporate &amp; Other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reinsures, through 100% quota share reinsurance agreements, certain run-off long-term care and workers’ compensation business written by the Company. At December 31, 2025, the Company had $5.5 billion of reinsurance recoverables associated with its reinsured long-term care business. The reinsurer has established trust accounts for the Company’s benefit to secure their obligations under the reinsurance agreements. Additionally, the Company is indemnified for losses and certain other payment obligations it might incur with respect to such reinsured long-term care insurance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199515"/>
                <wp:effectExtent l="0" t="0" r="0" b="0"/>
                <wp:wrapNone/>
                <wp:docPr id="105" name="Frame104"/>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Reinsurance (continued)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Catastrophe Coverage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exposure to catastrophes which could contribute to significant fluctuations in the Company’s results of operations. The Company uses excess of retention and quota share reinsurance agreements to provide greater diversification of risk and minimize exposure to larger risks.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Reinsurance Recoverables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reinsures its business through a diversified group of primarily highly rated reinsurers. The Company analyzes recent trends in arbitration and litigation outcomes in disputes, if any, with its reinsurers and monitors ratings and the financial strength of its reinsurers. In addition, the reinsurance recoverable balance due from each reinsurer and the recoverability of such balance is evaluated as part of this overall monitoring process.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generally secures large reinsurance recoverable balances with various forms of collateral, including secured trusts, funds withheld accounts and irrevocable letters of credit. These reinsurance recoverable balances are stated net of allowances for uncollectible reinsurance, which at both December 31, 2025 and 2024 were not significant. The Company had $6.3 billion and $6.1 billion of unsecured reinsurance recoverable balances with third-party reinsurers at December 31, 2025 and 2024, respectively.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records an allowance for credit losses which is a valuation account that reduces reinsurance recoverable balances to present the net amount expected to be collected from reinsurers. When assessing the creditworthiness of the Company’s reinsurance recoverable balances, beyond the analysis of individual claims disputes, the Company considers the financial strength of its reinsurers using public ratings and ratings reports, current existing credit enhancements to reinsurance agreements and the statutory and GAAP financial statements of the reinsurers. Impairments are then determined based on probable and estimable defaults. The Company had an allowance for credit losses of $3 million on its reinsurance recoverable balances at both December 31, 2025 and 2024.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December 31, 2025, the Company had $19.6 billion of net ceded reinsurance recoverables with third-party reinsurers. Of this total, $16.4 billion, or 84%, were with the Company’s five largest ceded reinsurers, including $3.8 billion of net ceded reinsurance recoverables which were unsecured. At December 31, 2024, the Company had $19.6 billion of net ceded reinsurance recoverables with third-party reinsurers. Of this total, $16.9 billion, or 86%, were with the Company’s five largest ceded reinsurers, including $4.3 billion of net ceded reinsurance recoverables which were unsecured.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199515"/>
                <wp:effectExtent l="0" t="0" r="0" b="0"/>
                <wp:wrapNone/>
                <wp:docPr id="106" name="Frame105"/>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Reinsurance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amounts on the consolidated statements of operations include the impact of reinsurance. Information regarding the significant effects of reinsurance was as follows:</w:t>
      </w:r>
    </w:p>
    <w:tbl>
      <w:tblPr>
        <w:tblW w:w="7811" w:type="dxa"/>
        <w:jc w:val="left"/>
        <w:tblInd w:w="0" w:type="dxa"/>
        <w:tblLayout w:type="fixed"/>
        <w:tblCellMar>
          <w:top w:w="28" w:type="dxa"/>
          <w:left w:w="28" w:type="dxa"/>
          <w:bottom w:w="28" w:type="dxa"/>
          <w:right w:w="28" w:type="dxa"/>
        </w:tblCellMar>
      </w:tblPr>
      <w:tblGrid>
        <w:gridCol w:w="1584"/>
        <w:gridCol w:w="1396"/>
        <w:gridCol w:w="1399"/>
        <w:gridCol w:w="196"/>
        <w:gridCol w:w="556"/>
        <w:gridCol w:w="109"/>
        <w:gridCol w:w="109"/>
        <w:gridCol w:w="109"/>
        <w:gridCol w:w="109"/>
        <w:gridCol w:w="196"/>
        <w:gridCol w:w="631"/>
        <w:gridCol w:w="109"/>
        <w:gridCol w:w="109"/>
        <w:gridCol w:w="109"/>
        <w:gridCol w:w="109"/>
        <w:gridCol w:w="196"/>
        <w:gridCol w:w="631"/>
        <w:gridCol w:w="154"/>
      </w:tblGrid>
      <w:tr>
        <w:trPr/>
        <w:tc>
          <w:tcPr>
            <w:tcW w:w="1584"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88" w:before="240" w:after="283"/>
              <w:jc w:val="center"/>
              <w:rPr>
                <w:color w:val="000000"/>
              </w:rPr>
            </w:pPr>
            <w:r>
              <w:rPr>
                <w:color w:val="000000"/>
              </w:rPr>
              <w:t> </w:t>
            </w:r>
          </w:p>
        </w:tc>
        <w:tc>
          <w:tcPr>
            <w:tcW w:w="3432" w:type="dxa"/>
            <w:gridSpan w:val="15"/>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4379" w:type="dxa"/>
            <w:gridSpan w:val="3"/>
            <w:tcBorders/>
            <w:tcMar>
              <w:top w:w="0" w:type="dxa"/>
              <w:left w:w="0" w:type="dxa"/>
              <w:bottom w:w="0" w:type="dxa"/>
              <w:right w:w="0" w:type="dxa"/>
            </w:tcMar>
            <w:vAlign w:val="center"/>
          </w:tcPr>
          <w:p>
            <w:pPr>
              <w:pStyle w:val="TableContents"/>
              <w:bidi w:val="0"/>
              <w:spacing w:lineRule="auto" w:line="288" w:before="240" w:after="283"/>
              <w:jc w:val="center"/>
              <w:rPr>
                <w:color w:val="000000"/>
              </w:rPr>
            </w:pPr>
            <w:r>
              <w:rPr>
                <w:color w:val="000000"/>
              </w:rPr>
              <w:t> </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379" w:type="dxa"/>
            <w:gridSpan w:val="3"/>
            <w:tcBorders/>
            <w:tcMar>
              <w:top w:w="0" w:type="dxa"/>
              <w:left w:w="0" w:type="dxa"/>
              <w:bottom w:w="0" w:type="dxa"/>
              <w:right w:w="0" w:type="dxa"/>
            </w:tcMar>
            <w:vAlign w:val="center"/>
          </w:tcPr>
          <w:p>
            <w:pPr>
              <w:pStyle w:val="TableContents"/>
              <w:bidi w:val="0"/>
              <w:spacing w:lineRule="auto" w:line="288" w:before="240" w:after="283"/>
              <w:jc w:val="center"/>
              <w:rPr>
                <w:color w:val="000000"/>
              </w:rPr>
            </w:pPr>
            <w:r>
              <w:rPr>
                <w:color w:val="000000"/>
              </w:rPr>
              <w:t> </w:t>
            </w:r>
          </w:p>
        </w:tc>
        <w:tc>
          <w:tcPr>
            <w:tcW w:w="3432" w:type="dxa"/>
            <w:gridSpan w:val="15"/>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Premiums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 premiums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Reinsurance assumed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Reinsurance ceded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premiums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Universal life and investment-type product policy fees</w:t>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 universal life and investment-type product policy fees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2,402 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Reinsurance assumed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Reinsurance ceded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universal life and investment-type product policy fees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1,778 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revenues</w:t>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 other revenues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Reinsurance assumed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Reinsurance ceded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other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Policyholder benefits and claims</w:t>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 policyholder benefits and claims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3,608 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Reinsurance assumed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Reinsurance ceded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(1,727)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policyholder benefits and claims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1,750 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2,418 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Change in market risk benefits</w:t>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 change in market risk benefits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(2,597)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Reinsurance assumed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Reinsurance ceded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market risk benefits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(2,669)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(1,497)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expenses</w:t>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 other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Reinsurance assumed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Reinsurance ceded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other expenses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199515"/>
                <wp:effectExtent l="0" t="0" r="0" b="0"/>
                <wp:wrapNone/>
                <wp:docPr id="107" name="Frame106"/>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Reinsurance (continued)</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amounts on the consolidated balance sheets include the impact of reinsurance. Information regarding the significant effects of reinsurance was as follows at:</w:t>
      </w:r>
    </w:p>
    <w:tbl>
      <w:tblPr>
        <w:tblW w:w="10843" w:type="dxa"/>
        <w:jc w:val="left"/>
        <w:tblInd w:w="0" w:type="dxa"/>
        <w:tblLayout w:type="fixed"/>
        <w:tblCellMar>
          <w:top w:w="28" w:type="dxa"/>
          <w:left w:w="28" w:type="dxa"/>
          <w:bottom w:w="28" w:type="dxa"/>
          <w:right w:w="28" w:type="dxa"/>
        </w:tblCellMar>
      </w:tblPr>
      <w:tblGrid>
        <w:gridCol w:w="506"/>
        <w:gridCol w:w="286"/>
        <w:gridCol w:w="289"/>
        <w:gridCol w:w="196"/>
        <w:gridCol w:w="64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54"/>
      </w:tblGrid>
      <w:tr>
        <w:trPr/>
        <w:tc>
          <w:tcPr>
            <w:tcW w:w="5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88" w:before="240" w:after="283"/>
              <w:jc w:val="center"/>
              <w:rPr>
                <w:color w:val="000000"/>
              </w:rPr>
            </w:pPr>
            <w:r>
              <w:rPr>
                <w:color w:val="000000"/>
              </w:rPr>
              <w:t> </w:t>
            </w:r>
          </w:p>
        </w:tc>
        <w:tc>
          <w:tcPr>
            <w:tcW w:w="976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1081" w:type="dxa"/>
            <w:gridSpan w:val="3"/>
            <w:tcBorders/>
            <w:tcMar>
              <w:top w:w="0" w:type="dxa"/>
              <w:left w:w="0" w:type="dxa"/>
              <w:bottom w:w="0" w:type="dxa"/>
              <w:right w:w="0" w:type="dxa"/>
            </w:tcMar>
            <w:vAlign w:val="center"/>
          </w:tcPr>
          <w:p>
            <w:pPr>
              <w:pStyle w:val="TableContents"/>
              <w:bidi w:val="0"/>
              <w:spacing w:lineRule="auto" w:line="288" w:before="240" w:after="283"/>
              <w:jc w:val="center"/>
              <w:rPr>
                <w:color w:val="000000"/>
              </w:rPr>
            </w:pPr>
            <w:r>
              <w:rPr>
                <w:color w:val="000000"/>
              </w:rPr>
              <w:t> </w:t>
            </w:r>
          </w:p>
        </w:tc>
        <w:tc>
          <w:tcPr>
            <w:tcW w:w="469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081" w:type="dxa"/>
            <w:gridSpan w:val="3"/>
            <w:tcBorders/>
            <w:tcMar>
              <w:top w:w="0" w:type="dxa"/>
              <w:left w:w="0" w:type="dxa"/>
              <w:bottom w:w="0" w:type="dxa"/>
              <w:right w:w="0" w:type="dxa"/>
            </w:tcMar>
            <w:vAlign w:val="center"/>
          </w:tcPr>
          <w:p>
            <w:pPr>
              <w:pStyle w:val="TableContents"/>
              <w:bidi w:val="0"/>
              <w:spacing w:lineRule="auto" w:line="288" w:before="240" w:after="283"/>
              <w:jc w:val="center"/>
              <w:rPr>
                <w:color w:val="000000"/>
              </w:rPr>
            </w:pPr>
            <w:r>
              <w:rPr>
                <w:color w:val="000000"/>
              </w:rPr>
              <w:t> </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Direct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Assumed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Ceded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Total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Direct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Assumed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Ceded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Total Balance Sheet</w:t>
            </w:r>
          </w:p>
        </w:tc>
      </w:tr>
      <w:tr>
        <w:trPr/>
        <w:tc>
          <w:tcPr>
            <w:tcW w:w="1081" w:type="dxa"/>
            <w:gridSpan w:val="3"/>
            <w:tcBorders/>
            <w:tcMar>
              <w:top w:w="0" w:type="dxa"/>
              <w:left w:w="0" w:type="dxa"/>
              <w:bottom w:w="0" w:type="dxa"/>
              <w:right w:w="0" w:type="dxa"/>
            </w:tcMar>
            <w:vAlign w:val="center"/>
          </w:tcPr>
          <w:p>
            <w:pPr>
              <w:pStyle w:val="TableContents"/>
              <w:bidi w:val="0"/>
              <w:spacing w:lineRule="auto" w:line="288" w:before="240" w:after="283"/>
              <w:jc w:val="center"/>
              <w:rPr>
                <w:color w:val="000000"/>
              </w:rPr>
            </w:pPr>
            <w:r>
              <w:rPr>
                <w:color w:val="000000"/>
              </w:rPr>
              <w:t> </w:t>
            </w:r>
          </w:p>
        </w:tc>
        <w:tc>
          <w:tcPr>
            <w:tcW w:w="9762" w:type="dxa"/>
            <w:gridSpan w:val="45"/>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Premiums, reinsurance and other receivables (net of allowance for credit losses)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20,809 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 risk benefit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Future policy benefits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31,511 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31,682 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30,925 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31,085 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Policyholder account balances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87,174 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87,162 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 risk benefit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policy-related balances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3,715 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3,677 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8,460 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both"/>
        <w:rPr/>
      </w:pPr>
      <w:r>
        <w:rPr>
          <w:rFonts w:ascii="Times New Roman;serif" w:hAnsi="Times New Roman;serif"/>
          <w:b w:val="false"/>
          <w:color w:val="000000"/>
          <w:sz w:val="20"/>
        </w:rPr>
        <w:t>Reinsurance agreements that do not expose the Company to a reasonable possibility of a significant loss from insurance risk are recorded using the deposit method of accounting. The deposit assets on reinsurance were $7.9 billion and $8.4 billion at December 31, 2025 and 2024, respectively. The deposit liabilities on reinsurance were $3.3 billion and $3.9 billion</w:t>
      </w:r>
      <w:r>
        <w:rPr>
          <w:color w:val="000000"/>
        </w:rPr>
        <w:t xml:space="preserve"> </w:t>
      </w:r>
      <w:r>
        <w:rPr>
          <w:rFonts w:ascii="Times New Roman;serif" w:hAnsi="Times New Roman;serif"/>
          <w:b w:val="false"/>
          <w:color w:val="000000"/>
          <w:sz w:val="20"/>
        </w:rPr>
        <w:t>at December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Related Party Reinsurance Transactions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regarding the significant effects of assumed reinsurance with NELICO included on the consolidated statements of operations was as follows:</w:t>
      </w:r>
    </w:p>
    <w:tbl>
      <w:tblPr>
        <w:tblW w:w="6867" w:type="dxa"/>
        <w:jc w:val="left"/>
        <w:tblInd w:w="0" w:type="dxa"/>
        <w:tblLayout w:type="fixed"/>
        <w:tblCellMar>
          <w:top w:w="28" w:type="dxa"/>
          <w:left w:w="28" w:type="dxa"/>
          <w:bottom w:w="28" w:type="dxa"/>
          <w:right w:w="28" w:type="dxa"/>
        </w:tblCellMar>
      </w:tblPr>
      <w:tblGrid>
        <w:gridCol w:w="1425"/>
        <w:gridCol w:w="1257"/>
        <w:gridCol w:w="1263"/>
        <w:gridCol w:w="196"/>
        <w:gridCol w:w="406"/>
        <w:gridCol w:w="109"/>
        <w:gridCol w:w="109"/>
        <w:gridCol w:w="109"/>
        <w:gridCol w:w="109"/>
        <w:gridCol w:w="196"/>
        <w:gridCol w:w="496"/>
        <w:gridCol w:w="109"/>
        <w:gridCol w:w="109"/>
        <w:gridCol w:w="109"/>
        <w:gridCol w:w="109"/>
        <w:gridCol w:w="196"/>
        <w:gridCol w:w="406"/>
        <w:gridCol w:w="154"/>
      </w:tblGrid>
      <w:tr>
        <w:trPr/>
        <w:tc>
          <w:tcPr>
            <w:tcW w:w="1425"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15"/>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15"/>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Premiums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Universal life and investment-type product policy fees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Policyholder benefits and claims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market risk benefits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199515"/>
                <wp:effectExtent l="0" t="0" r="0" b="0"/>
                <wp:wrapNone/>
                <wp:docPr id="108" name="Frame107"/>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Reinsurance (continued)</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regarding the significant effects of assumed reinsurance with NELICO included on the consolidated balance sheets was as follows at:</w:t>
      </w:r>
    </w:p>
    <w:tbl>
      <w:tblPr>
        <w:tblW w:w="7583" w:type="dxa"/>
        <w:jc w:val="left"/>
        <w:tblInd w:w="0" w:type="dxa"/>
        <w:tblLayout w:type="fixed"/>
        <w:tblCellMar>
          <w:top w:w="28" w:type="dxa"/>
          <w:left w:w="28" w:type="dxa"/>
          <w:bottom w:w="28" w:type="dxa"/>
          <w:right w:w="28" w:type="dxa"/>
        </w:tblCellMar>
      </w:tblPr>
      <w:tblGrid>
        <w:gridCol w:w="2084"/>
        <w:gridCol w:w="1828"/>
        <w:gridCol w:w="1847"/>
        <w:gridCol w:w="196"/>
        <w:gridCol w:w="421"/>
        <w:gridCol w:w="109"/>
        <w:gridCol w:w="109"/>
        <w:gridCol w:w="109"/>
        <w:gridCol w:w="109"/>
        <w:gridCol w:w="196"/>
        <w:gridCol w:w="421"/>
        <w:gridCol w:w="154"/>
      </w:tblGrid>
      <w:tr>
        <w:trPr/>
        <w:tc>
          <w:tcPr>
            <w:tcW w:w="2084"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5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Premiums, reinsurance and other receivables (net of allowance for credit losses)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Future policy benefits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 risk benefit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policy-related balances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Related party reinsurance agreements that do not expose the Company to a reasonable possibility of a significant loss from insurance risk are recorded using the deposit method of accounting. There were no deposit assets on related party reinsurance at both December 31, 2025 and 2024. The deposit liabilities on related party reinsurance were $81 million and $97 million at December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8.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See Note 1 for a description of the Company’s accounting policies for investments and Note 10 for information about the fair value hierarchy for investments and the related valuation methodologies.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Fixed Maturity Securities Available-For-Sale</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Fixed Maturity Securities by Sector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Fixed maturity securities by sector were as follows at:</w:t>
      </w:r>
    </w:p>
    <w:tbl>
      <w:tblPr>
        <w:tblW w:w="12369" w:type="dxa"/>
        <w:jc w:val="left"/>
        <w:tblInd w:w="0" w:type="dxa"/>
        <w:tblLayout w:type="fixed"/>
        <w:tblCellMar>
          <w:top w:w="28" w:type="dxa"/>
          <w:left w:w="28" w:type="dxa"/>
          <w:bottom w:w="28" w:type="dxa"/>
          <w:right w:w="28" w:type="dxa"/>
        </w:tblCellMar>
      </w:tblPr>
      <w:tblGrid>
        <w:gridCol w:w="463"/>
        <w:gridCol w:w="248"/>
        <w:gridCol w:w="250"/>
        <w:gridCol w:w="196"/>
        <w:gridCol w:w="646"/>
        <w:gridCol w:w="109"/>
        <w:gridCol w:w="109"/>
        <w:gridCol w:w="109"/>
        <w:gridCol w:w="109"/>
        <w:gridCol w:w="222"/>
        <w:gridCol w:w="375"/>
        <w:gridCol w:w="124"/>
        <w:gridCol w:w="109"/>
        <w:gridCol w:w="109"/>
        <w:gridCol w:w="109"/>
        <w:gridCol w:w="196"/>
        <w:gridCol w:w="421"/>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09"/>
        <w:gridCol w:w="109"/>
        <w:gridCol w:w="109"/>
        <w:gridCol w:w="109"/>
        <w:gridCol w:w="222"/>
        <w:gridCol w:w="375"/>
        <w:gridCol w:w="124"/>
        <w:gridCol w:w="109"/>
        <w:gridCol w:w="109"/>
        <w:gridCol w:w="109"/>
        <w:gridCol w:w="196"/>
        <w:gridCol w:w="421"/>
        <w:gridCol w:w="109"/>
        <w:gridCol w:w="109"/>
        <w:gridCol w:w="109"/>
        <w:gridCol w:w="109"/>
        <w:gridCol w:w="196"/>
        <w:gridCol w:w="556"/>
        <w:gridCol w:w="109"/>
        <w:gridCol w:w="109"/>
        <w:gridCol w:w="109"/>
        <w:gridCol w:w="109"/>
        <w:gridCol w:w="196"/>
        <w:gridCol w:w="646"/>
        <w:gridCol w:w="154"/>
      </w:tblGrid>
      <w:tr>
        <w:trPr/>
        <w:tc>
          <w:tcPr>
            <w:tcW w:w="46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8" w:type="dxa"/>
            <w:gridSpan w:val="27"/>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3" w:type="dxa"/>
            <w:gridSpan w:val="27"/>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December 31, 2024</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Gross 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Estimated Fair Value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Amortized Cost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Gross 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Estimated Fair Value</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2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8" w:type="dxa"/>
            <w:gridSpan w:val="57"/>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(In millions)</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U.S. corporate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41,030 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5"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38,409 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40,437 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5"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36,737 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Foreign corporate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12,311 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11,434 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13,203 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11,762 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RMBS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U.S. government and agency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6,460 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ABS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6,306 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CMBS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State and political subdivision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3,382 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Foreign government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960 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Total fixed maturity securities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85,907 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951 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5,836 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80,960 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86,565 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7,848 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79,129 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held non-income producing fixed maturity securities with an estimated fair value of $14 million and $30 million at December 31,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199515"/>
                <wp:effectExtent l="0" t="0" r="0" b="0"/>
                <wp:wrapNone/>
                <wp:docPr id="109" name="Frame108"/>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8. Investments (continued)</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Maturities of Fixed Maturity Securities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amortized cost and estimated fair value of fixed maturity securities, by contractual maturity date, were as follows at December 31, 2025:</w:t>
      </w:r>
    </w:p>
    <w:tbl>
      <w:tblPr>
        <w:tblW w:w="10205" w:type="dxa"/>
        <w:jc w:val="left"/>
        <w:tblInd w:w="0" w:type="dxa"/>
        <w:tblLayout w:type="fixed"/>
        <w:tblCellMar>
          <w:top w:w="28" w:type="dxa"/>
          <w:left w:w="28" w:type="dxa"/>
          <w:bottom w:w="28" w:type="dxa"/>
          <w:right w:w="28" w:type="dxa"/>
        </w:tblCellMar>
      </w:tblPr>
      <w:tblGrid>
        <w:gridCol w:w="369"/>
        <w:gridCol w:w="324"/>
        <w:gridCol w:w="327"/>
        <w:gridCol w:w="250"/>
        <w:gridCol w:w="709"/>
        <w:gridCol w:w="139"/>
        <w:gridCol w:w="109"/>
        <w:gridCol w:w="109"/>
        <w:gridCol w:w="109"/>
        <w:gridCol w:w="298"/>
        <w:gridCol w:w="984"/>
        <w:gridCol w:w="166"/>
        <w:gridCol w:w="109"/>
        <w:gridCol w:w="109"/>
        <w:gridCol w:w="109"/>
        <w:gridCol w:w="300"/>
        <w:gridCol w:w="989"/>
        <w:gridCol w:w="166"/>
        <w:gridCol w:w="109"/>
        <w:gridCol w:w="109"/>
        <w:gridCol w:w="109"/>
        <w:gridCol w:w="227"/>
        <w:gridCol w:w="750"/>
        <w:gridCol w:w="126"/>
        <w:gridCol w:w="109"/>
        <w:gridCol w:w="109"/>
        <w:gridCol w:w="109"/>
        <w:gridCol w:w="228"/>
        <w:gridCol w:w="752"/>
        <w:gridCol w:w="126"/>
        <w:gridCol w:w="109"/>
        <w:gridCol w:w="109"/>
        <w:gridCol w:w="109"/>
        <w:gridCol w:w="262"/>
        <w:gridCol w:w="864"/>
        <w:gridCol w:w="214"/>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Due in One Year or 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Due After One Year Through Five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Due After Five Years Through Ten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Due After Ten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Structured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Total Fixed Maturity Securities</w:t>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5" w:type="dxa"/>
            <w:gridSpan w:val="3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Amortized cost</w:t>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4,873 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19,360 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13,015 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27,629 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21,030 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85,907 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Estimated fair value</w:t>
            </w:r>
          </w:p>
        </w:tc>
        <w:tc>
          <w:tcPr>
            <w:tcW w:w="250"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4,848 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84"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19,128 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12,647 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24,030 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20,307 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80,960 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Actual maturities may differ from contractual maturities due to the exercise of call or prepayment options. Fixed maturity securities not due at a single maturity date have been presented in the year of final contractual maturity. Structured Securities are shown separately, as they are not due at a single maturity.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Continuous Gross Unrealized Losses for Fixed Maturity Securities by Sector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estimated fair value and gross unrealized losses of fixed maturity securities in an unrealized loss position, by sector and by length of time that the securities have been in a continuous unrealized loss position, were as follows at:</w:t>
      </w:r>
    </w:p>
    <w:tbl>
      <w:tblPr>
        <w:tblW w:w="10343" w:type="dxa"/>
        <w:jc w:val="left"/>
        <w:tblInd w:w="0" w:type="dxa"/>
        <w:tblLayout w:type="fixed"/>
        <w:tblCellMar>
          <w:top w:w="28" w:type="dxa"/>
          <w:left w:w="28" w:type="dxa"/>
          <w:bottom w:w="28" w:type="dxa"/>
          <w:right w:w="28" w:type="dxa"/>
        </w:tblCellMar>
      </w:tblPr>
      <w:tblGrid>
        <w:gridCol w:w="463"/>
        <w:gridCol w:w="248"/>
        <w:gridCol w:w="250"/>
        <w:gridCol w:w="196"/>
        <w:gridCol w:w="556"/>
        <w:gridCol w:w="109"/>
        <w:gridCol w:w="109"/>
        <w:gridCol w:w="109"/>
        <w:gridCol w:w="109"/>
        <w:gridCol w:w="202"/>
        <w:gridCol w:w="435"/>
        <w:gridCol w:w="114"/>
        <w:gridCol w:w="109"/>
        <w:gridCol w:w="109"/>
        <w:gridCol w:w="109"/>
        <w:gridCol w:w="196"/>
        <w:gridCol w:w="646"/>
        <w:gridCol w:w="109"/>
        <w:gridCol w:w="109"/>
        <w:gridCol w:w="109"/>
        <w:gridCol w:w="109"/>
        <w:gridCol w:w="196"/>
        <w:gridCol w:w="556"/>
        <w:gridCol w:w="109"/>
        <w:gridCol w:w="109"/>
        <w:gridCol w:w="109"/>
        <w:gridCol w:w="109"/>
        <w:gridCol w:w="196"/>
        <w:gridCol w:w="646"/>
        <w:gridCol w:w="109"/>
        <w:gridCol w:w="109"/>
        <w:gridCol w:w="109"/>
        <w:gridCol w:w="109"/>
        <w:gridCol w:w="196"/>
        <w:gridCol w:w="556"/>
        <w:gridCol w:w="109"/>
        <w:gridCol w:w="109"/>
        <w:gridCol w:w="109"/>
        <w:gridCol w:w="109"/>
        <w:gridCol w:w="196"/>
        <w:gridCol w:w="646"/>
        <w:gridCol w:w="109"/>
        <w:gridCol w:w="109"/>
        <w:gridCol w:w="109"/>
        <w:gridCol w:w="109"/>
        <w:gridCol w:w="196"/>
        <w:gridCol w:w="556"/>
        <w:gridCol w:w="154"/>
      </w:tblGrid>
      <w:tr>
        <w:trPr/>
        <w:tc>
          <w:tcPr>
            <w:tcW w:w="46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December 31, 2024</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12 Months or Greater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12 Months or Greater</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Gross Unrealized Losses</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2" w:type="dxa"/>
            <w:gridSpan w:val="45"/>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(Dollars in millions)</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U.S. corporate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35"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394 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18,777 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17,329 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Foreign corporate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RMBS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U.S. government and agency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ABS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CMBS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State and political subdivision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Foreign government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Total fixed maturity securities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648 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37,860 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20,825 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36,595 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6,388 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Total number of securities in an unrealized loss position</w:t>
            </w:r>
          </w:p>
        </w:tc>
        <w:tc>
          <w:tcPr>
            <w:tcW w:w="752"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1,313 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5,035 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3,356 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5,195 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199515"/>
                <wp:effectExtent l="0" t="0" r="0" b="0"/>
                <wp:wrapNone/>
                <wp:docPr id="110" name="Frame109"/>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8. Investments (continued)</w:t>
      </w:r>
    </w:p>
    <w:p>
      <w:pPr>
        <w:pStyle w:val="TextBody"/>
        <w:bidi w:val="0"/>
        <w:spacing w:lineRule="auto" w:line="288" w:before="180" w:after="283"/>
        <w:jc w:val="both"/>
        <w:rPr>
          <w:rFonts w:ascii="Times New Roman;serif" w:hAnsi="Times New Roman;serif"/>
          <w:b/>
          <w:i/>
          <w:color w:val="000000"/>
          <w:sz w:val="20"/>
          <w:u w:val="single"/>
        </w:rPr>
      </w:pPr>
      <w:r>
        <w:rPr>
          <w:rFonts w:ascii="Times New Roman;serif" w:hAnsi="Times New Roman;serif"/>
          <w:b/>
          <w:i/>
          <w:color w:val="000000"/>
          <w:sz w:val="20"/>
          <w:u w:val="single"/>
        </w:rPr>
        <w:t>Allowance for Credit Losses for Fixed Maturity Securities</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Evaluation and Measurement Methodologies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fixed maturity securities in an unrealized loss position, management first assesses whether the Company intends to sell, or whether it is more likely than not it will be required to sell the security before recovery of its amortized cost basis. If either of the criteria regarding intent or requirement to sell is met, the security’s amortized cost basis is written down to estimated fair value through net investment gains (losses). For fixed maturity securities that do not meet the aforementioned criteria, management evaluates whether the decline in estimated fair value has resulted from credit losses or other factors.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Inherent in management’s evaluation of the security are assumptions and estimates about the operations of the issuer and its future earnings potential. Considerations used in the allowance for credit loss evaluation process include, but are not limited to: (i) the extent to which estimated fair value is less than amortized cost; (ii) any changes to the rating of the security by a rating agency; (iii) adverse conditions specifically related to the security, industry or geographic area; and (iv) payment structure of the fixed maturity security and the likelihood of the issuer being able to make payments in the future or the issuer’s failure to make scheduled interest and principal payments.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is deemed to exist and an allowance for credit losses is recorded, limited by the amount that the estimated fair value is less than the amortized cost basis, with a corresponding charge to net investment gains (losses). Any unrealized losses that have not been recorded through an allowance for credit losses are recognized in OCI.</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Once a security specific allowance for credit losses is established, the present value of cash flows expected to be collected from the security continues to be reassessed. Any changes in the security specific allowance for credit losses are recorded as a provision for (or reversal of) credit loss expense in net investment gains (losses).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Fixed maturity securities are also evaluated to determine whether any amounts have become uncollectible. When all, or a portion, of a security is deemed uncollectible, the uncollectible portion is written-off with an adjustment to amortized cost and a corresponding reduction to the allowance for credit losses.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Accrued interest receivables are presented separate from the amortized cost basis of fixed maturity securities. An allowance for credit losses is not estimated on an accrued interest receivable, rather receivable balances 90-days past due are deemed uncollectible and are written off with a corresponding reduction to net investment income. The accrued interest receivable on fixed maturity securities totaled $663 million and $665 million at December 31, 2025 and 2024, respectively, and is included in accrued investment income.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Fixed maturity securities are also evaluated to determine if they qualify as purchased financial assets with credit deterioration (“PCD”). To determine if the credit deterioration experienced since origination is more than insignificant, both (i) the extent of the credit deterioration and (ii) any rating agency downgrades are evaluated. For securities categorized as PCD assets, the present value of cash flows expected to be collected from the security are compared to the par value of the security. If the present value of cash flows expected to be collected is less than the par value, credit losses are embedded in the purchase price of the PCD asset. In this situation, both an allowance for credit losses and amortized cost gross-up is recorded, limited by the amount that the estimated fair value is less than the grossed-up amortized cost basis. Any difference between the purchase price and the present value of cash flows is amortized or accreted into net investment income over the life of the PCD asset. Any subsequent PCD asset allowance for credit losses is evaluated in a manner similar to the process described above for fixed maturity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199515"/>
                <wp:effectExtent l="0" t="0" r="0" b="0"/>
                <wp:wrapNone/>
                <wp:docPr id="111" name="Frame110"/>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8. Investments (continued)</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Current Period Evaluation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 Company’s current evaluation of its fixed maturity securities in an unrealized loss position and the current intent or requirement to sell, the Company recorded an allowance for credit losses of $62 million, relating to 19 securities, at December 31, 2025. Management concluded that for all other fixed maturity securities in an unrealized loss position, the unrealized loss was not due to issuer-specific credit-related factors and as a result was recognized in OCI. Where unrealized losses have not been recognized into income, it is primarily because the securities’ bond issuer(s) are of high credit quality, management does not intend to sell and it is likely that management will not be required to sell the securities prior to their anticipated recovery, and the decline in estimated fair value is largely due to changes in interest rates and non-issuer specific credit spreads. These issuers continued to make timely principal and interest payments and the estimated fair value is expected to recover as the securities approach maturity.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Rollforward of the Allowance for Credit Losses for Fixed Maturity Securities by Sector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changes in the allowance for credit losses for fixed maturity securities by sector were as follows:</w:t>
      </w:r>
    </w:p>
    <w:tbl>
      <w:tblPr>
        <w:tblW w:w="10205" w:type="dxa"/>
        <w:jc w:val="left"/>
        <w:tblInd w:w="0" w:type="dxa"/>
        <w:tblLayout w:type="fixed"/>
        <w:tblCellMar>
          <w:top w:w="28" w:type="dxa"/>
          <w:left w:w="28" w:type="dxa"/>
          <w:bottom w:w="28" w:type="dxa"/>
          <w:right w:w="28" w:type="dxa"/>
        </w:tblCellMar>
      </w:tblPr>
      <w:tblGrid>
        <w:gridCol w:w="1395"/>
        <w:gridCol w:w="1201"/>
        <w:gridCol w:w="1206"/>
        <w:gridCol w:w="109"/>
        <w:gridCol w:w="109"/>
        <w:gridCol w:w="109"/>
        <w:gridCol w:w="328"/>
        <w:gridCol w:w="555"/>
        <w:gridCol w:w="183"/>
        <w:gridCol w:w="109"/>
        <w:gridCol w:w="109"/>
        <w:gridCol w:w="109"/>
        <w:gridCol w:w="109"/>
        <w:gridCol w:w="109"/>
        <w:gridCol w:w="336"/>
        <w:gridCol w:w="697"/>
        <w:gridCol w:w="187"/>
        <w:gridCol w:w="109"/>
        <w:gridCol w:w="109"/>
        <w:gridCol w:w="109"/>
        <w:gridCol w:w="204"/>
        <w:gridCol w:w="252"/>
        <w:gridCol w:w="115"/>
        <w:gridCol w:w="109"/>
        <w:gridCol w:w="109"/>
        <w:gridCol w:w="109"/>
        <w:gridCol w:w="109"/>
        <w:gridCol w:w="204"/>
        <w:gridCol w:w="252"/>
        <w:gridCol w:w="115"/>
        <w:gridCol w:w="109"/>
        <w:gridCol w:w="109"/>
        <w:gridCol w:w="109"/>
        <w:gridCol w:w="109"/>
        <w:gridCol w:w="109"/>
        <w:gridCol w:w="109"/>
        <w:gridCol w:w="196"/>
        <w:gridCol w:w="331"/>
        <w:gridCol w:w="159"/>
      </w:tblGrid>
      <w:tr>
        <w:trPr/>
        <w:tc>
          <w:tcPr>
            <w:tcW w:w="1395"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U.S. 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Foreign 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RMBS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CMBS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5" w:type="dxa"/>
            <w:gridSpan w:val="21"/>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1911" w:type="dxa"/>
            <w:gridSpan w:val="12"/>
            <w:tcBorders/>
          </w:tcPr>
          <w:p>
            <w:pPr>
              <w:pStyle w:val="TableContents"/>
              <w:bidi w:val="0"/>
              <w:spacing w:before="0" w:after="283"/>
              <w:jc w:val="left"/>
              <w:rPr>
                <w:sz w:val="4"/>
                <w:szCs w:val="4"/>
              </w:rPr>
            </w:pPr>
            <w:r>
              <w:rPr>
                <w:sz w:val="4"/>
                <w:szCs w:val="4"/>
              </w:rPr>
            </w:r>
          </w:p>
        </w:tc>
      </w:tr>
      <w:tr>
        <w:trPr/>
        <w:tc>
          <w:tcPr>
            <w:tcW w:w="3802"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2"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Allowance on securities where credit losses were not previously recorded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r>
      <w:tr>
        <w:trPr/>
        <w:tc>
          <w:tcPr>
            <w:tcW w:w="3802"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Reductions for securities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802"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Change in allowance on securities with an allowance recorded in a previous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2"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Write-offs charged against allowance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2"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on securities where credit losses were not previously recorded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r>
      <w:tr>
        <w:trPr/>
        <w:tc>
          <w:tcPr>
            <w:tcW w:w="3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Reductions for securities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allowance on securities with an allowance recorded in a previous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Write-offs charged against allowance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Company recorded total write-offs of $33 million and $12 million for the years ended December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199515"/>
                <wp:effectExtent l="0" t="0" r="0" b="0"/>
                <wp:wrapNone/>
                <wp:docPr id="112" name="Frame111"/>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8. Investments (continued)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Mortgage Loans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Mortgage Loans by Portfolio Segment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Mortgage loans are summarized as follows at:</w:t>
      </w:r>
    </w:p>
    <w:tbl>
      <w:tblPr>
        <w:tblW w:w="6632" w:type="dxa"/>
        <w:jc w:val="left"/>
        <w:tblInd w:w="0" w:type="dxa"/>
        <w:tblLayout w:type="fixed"/>
        <w:tblCellMar>
          <w:top w:w="28" w:type="dxa"/>
          <w:left w:w="28" w:type="dxa"/>
          <w:bottom w:w="28" w:type="dxa"/>
          <w:right w:w="28" w:type="dxa"/>
        </w:tblCellMar>
      </w:tblPr>
      <w:tblGrid>
        <w:gridCol w:w="743"/>
        <w:gridCol w:w="655"/>
        <w:gridCol w:w="656"/>
        <w:gridCol w:w="196"/>
        <w:gridCol w:w="646"/>
        <w:gridCol w:w="109"/>
        <w:gridCol w:w="109"/>
        <w:gridCol w:w="109"/>
        <w:gridCol w:w="109"/>
        <w:gridCol w:w="278"/>
        <w:gridCol w:w="278"/>
        <w:gridCol w:w="268"/>
        <w:gridCol w:w="109"/>
        <w:gridCol w:w="109"/>
        <w:gridCol w:w="109"/>
        <w:gridCol w:w="196"/>
        <w:gridCol w:w="646"/>
        <w:gridCol w:w="109"/>
        <w:gridCol w:w="109"/>
        <w:gridCol w:w="109"/>
        <w:gridCol w:w="109"/>
        <w:gridCol w:w="278"/>
        <w:gridCol w:w="278"/>
        <w:gridCol w:w="315"/>
      </w:tblGrid>
      <w:tr>
        <w:trPr/>
        <w:tc>
          <w:tcPr>
            <w:tcW w:w="74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Carrying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Carrying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21"/>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Commercial</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54.2 </w:t>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57.3 </w:t>
            </w:r>
          </w:p>
        </w:tc>
        <w:tc>
          <w:tcPr>
            <w:tcW w:w="315"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Agricultural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Residential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 mortgage loans (1)</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22,926 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100.9 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23,432 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100.7 </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Allowance for credit losses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 mortgage loans,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22,726 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23,254 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Purchases of mortgage loans from third parties were $1.2 billion and $1.0 billion for the years ended December 31, 2025 and 2024, respectively, and were primarily comprised of residential mortgage loans.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Allowance for Credit Losses for Mortgage Loans</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Evaluation and Measurement Methodologies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allowance for credit losses is a valuation account that is deducted from the mortgage loan’s amortized cost basis to present the net amount expected to be collected on the mortgage loan. The loan balance, or a portion of the loan balance, is written-off against the allowance when management believes this amount is uncollectible.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Accrued interest receivables are presented separate from the amortized cost basis of mortgage loans. An allowance for credit losses is generally not estimated on an accrued interest receivable, rather when a loan is placed in nonaccrual status the associated accrued interest receivable balance is written off with a corresponding reduction to net investment income. The accrued interest receivable on mortgage loans is included in accrued investment income and totaled $132 million at both December 31, 2025 and 2024.</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allowance for credit losses is estimated using relevant available information, from internal and external sources, relating to past events, current conditions, and a reasonable and supportable forecast. Historical credit loss experience provides the basis for estimating expected credit losses. Adjustments to historical loss information are made for differences in current loan-specific risk characteristics and environmental conditions. A reasonable and supportable forecast period of two years is used with an input reversion period of one year.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Mortgage loans are evaluated in each of the three portfolio segments to determine the allowance for credit losses. The loan-level loss rates are determined using individual loan terms and characteristics, risk pools/internal ratings, national economic forecasts, prepayment speeds, and estimated default and loss severity. The resulting loss rates are applied to the mortgage loan’s amortized cost to generate an allowance for credit losses. In certain situations, the allowance for credit losses is measured as the difference between the loan’s amortized cost and liquidation value of the collateral. These situations include collateral dependent loans, modifications, foreclosure probable loans, and loans with dissimilar risk characteristics.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Mortgage loans are also evaluated to determine if they qualify as PCD assets. To determine if the credit deterioration experienced since origination is more than insignificant, the extent of credit deterioration is evaluated. All re-performing/modified loan (“RPL”) pools purchased after December 31, 2019 are determined to have been acquired with evidence of more than insignificant credit deterioration since origination and are classified as PCD assets. RPLs are pools of residential mortgage loans acquired at a discount or premium which have both credit and non-credit components.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199515"/>
                <wp:effectExtent l="0" t="0" r="0" b="0"/>
                <wp:wrapNone/>
                <wp:docPr id="113" name="Frame112"/>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8. Investments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PCD mortgage loans, the allowance for credit losses is determined using a similar methodology described above, except the loss-rate is determined at the pool level instead of the individual loan level. The initial allowance for credit losses, determined on a collective basis, is then allocated to the individual loans. The initial amortized cost of the loan is grossed-up to reflect the sum of the loan’s purchase price and allowance for credit losses. The difference between the grossed-up amortized cost basis and the par value of the loan is a non-credit discount or premium, which is accreted or amortized into net investment income over the remaining life of the loan. Any subsequent PCD mortgage loan allowance for credit losses is evaluated in a manner similar to the process described above for each of the three portfolio segments.</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Rollforward of the Allowance for Credit Losses for Mortgage Loans by Portfolio Segment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changes in the allowance for credit losses by portfolio segment were as follows:</w:t>
      </w:r>
    </w:p>
    <w:tbl>
      <w:tblPr>
        <w:tblW w:w="6929" w:type="dxa"/>
        <w:jc w:val="left"/>
        <w:tblInd w:w="0" w:type="dxa"/>
        <w:tblLayout w:type="fixed"/>
        <w:tblCellMar>
          <w:top w:w="28" w:type="dxa"/>
          <w:left w:w="28" w:type="dxa"/>
          <w:bottom w:w="28" w:type="dxa"/>
          <w:right w:w="28" w:type="dxa"/>
        </w:tblCellMar>
      </w:tblPr>
      <w:tblGrid>
        <w:gridCol w:w="824"/>
        <w:gridCol w:w="726"/>
        <w:gridCol w:w="729"/>
        <w:gridCol w:w="267"/>
        <w:gridCol w:w="574"/>
        <w:gridCol w:w="150"/>
        <w:gridCol w:w="109"/>
        <w:gridCol w:w="109"/>
        <w:gridCol w:w="109"/>
        <w:gridCol w:w="310"/>
        <w:gridCol w:w="523"/>
        <w:gridCol w:w="173"/>
        <w:gridCol w:w="109"/>
        <w:gridCol w:w="109"/>
        <w:gridCol w:w="109"/>
        <w:gridCol w:w="277"/>
        <w:gridCol w:w="468"/>
        <w:gridCol w:w="156"/>
        <w:gridCol w:w="109"/>
        <w:gridCol w:w="109"/>
        <w:gridCol w:w="109"/>
        <w:gridCol w:w="196"/>
        <w:gridCol w:w="421"/>
        <w:gridCol w:w="154"/>
      </w:tblGrid>
      <w:tr>
        <w:trPr/>
        <w:tc>
          <w:tcPr>
            <w:tcW w:w="8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Commercial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Agricultural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Residential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21"/>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2023</w:t>
            </w:r>
          </w:p>
        </w:tc>
        <w:tc>
          <w:tcPr>
            <w:tcW w:w="267"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3"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8"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Current period provision</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Charge-offs, net of recoveries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2024</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Current period provision</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Charge-offs, net of recoveries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2025</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u w:val="single"/>
        </w:rPr>
      </w:pPr>
      <w:r>
        <w:rPr>
          <w:rFonts w:ascii="Times New Roman;serif" w:hAnsi="Times New Roman;serif"/>
          <w:b/>
          <w:i/>
          <w:color w:val="000000"/>
          <w:sz w:val="20"/>
          <w:u w:val="single"/>
        </w:rPr>
        <w:t>Credit Quality of Mortgage Loans by Portfolio Segment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amortized cost of mortgage loans by year of origination and credit quality indicator was as follows at:</w:t>
      </w:r>
    </w:p>
    <w:tbl>
      <w:tblPr>
        <w:tblW w:w="10205" w:type="dxa"/>
        <w:jc w:val="center"/>
        <w:tblInd w:w="0" w:type="dxa"/>
        <w:tblLayout w:type="fixed"/>
        <w:tblCellMar>
          <w:top w:w="28" w:type="dxa"/>
          <w:left w:w="28" w:type="dxa"/>
          <w:bottom w:w="28" w:type="dxa"/>
          <w:right w:w="28" w:type="dxa"/>
        </w:tblCellMar>
      </w:tblPr>
      <w:tblGrid>
        <w:gridCol w:w="813"/>
        <w:gridCol w:w="700"/>
        <w:gridCol w:w="702"/>
        <w:gridCol w:w="196"/>
        <w:gridCol w:w="556"/>
        <w:gridCol w:w="109"/>
        <w:gridCol w:w="109"/>
        <w:gridCol w:w="109"/>
        <w:gridCol w:w="109"/>
        <w:gridCol w:w="196"/>
        <w:gridCol w:w="556"/>
        <w:gridCol w:w="109"/>
        <w:gridCol w:w="109"/>
        <w:gridCol w:w="109"/>
        <w:gridCol w:w="109"/>
        <w:gridCol w:w="196"/>
        <w:gridCol w:w="421"/>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646"/>
        <w:gridCol w:w="155"/>
      </w:tblGrid>
      <w:tr>
        <w:trPr/>
        <w:tc>
          <w:tcPr>
            <w:tcW w:w="813"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0" w:type="dxa"/>
            <w:gridSpan w:val="39"/>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Commercial mortgage loans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Loan-to-value ratios: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than 65%</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65% to 75%</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76% to 80%</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Greater than 80%</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 mortgage loans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Agricultural mortgage loans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Loan-to-value ratios: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than 65%</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65% to 75%</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76% to 80%</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Greater than 80%</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agricultural mortgage loans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Residential mortgage loans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Performing</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Nonperforming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 residential mortgage loans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22,926 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199515"/>
                <wp:effectExtent l="0" t="0" r="0" b="0"/>
                <wp:wrapNone/>
                <wp:docPr id="114" name="Frame113"/>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8. Investments (continued)</w:t>
      </w:r>
    </w:p>
    <w:tbl>
      <w:tblPr>
        <w:tblW w:w="10205" w:type="dxa"/>
        <w:jc w:val="left"/>
        <w:tblInd w:w="0" w:type="dxa"/>
        <w:tblLayout w:type="fixed"/>
        <w:tblCellMar>
          <w:top w:w="28" w:type="dxa"/>
          <w:left w:w="28" w:type="dxa"/>
          <w:bottom w:w="28" w:type="dxa"/>
          <w:right w:w="28" w:type="dxa"/>
        </w:tblCellMar>
      </w:tblPr>
      <w:tblGrid>
        <w:gridCol w:w="872"/>
        <w:gridCol w:w="738"/>
        <w:gridCol w:w="740"/>
        <w:gridCol w:w="196"/>
        <w:gridCol w:w="556"/>
        <w:gridCol w:w="109"/>
        <w:gridCol w:w="109"/>
        <w:gridCol w:w="109"/>
        <w:gridCol w:w="109"/>
        <w:gridCol w:w="196"/>
        <w:gridCol w:w="421"/>
        <w:gridCol w:w="109"/>
        <w:gridCol w:w="109"/>
        <w:gridCol w:w="109"/>
        <w:gridCol w:w="109"/>
        <w:gridCol w:w="196"/>
        <w:gridCol w:w="556"/>
        <w:gridCol w:w="109"/>
        <w:gridCol w:w="109"/>
        <w:gridCol w:w="109"/>
        <w:gridCol w:w="109"/>
        <w:gridCol w:w="196"/>
        <w:gridCol w:w="556"/>
        <w:gridCol w:w="109"/>
        <w:gridCol w:w="109"/>
        <w:gridCol w:w="109"/>
        <w:gridCol w:w="109"/>
        <w:gridCol w:w="196"/>
        <w:gridCol w:w="421"/>
        <w:gridCol w:w="109"/>
        <w:gridCol w:w="109"/>
        <w:gridCol w:w="109"/>
        <w:gridCol w:w="109"/>
        <w:gridCol w:w="196"/>
        <w:gridCol w:w="556"/>
        <w:gridCol w:w="109"/>
        <w:gridCol w:w="109"/>
        <w:gridCol w:w="109"/>
        <w:gridCol w:w="109"/>
        <w:gridCol w:w="196"/>
        <w:gridCol w:w="646"/>
        <w:gridCol w:w="155"/>
      </w:tblGrid>
      <w:tr>
        <w:trPr/>
        <w:tc>
          <w:tcPr>
            <w:tcW w:w="8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9"/>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35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December 31, 2024</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Commercial mortgage loans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Loan-to-value ratios: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Less than 65%</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6,008 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65% to 75%</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3,176 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76% to 80%</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Greater than 80%</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3,049 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 commercial mortgage loans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2,390 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3,152 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6,305 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13,326 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Agricultural mortgage loans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Loan-to-value ratios: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Less than 65%</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4,310 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65% to 75%</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76% to 80%</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Greater than 80%</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 agricultural mortgage loans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4,563 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Residential mortgage loans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Performing</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5,425 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Nonperforming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 residential mortgage loans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5,543 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4,376 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5,999 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9,586 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23,432 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loan-to-value ratio is a measure commonly used to assess the quality of commercial and agricultural mortgage loans. The loan-to-value ratio compares the amount of the loan to the estimated fair value of the underlying property collateralizing the loan and is commonly expressed as a percentage. A loan-to-value ratio less than 100% indicates an excess of collateral value over the loan amount. Loan-to-value ratios greater than 100% indicate that the loan amount exceeds the collateral value. Performing status is a measure commonly used to assess the quality of residential mortgage loans. A loan is considered performing when the borrower makes consistent and timely payments.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amortized cost of commercial mortgage loans by debt-service coverage ratio was as follows at:</w:t>
      </w:r>
    </w:p>
    <w:tbl>
      <w:tblPr>
        <w:tblW w:w="7791" w:type="dxa"/>
        <w:jc w:val="left"/>
        <w:tblInd w:w="0" w:type="dxa"/>
        <w:tblLayout w:type="fixed"/>
        <w:tblCellMar>
          <w:top w:w="28" w:type="dxa"/>
          <w:left w:w="28" w:type="dxa"/>
          <w:bottom w:w="28" w:type="dxa"/>
          <w:right w:w="28" w:type="dxa"/>
        </w:tblCellMar>
      </w:tblPr>
      <w:tblGrid>
        <w:gridCol w:w="788"/>
        <w:gridCol w:w="692"/>
        <w:gridCol w:w="694"/>
        <w:gridCol w:w="256"/>
        <w:gridCol w:w="846"/>
        <w:gridCol w:w="142"/>
        <w:gridCol w:w="109"/>
        <w:gridCol w:w="109"/>
        <w:gridCol w:w="109"/>
        <w:gridCol w:w="278"/>
        <w:gridCol w:w="278"/>
        <w:gridCol w:w="486"/>
        <w:gridCol w:w="109"/>
        <w:gridCol w:w="109"/>
        <w:gridCol w:w="109"/>
        <w:gridCol w:w="256"/>
        <w:gridCol w:w="846"/>
        <w:gridCol w:w="142"/>
        <w:gridCol w:w="109"/>
        <w:gridCol w:w="109"/>
        <w:gridCol w:w="109"/>
        <w:gridCol w:w="278"/>
        <w:gridCol w:w="278"/>
        <w:gridCol w:w="550"/>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 of Total</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7" w:type="dxa"/>
            <w:gridSpan w:val="21"/>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Debt-service coverage ratios:</w:t>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Greater than 1.20x</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11,154 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90.5 </w:t>
            </w:r>
          </w:p>
        </w:tc>
        <w:tc>
          <w:tcPr>
            <w:tcW w:w="48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12,029 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90.3 </w:t>
            </w:r>
          </w:p>
        </w:tc>
        <w:tc>
          <w:tcPr>
            <w:tcW w:w="550"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1.00x - 1.20x</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738 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801 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Less than 1.00x</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496 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12,319 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13,326 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debt-service coverage ratio compares a property’s net operating income to its debt-service payments. Debt-service coverage ratios less than 1.00 times indicate that property operations do not generate enough income to cover the loan’s current debt payments. A debt-service coverage ratio greater than 1.00 times indicates an excess of net operating income over the debt-service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199515"/>
                <wp:effectExtent l="0" t="0" r="0" b="0"/>
                <wp:wrapNone/>
                <wp:docPr id="115" name="Frame114"/>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8. Investments (continued)</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Past Due Mortgage Loans by Portfolio Segment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a high-quality, well-performing mortgage loan portfolio, with 99% of all mortgage loans classified as performing at both December 31, 2025 and 2024. Delinquency is defined consistent with industry practice, when mortgage loans are past due as follows: commercial and residential mortgage loans — 60 days; and agricultural mortgage loans — 90 days.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aging of the amortized cost of past due mortgage loans by portfolio segment was as follows at:</w:t>
      </w:r>
    </w:p>
    <w:tbl>
      <w:tblPr>
        <w:tblW w:w="10693" w:type="dxa"/>
        <w:jc w:val="left"/>
        <w:tblInd w:w="0" w:type="dxa"/>
        <w:tblLayout w:type="fixed"/>
        <w:tblCellMar>
          <w:top w:w="28" w:type="dxa"/>
          <w:left w:w="28" w:type="dxa"/>
          <w:bottom w:w="28" w:type="dxa"/>
          <w:right w:w="28" w:type="dxa"/>
        </w:tblCellMar>
      </w:tblPr>
      <w:tblGrid>
        <w:gridCol w:w="239"/>
        <w:gridCol w:w="210"/>
        <w:gridCol w:w="212"/>
        <w:gridCol w:w="204"/>
        <w:gridCol w:w="673"/>
        <w:gridCol w:w="114"/>
        <w:gridCol w:w="109"/>
        <w:gridCol w:w="109"/>
        <w:gridCol w:w="109"/>
        <w:gridCol w:w="229"/>
        <w:gridCol w:w="649"/>
        <w:gridCol w:w="128"/>
        <w:gridCol w:w="109"/>
        <w:gridCol w:w="109"/>
        <w:gridCol w:w="109"/>
        <w:gridCol w:w="205"/>
        <w:gridCol w:w="581"/>
        <w:gridCol w:w="115"/>
        <w:gridCol w:w="109"/>
        <w:gridCol w:w="109"/>
        <w:gridCol w:w="109"/>
        <w:gridCol w:w="196"/>
        <w:gridCol w:w="646"/>
        <w:gridCol w:w="109"/>
        <w:gridCol w:w="109"/>
        <w:gridCol w:w="109"/>
        <w:gridCol w:w="109"/>
        <w:gridCol w:w="204"/>
        <w:gridCol w:w="673"/>
        <w:gridCol w:w="114"/>
        <w:gridCol w:w="109"/>
        <w:gridCol w:w="109"/>
        <w:gridCol w:w="109"/>
        <w:gridCol w:w="229"/>
        <w:gridCol w:w="649"/>
        <w:gridCol w:w="128"/>
        <w:gridCol w:w="109"/>
        <w:gridCol w:w="109"/>
        <w:gridCol w:w="109"/>
        <w:gridCol w:w="205"/>
        <w:gridCol w:w="581"/>
        <w:gridCol w:w="115"/>
        <w:gridCol w:w="109"/>
        <w:gridCol w:w="109"/>
        <w:gridCol w:w="109"/>
        <w:gridCol w:w="196"/>
        <w:gridCol w:w="646"/>
        <w:gridCol w:w="154"/>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Agricultural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Agricultural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Current</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13,206 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4,538 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5,423 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23,167 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30-59 days past due</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60-89 days past due</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90-179 days past due</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180+ days past due</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12,319 </w:t>
            </w:r>
          </w:p>
        </w:tc>
        <w:tc>
          <w:tcPr>
            <w:tcW w:w="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4,631 </w:t>
            </w:r>
          </w:p>
        </w:tc>
        <w:tc>
          <w:tcPr>
            <w:tcW w:w="1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5,976 </w:t>
            </w:r>
          </w:p>
        </w:tc>
        <w:tc>
          <w:tcPr>
            <w:tcW w:w="1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22,926 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13,326 </w:t>
            </w:r>
          </w:p>
        </w:tc>
        <w:tc>
          <w:tcPr>
            <w:tcW w:w="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4,563 </w:t>
            </w:r>
          </w:p>
        </w:tc>
        <w:tc>
          <w:tcPr>
            <w:tcW w:w="1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5,543 </w:t>
            </w:r>
          </w:p>
        </w:tc>
        <w:tc>
          <w:tcPr>
            <w:tcW w:w="1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23,432 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u w:val="single"/>
        </w:rPr>
      </w:pPr>
      <w:r>
        <w:rPr>
          <w:rFonts w:ascii="Times New Roman;serif" w:hAnsi="Times New Roman;serif"/>
          <w:b/>
          <w:i/>
          <w:color w:val="000000"/>
          <w:sz w:val="20"/>
          <w:u w:val="single"/>
        </w:rPr>
        <w:t>Mortgage Loans in Nonaccrual Status by Portfolio Segment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Mortgage loans are placed in a nonaccrual status if there are concerns regarding collectability of future payments or the loan is past due, unless the past due loan is well collateralized.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amortized cost of mortgage loans in a nonaccrual status by portfolio segment was as follows at:</w:t>
      </w:r>
    </w:p>
    <w:tbl>
      <w:tblPr>
        <w:tblW w:w="6417" w:type="dxa"/>
        <w:jc w:val="left"/>
        <w:tblInd w:w="0" w:type="dxa"/>
        <w:tblLayout w:type="fixed"/>
        <w:tblCellMar>
          <w:top w:w="28" w:type="dxa"/>
          <w:left w:w="28" w:type="dxa"/>
          <w:bottom w:w="28" w:type="dxa"/>
          <w:right w:w="28" w:type="dxa"/>
        </w:tblCellMar>
      </w:tblPr>
      <w:tblGrid>
        <w:gridCol w:w="547"/>
        <w:gridCol w:w="483"/>
        <w:gridCol w:w="484"/>
        <w:gridCol w:w="267"/>
        <w:gridCol w:w="574"/>
        <w:gridCol w:w="150"/>
        <w:gridCol w:w="109"/>
        <w:gridCol w:w="109"/>
        <w:gridCol w:w="109"/>
        <w:gridCol w:w="310"/>
        <w:gridCol w:w="523"/>
        <w:gridCol w:w="173"/>
        <w:gridCol w:w="109"/>
        <w:gridCol w:w="109"/>
        <w:gridCol w:w="109"/>
        <w:gridCol w:w="311"/>
        <w:gridCol w:w="669"/>
        <w:gridCol w:w="174"/>
        <w:gridCol w:w="109"/>
        <w:gridCol w:w="109"/>
        <w:gridCol w:w="109"/>
        <w:gridCol w:w="196"/>
        <w:gridCol w:w="421"/>
        <w:gridCol w:w="154"/>
      </w:tblGrid>
      <w:tr>
        <w:trPr/>
        <w:tc>
          <w:tcPr>
            <w:tcW w:w="54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Commercial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Agricultural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Residential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3" w:type="dxa"/>
            <w:gridSpan w:val="21"/>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267"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3"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December 31, 2024</w:t>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3"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Company had $54 million and $3 million of mortgage loans in nonaccrual status for which there was no related allowance for credit losses at December 31, 2025 and 2024, respectively.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Current period investment income on mortgage loans in nonaccrual status was $9 million and $6 million for the years ended December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Modified Mortgage Loans by Portfolio Segment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certain circumstances, modifications are granted to mortgage loans. Generally, the types of concessions may include interest rate reduction, term extension, principal forgiveness, or a combination of all three.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did not have a significant amount of commercial mortgage loans modified during the year ended December 31, 2025. The Company had $386 million of commercial mortgage loans modified under a term extension which represented 2% of the carrying value of total mortgage loans at December 31, 2024. The Company did not have a significant amount of agricultural and residential mortgage loans modified during both years ended December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Other Invested Assets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Over 75% of other invested assets is comprised of freestanding derivatives with positive estimated fair values. See Note 9 for information about freestanding derivatives with positive estimated fair values. Other invested assets also includes the Company’s investment in company-owned life insurance, FHLB stock, leveraged leases and tax credit and renewable energy partnerships.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199515"/>
                <wp:effectExtent l="0" t="0" r="0" b="0"/>
                <wp:wrapNone/>
                <wp:docPr id="116" name="Frame115"/>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8. Investments (continued)</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Leveraged Leases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carrying value of leveraged leases was $60 million at both December 31, 2025 and 2024. The allowance for credit losses was less than $1 million at both December 31, 2025 and 2024. Rental receivables are generally due in periodic installments. The payment periods for leveraged leases generally range from one to seven years. For rental receivables, the primary credit quality indicator is whether the rental receivable is performing or nonperforming, which is assessed monthly. Nonperforming rental receivables are generally defined as those that are 90 days or more past due. At both December 31, 2025 and 2024, all leveraged leases were performing.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Net Unrealized Investment Gains (Losses)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Unrealized investment gains (losses) on fixed maturity securities, and the effect on future policy benefits that would result from the realization of the unrealized gains (losses), are included in net unrealized investment gains (losses) in accumulated other comprehensive income (loss) (“AOCI”).</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net unrealized investment gains (losses), included in AOCI, were as follows at:</w:t>
      </w:r>
    </w:p>
    <w:tbl>
      <w:tblPr>
        <w:tblW w:w="6476" w:type="dxa"/>
        <w:jc w:val="left"/>
        <w:tblInd w:w="0" w:type="dxa"/>
        <w:tblLayout w:type="fixed"/>
        <w:tblCellMar>
          <w:top w:w="28" w:type="dxa"/>
          <w:left w:w="28" w:type="dxa"/>
          <w:bottom w:w="28" w:type="dxa"/>
          <w:right w:w="28" w:type="dxa"/>
        </w:tblCellMar>
      </w:tblPr>
      <w:tblGrid>
        <w:gridCol w:w="1077"/>
        <w:gridCol w:w="942"/>
        <w:gridCol w:w="950"/>
        <w:gridCol w:w="196"/>
        <w:gridCol w:w="631"/>
        <w:gridCol w:w="109"/>
        <w:gridCol w:w="109"/>
        <w:gridCol w:w="109"/>
        <w:gridCol w:w="109"/>
        <w:gridCol w:w="196"/>
        <w:gridCol w:w="631"/>
        <w:gridCol w:w="109"/>
        <w:gridCol w:w="109"/>
        <w:gridCol w:w="109"/>
        <w:gridCol w:w="109"/>
        <w:gridCol w:w="196"/>
        <w:gridCol w:w="631"/>
        <w:gridCol w:w="154"/>
      </w:tblGrid>
      <w:tr>
        <w:trPr/>
        <w:tc>
          <w:tcPr>
            <w:tcW w:w="1077"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Fixed maturity securities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(6,023)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Derivatives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(4,674)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(6,904)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(5,686)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Amounts allocated from:</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Future policy benefits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benefit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Net unrealized investment gains (losses)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(3,241)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(4,682)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(3,942)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changes in net unrealized investment gains (losses) were as follows:</w:t>
      </w:r>
    </w:p>
    <w:tbl>
      <w:tblPr>
        <w:tblW w:w="7332" w:type="dxa"/>
        <w:jc w:val="right"/>
        <w:tblInd w:w="0" w:type="dxa"/>
        <w:tblLayout w:type="fixed"/>
        <w:tblCellMar>
          <w:top w:w="28" w:type="dxa"/>
          <w:left w:w="28" w:type="dxa"/>
          <w:bottom w:w="28" w:type="dxa"/>
          <w:right w:w="28" w:type="dxa"/>
        </w:tblCellMar>
      </w:tblPr>
      <w:tblGrid>
        <w:gridCol w:w="1387"/>
        <w:gridCol w:w="1217"/>
        <w:gridCol w:w="1221"/>
        <w:gridCol w:w="196"/>
        <w:gridCol w:w="631"/>
        <w:gridCol w:w="109"/>
        <w:gridCol w:w="109"/>
        <w:gridCol w:w="109"/>
        <w:gridCol w:w="109"/>
        <w:gridCol w:w="196"/>
        <w:gridCol w:w="631"/>
        <w:gridCol w:w="109"/>
        <w:gridCol w:w="109"/>
        <w:gridCol w:w="109"/>
        <w:gridCol w:w="109"/>
        <w:gridCol w:w="196"/>
        <w:gridCol w:w="631"/>
        <w:gridCol w:w="154"/>
      </w:tblGrid>
      <w:tr>
        <w:trPr/>
        <w:tc>
          <w:tcPr>
            <w:tcW w:w="1387"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Balance at January 1,</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(4,682)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(3,942)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(5,545)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Unrealized investment gains (losses) during the year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Unrealized investment gains (losses) relating to:</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Future policy benefits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benefit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(3,241)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(4,682)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(3,942)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Change in net unrealized investment gains (losses)</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1,441 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(740)</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1,603 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Concentrations of Credit Risk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investments in any counterparty that were greater than 10% of the Company’s equity, other than the U.S. government and its agencies, at both December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199515"/>
                <wp:effectExtent l="0" t="0" r="0" b="0"/>
                <wp:wrapNone/>
                <wp:docPr id="117" name="Frame116"/>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8. Investments (continued)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Securities Lending</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Elements of the securities lending program are presented below at:</w:t>
      </w:r>
    </w:p>
    <w:tbl>
      <w:tblPr>
        <w:tblW w:w="5716" w:type="dxa"/>
        <w:jc w:val="left"/>
        <w:tblInd w:w="0" w:type="dxa"/>
        <w:tblLayout w:type="fixed"/>
        <w:tblCellMar>
          <w:top w:w="28" w:type="dxa"/>
          <w:left w:w="28" w:type="dxa"/>
          <w:bottom w:w="28" w:type="dxa"/>
          <w:right w:w="28" w:type="dxa"/>
        </w:tblCellMar>
      </w:tblPr>
      <w:tblGrid>
        <w:gridCol w:w="1257"/>
        <w:gridCol w:w="1102"/>
        <w:gridCol w:w="1106"/>
        <w:gridCol w:w="196"/>
        <w:gridCol w:w="556"/>
        <w:gridCol w:w="109"/>
        <w:gridCol w:w="109"/>
        <w:gridCol w:w="109"/>
        <w:gridCol w:w="109"/>
        <w:gridCol w:w="196"/>
        <w:gridCol w:w="556"/>
        <w:gridCol w:w="311"/>
      </w:tblGrid>
      <w:tr>
        <w:trPr/>
        <w:tc>
          <w:tcPr>
            <w:tcW w:w="125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9"/>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9"/>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Securities on loan: (1)</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Amortized cost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3,582 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Estimated fair value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3,127 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Cash collateral received from counterparties (2)</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3,210 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Reinvestment portfolio — estimated fair value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3,217 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(1)Included in fixed maturity securities.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(2)Included in payables for collateral under securities loaned and other transactions.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cash collateral liability by loaned security type and remaining tenor of the agreements were as follows at:</w:t>
      </w:r>
    </w:p>
    <w:tbl>
      <w:tblPr>
        <w:tblW w:w="10672" w:type="dxa"/>
        <w:jc w:val="left"/>
        <w:tblInd w:w="0" w:type="dxa"/>
        <w:tblLayout w:type="fixed"/>
        <w:tblCellMar>
          <w:top w:w="28" w:type="dxa"/>
          <w:left w:w="28" w:type="dxa"/>
          <w:bottom w:w="28" w:type="dxa"/>
          <w:right w:w="28" w:type="dxa"/>
        </w:tblCellMar>
      </w:tblPr>
      <w:tblGrid>
        <w:gridCol w:w="348"/>
        <w:gridCol w:w="306"/>
        <w:gridCol w:w="307"/>
        <w:gridCol w:w="196"/>
        <w:gridCol w:w="421"/>
        <w:gridCol w:w="109"/>
        <w:gridCol w:w="109"/>
        <w:gridCol w:w="109"/>
        <w:gridCol w:w="109"/>
        <w:gridCol w:w="196"/>
        <w:gridCol w:w="421"/>
        <w:gridCol w:w="109"/>
        <w:gridCol w:w="109"/>
        <w:gridCol w:w="109"/>
        <w:gridCol w:w="109"/>
        <w:gridCol w:w="196"/>
        <w:gridCol w:w="556"/>
        <w:gridCol w:w="109"/>
        <w:gridCol w:w="109"/>
        <w:gridCol w:w="109"/>
        <w:gridCol w:w="109"/>
        <w:gridCol w:w="109"/>
        <w:gridCol w:w="109"/>
        <w:gridCol w:w="196"/>
        <w:gridCol w:w="556"/>
        <w:gridCol w:w="109"/>
        <w:gridCol w:w="109"/>
        <w:gridCol w:w="109"/>
        <w:gridCol w:w="109"/>
        <w:gridCol w:w="109"/>
        <w:gridCol w:w="109"/>
        <w:gridCol w:w="196"/>
        <w:gridCol w:w="421"/>
        <w:gridCol w:w="109"/>
        <w:gridCol w:w="109"/>
        <w:gridCol w:w="109"/>
        <w:gridCol w:w="109"/>
        <w:gridCol w:w="196"/>
        <w:gridCol w:w="556"/>
        <w:gridCol w:w="109"/>
        <w:gridCol w:w="109"/>
        <w:gridCol w:w="109"/>
        <w:gridCol w:w="109"/>
        <w:gridCol w:w="196"/>
        <w:gridCol w:w="421"/>
        <w:gridCol w:w="109"/>
        <w:gridCol w:w="109"/>
        <w:gridCol w:w="109"/>
        <w:gridCol w:w="109"/>
        <w:gridCol w:w="109"/>
        <w:gridCol w:w="109"/>
        <w:gridCol w:w="196"/>
        <w:gridCol w:w="556"/>
        <w:gridCol w:w="109"/>
        <w:gridCol w:w="109"/>
        <w:gridCol w:w="311"/>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3" w:type="dxa"/>
            <w:gridSpan w:val="19"/>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0" w:type="dxa"/>
            <w:gridSpan w:val="17"/>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2879" w:type="dxa"/>
            <w:gridSpan w:val="16"/>
            <w:tcBorders/>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Open (1)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1 Month 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1 to 6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Open (1)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1 Month 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1 to 6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2" w:type="dxa"/>
            <w:gridSpan w:val="37"/>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826" w:type="dxa"/>
            <w:gridSpan w:val="10"/>
            <w:tcBorders/>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U.S. government and agency</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corporate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corporate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government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related loaned security could be returned to the Company on the next business day which would require the Company to immediately return the cash collateral.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Company is required to return significant amounts of cash collateral on short notice and is forced to sell securities to meet the return obligation, it may have difficulty selling such collateral that is invested in securities in a timely manner, be forced to sell securities in a volatile or illiquid market for less than what otherwise would have been realized in normal market conditions, or both. The estimated fair value of the securities on loan related to the cash collateral on open at December 31, 2025 was $466 million, primarily comprised of U.S. government and agency securities which, if put back to the Company, could be immediately sold to satisfy the cash requirement.</w:t>
      </w:r>
    </w:p>
    <w:p>
      <w:pPr>
        <w:pStyle w:val="TextBody"/>
        <w:bidi w:val="0"/>
        <w:spacing w:lineRule="auto" w:line="288" w:before="120" w:after="283"/>
        <w:ind w:left="0" w:right="0" w:firstLine="360"/>
        <w:jc w:val="both"/>
        <w:rPr/>
      </w:pPr>
      <w:r>
        <w:rPr>
          <w:rFonts w:ascii="Times New Roman;serif" w:hAnsi="Times New Roman;serif"/>
          <w:b w:val="false"/>
          <w:color w:val="000000"/>
          <w:sz w:val="20"/>
        </w:rPr>
        <w:t>The reinvestment portfolio acquired with the cash collateral consisted principally of fixed maturity securities (including agency RMBS, ABS, U.S. government and agency securities, U.S. and foreign corporate securities</w:t>
      </w:r>
      <w:r>
        <w:rPr>
          <w:rFonts w:ascii="sans-serif" w:hAnsi="sans-serif"/>
          <w:b w:val="false"/>
          <w:color w:val="000000"/>
          <w:sz w:val="22"/>
        </w:rPr>
        <w:t xml:space="preserve">, </w:t>
      </w:r>
      <w:r>
        <w:rPr>
          <w:rFonts w:ascii="Times New Roman;serif" w:hAnsi="Times New Roman;serif"/>
          <w:b w:val="false"/>
          <w:color w:val="000000"/>
          <w:sz w:val="20"/>
        </w:rPr>
        <w:t>non-agency RMBS and CMBS) with 50% invested in agency RMBS, U.S. government and agency securities and cash and cash equivalents at December 31, 2025. If the securities on loan or the reinvestment portfolio become less liquid, the Company has the liquidity resources of most of its general account available to meet any potential cash demands when securities on loan are put back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199515"/>
                <wp:effectExtent l="0" t="0" r="0" b="0"/>
                <wp:wrapNone/>
                <wp:docPr id="118" name="Frame117"/>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8. Investments (continued)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Invested Assets on Deposit, Held in Trust and Pledged as Collateral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Invested assets on deposit, held in trust and pledged as collateral at estimated fair value were as follows at:</w:t>
      </w:r>
    </w:p>
    <w:tbl>
      <w:tblPr>
        <w:tblW w:w="7329" w:type="dxa"/>
        <w:jc w:val="left"/>
        <w:tblInd w:w="0" w:type="dxa"/>
        <w:tblLayout w:type="fixed"/>
        <w:tblCellMar>
          <w:top w:w="28" w:type="dxa"/>
          <w:left w:w="28" w:type="dxa"/>
          <w:bottom w:w="28" w:type="dxa"/>
          <w:right w:w="28" w:type="dxa"/>
        </w:tblCellMar>
      </w:tblPr>
      <w:tblGrid>
        <w:gridCol w:w="1828"/>
        <w:gridCol w:w="1611"/>
        <w:gridCol w:w="1616"/>
        <w:gridCol w:w="196"/>
        <w:gridCol w:w="646"/>
        <w:gridCol w:w="109"/>
        <w:gridCol w:w="109"/>
        <w:gridCol w:w="109"/>
        <w:gridCol w:w="109"/>
        <w:gridCol w:w="196"/>
        <w:gridCol w:w="646"/>
        <w:gridCol w:w="154"/>
      </w:tblGrid>
      <w:tr>
        <w:trPr/>
        <w:tc>
          <w:tcPr>
            <w:tcW w:w="1828"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Invested assets on deposit (regulatory deposits) (1)</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6,246 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Invested assets held in trust (reinsurance agreements) (2)</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8,226 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Invested assets pledged as collateral (3)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12,471 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 invested assets on deposit, held in trust and pledged as collateral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24,632 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26,943 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Company has assets, primarily fixed maturity securities, on deposit with governmental authorities relating to certain policyholder liabilities, of which $126 million and $68 million of the assets on deposit represents restricted cash and cash equivalents at December 31, 2025 and 2024, respectively.</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Company has assets, primarily fixed maturity securities, held in trust relating to certain reinsurance transactions, of which $328 million and $332 million of the assets held in trust balance represents restricted cash and cash equivalents at December 31, 2025 and 2024, respectively.</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(3)The Company has pledged invested assets in connection with various agreements and transactions, including funding agreements (see Note 3) and derivative transactions (see Note 9).</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 Securities Lending” for information regarding securities on loan. In addition, the Company’s investment in FHLB common stock, which is considered restricted until redeemed by the issuer, was $218 million and $222 million at redemption value at December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Collectively Significant Equity Method Investments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holds investments in limited partnerships and LLCs consisting of leveraged buy-out funds, private equity funds, joint ventures and other funds. The portion of these investments accounted for under the equity method had a carrying value of $4.7 billion at December 31, 2025. The Company’s maximum exposure to loss related to these equity method investments is the carrying value of these investments plus unfunded commitments of $1.1 billion at December 31, 2025. The Company’s investments in limited partnerships and LLCs are generally of a passive nature in that the Company does not participate in the management of the entities.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described in Note 1, the Company generally records its share of earnings in its equity method investments using a three-month lag methodology and within net investment income. Aggregate net investment income from these equity method investments exceeded 10% of the Company’s consolidated pre-tax income (loss) for each of the years ended December 31, 2025, 2024 and 2023. This aggregated summarized financial data does not represent the Company’s proportionate share of the assets, liabilities or earnings of such entities.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aggregated summarized financial data presented below reflects the latest available financial information and is as of and for the years ended December 31, 2025, 2024 and 2023. Aggregate total assets of these entities totaled $822.2 billion and $903.8 billion at December 31, 2025 and 2024, respectively. Aggregate total liabilities of these entities totaled $76.2 billion and $78.5 billion at December 31, 2025 and 2024, respectively. Aggregate net income (loss) of these entities totaled $53.1 billion, $60.1 billion and $24.8 billion for the years ended December 31, 2025, 2024 and 2023, respectively. Aggregate net income (loss) from the underlying entities in which the Company invests is primarily comprised of investment income, including recurring investment income and realized and unrealized investment gains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199515"/>
                <wp:effectExtent l="0" t="0" r="0" b="0"/>
                <wp:wrapNone/>
                <wp:docPr id="119" name="Frame118"/>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8. Investments (continued)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Variable Interest Entities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variable interest entity (“VIE”) is a legal entity that does not have sufficient equity at risk to finance its activities or is structured such that equity investors lack the ability to make significant decisions relating to the entity’s operations through voting rights or do not substantively participate in the gains and losses of the entity.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enters into various arrangements with VIEs in the normal course of business and has invested in legal entities that are VIEs. VIEs are consolidated when it is determined that the Company is the primary beneficiary. A primary beneficiary is the variable interest holder in a VIE with both (i) the power to direct the activities of the VIE that most significantly impact the economic performance of the VIE and (ii) the obligation to absorb losses or the right to receive benefits that could potentially be significant to the VIE. In addition, the evaluation of whether a legal entity is a VIE and if the Company is a primary beneficiary includes a review of the capital structure of the VIE, the related contractual relationships and terms, the nature of the operations and purpose of the VIE, the nature of the VIE interests issued and the Company’s involvement with the entity.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material VIEs for which the Company has concluded that it is the primary beneficiary at either December 31, 2025 or 2024.</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carrying amount and maximum exposure to loss related to the VIEs for which the Company has concluded that it holds a variable interest, but is not the primary beneficiary, were as follows at:</w:t>
      </w:r>
    </w:p>
    <w:tbl>
      <w:tblPr>
        <w:tblW w:w="10205" w:type="dxa"/>
        <w:jc w:val="left"/>
        <w:tblInd w:w="0" w:type="dxa"/>
        <w:tblLayout w:type="fixed"/>
        <w:tblCellMar>
          <w:top w:w="28" w:type="dxa"/>
          <w:left w:w="28" w:type="dxa"/>
          <w:bottom w:w="28" w:type="dxa"/>
          <w:right w:w="28" w:type="dxa"/>
        </w:tblCellMar>
      </w:tblPr>
      <w:tblGrid>
        <w:gridCol w:w="828"/>
        <w:gridCol w:w="717"/>
        <w:gridCol w:w="723"/>
        <w:gridCol w:w="286"/>
        <w:gridCol w:w="944"/>
        <w:gridCol w:w="158"/>
        <w:gridCol w:w="109"/>
        <w:gridCol w:w="109"/>
        <w:gridCol w:w="109"/>
        <w:gridCol w:w="425"/>
        <w:gridCol w:w="1403"/>
        <w:gridCol w:w="236"/>
        <w:gridCol w:w="109"/>
        <w:gridCol w:w="109"/>
        <w:gridCol w:w="109"/>
        <w:gridCol w:w="286"/>
        <w:gridCol w:w="944"/>
        <w:gridCol w:w="158"/>
        <w:gridCol w:w="109"/>
        <w:gridCol w:w="109"/>
        <w:gridCol w:w="109"/>
        <w:gridCol w:w="415"/>
        <w:gridCol w:w="1369"/>
        <w:gridCol w:w="332"/>
      </w:tblGrid>
      <w:tr>
        <w:trPr/>
        <w:tc>
          <w:tcPr>
            <w:tcW w:w="828"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2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Maximum Exposure to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Maximum Exposure to Loss</w:t>
            </w:r>
          </w:p>
        </w:tc>
      </w:tr>
      <w:tr>
        <w:trPr/>
        <w:tc>
          <w:tcPr>
            <w:tcW w:w="2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7" w:type="dxa"/>
            <w:gridSpan w:val="21"/>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268"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6" w:type="dxa"/>
            <w:gridSpan w:val="3"/>
            <w:tcBorders/>
            <w:vAlign w:val="center"/>
          </w:tcPr>
          <w:p>
            <w:pPr>
              <w:pStyle w:val="TableContents"/>
              <w:bidi w:val="0"/>
              <w:spacing w:before="0" w:after="283"/>
              <w:jc w:val="left"/>
              <w:rPr>
                <w:sz w:val="4"/>
                <w:szCs w:val="4"/>
              </w:rPr>
            </w:pPr>
            <w:r>
              <w:rPr>
                <w:sz w:val="4"/>
                <w:szCs w:val="4"/>
              </w:rPr>
            </w:r>
          </w:p>
        </w:tc>
      </w:tr>
      <w:tr>
        <w:trPr/>
        <w:tc>
          <w:tcPr>
            <w:tcW w:w="2268"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Fixed maturity securities</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13,020 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403"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13,614 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14,248 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69"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15,330 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8"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6" w:type="dxa"/>
            <w:gridSpan w:val="3"/>
            <w:tcBorders/>
            <w:vAlign w:val="center"/>
          </w:tcPr>
          <w:p>
            <w:pPr>
              <w:pStyle w:val="TableContents"/>
              <w:bidi w:val="0"/>
              <w:spacing w:before="0" w:after="283"/>
              <w:jc w:val="left"/>
              <w:rPr>
                <w:sz w:val="4"/>
                <w:szCs w:val="4"/>
              </w:rPr>
            </w:pPr>
            <w:r>
              <w:rPr>
                <w:sz w:val="4"/>
                <w:szCs w:val="4"/>
              </w:rPr>
            </w:r>
          </w:p>
        </w:tc>
      </w:tr>
      <w:tr>
        <w:trPr/>
        <w:tc>
          <w:tcPr>
            <w:tcW w:w="2268"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Limited partnerships and LLCs</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4,275 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5,231 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4,223 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5,265 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8"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6" w:type="dxa"/>
            <w:gridSpan w:val="3"/>
            <w:tcBorders/>
            <w:vAlign w:val="center"/>
          </w:tcPr>
          <w:p>
            <w:pPr>
              <w:pStyle w:val="TableContents"/>
              <w:bidi w:val="0"/>
              <w:spacing w:before="0" w:after="283"/>
              <w:jc w:val="left"/>
              <w:rPr>
                <w:sz w:val="4"/>
                <w:szCs w:val="4"/>
              </w:rPr>
            </w:pPr>
            <w:r>
              <w:rPr>
                <w:sz w:val="4"/>
                <w:szCs w:val="4"/>
              </w:rPr>
            </w:r>
          </w:p>
        </w:tc>
      </w:tr>
      <w:tr>
        <w:trPr/>
        <w:tc>
          <w:tcPr>
            <w:tcW w:w="2268"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6" w:type="dxa"/>
            <w:gridSpan w:val="3"/>
            <w:tcBorders/>
            <w:vAlign w:val="center"/>
          </w:tcPr>
          <w:p>
            <w:pPr>
              <w:pStyle w:val="TableContents"/>
              <w:bidi w:val="0"/>
              <w:spacing w:before="0" w:after="283"/>
              <w:jc w:val="left"/>
              <w:rPr>
                <w:sz w:val="4"/>
                <w:szCs w:val="4"/>
              </w:rPr>
            </w:pPr>
            <w:r>
              <w:rPr>
                <w:sz w:val="4"/>
                <w:szCs w:val="4"/>
              </w:rPr>
            </w:r>
          </w:p>
        </w:tc>
      </w:tr>
      <w:tr>
        <w:trPr/>
        <w:tc>
          <w:tcPr>
            <w:tcW w:w="2268"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17,295 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18,845 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18,471 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20,595 </w:t>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investments in unconsolidated VIEs are described below.</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Fixed Maturity Securities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invests in U.S. corporate bonds, foreign corporate bonds and Structured Securities issued by VIEs. The Company is not obligated to provide any financial or other support to these VIEs, other than the original investment. The Company’s involvement with these entities is limited to that of a passive investor. The Company has no unilateral right to appoint or remove the servicer, special servicer, or investment manager, which are generally viewed as having the power to direct the activities that most significantly impact the economic performance of the VIE, nor does the Company function in any of these roles. The Company does not have the obligation to absorb losses or the right to receive benefits from the entity that could potentially be significant to the entity; as a result, the Company has determined it is not the primary beneficiary, or consolidator, of the VIE. The Company’s maximum exposure to loss on these fixed maturity securities is limited to the amortized cost of these investments. See “— Fixed Maturity Securities Available-For-Sale” for information on these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Limited Partnerships and LLCs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holds investments in certain limited partnerships and LLCs which are VIEs. These ventures include limited partnerships, LLCs, private equity funds, and, to a lesser extent, tax credit and renewable energy partnerships. The Company is not considered the primary beneficiary, or consolidator, when its involvement takes the form of a limited partner interest and is restricted to a role of a passive investor, as a limited partner’s interest does not provide the Company with any substantive kick-out or participating rights, nor does it provide the Company with the power to direct the activities of the fund. The Company’s maximum exposure to loss on these investments is limited to: (i) the amount invested in debt or equity of the VIE and (ii) commitments to the VIE, as described in Note 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199515"/>
                <wp:effectExtent l="0" t="0" r="0" b="0"/>
                <wp:wrapNone/>
                <wp:docPr id="120" name="Frame119"/>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8. Investments (continued)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Net Investment Income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net investment income were as follows:</w:t>
      </w:r>
    </w:p>
    <w:tbl>
      <w:tblPr>
        <w:tblW w:w="6972" w:type="dxa"/>
        <w:jc w:val="left"/>
        <w:tblInd w:w="0" w:type="dxa"/>
        <w:tblLayout w:type="fixed"/>
        <w:tblCellMar>
          <w:top w:w="28" w:type="dxa"/>
          <w:left w:w="28" w:type="dxa"/>
          <w:bottom w:w="28" w:type="dxa"/>
          <w:right w:w="28" w:type="dxa"/>
        </w:tblCellMar>
      </w:tblPr>
      <w:tblGrid>
        <w:gridCol w:w="1335"/>
        <w:gridCol w:w="1176"/>
        <w:gridCol w:w="1179"/>
        <w:gridCol w:w="196"/>
        <w:gridCol w:w="556"/>
        <w:gridCol w:w="109"/>
        <w:gridCol w:w="109"/>
        <w:gridCol w:w="109"/>
        <w:gridCol w:w="109"/>
        <w:gridCol w:w="196"/>
        <w:gridCol w:w="556"/>
        <w:gridCol w:w="109"/>
        <w:gridCol w:w="109"/>
        <w:gridCol w:w="109"/>
        <w:gridCol w:w="109"/>
        <w:gridCol w:w="196"/>
        <w:gridCol w:w="556"/>
        <w:gridCol w:w="154"/>
      </w:tblGrid>
      <w:tr>
        <w:trPr/>
        <w:tc>
          <w:tcPr>
            <w:tcW w:w="1335"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Investment income:</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Fixed maturity securities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3,481 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Trading securities (1)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Mortgage loans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Policy loans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Limited partnerships and LLCs (2)</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short-term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 investment income</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5,474 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5,445 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4,917 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Less: Investment expenses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Net investment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5,139 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5,100 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4,560 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(1)Investment gains (losses) were less than ($1) million related to trading securities still held for the year ended December 31, 2025. There were no investment gains (losses) related to trading securities still held for the years ended December 31, 2024 and 2023.</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(2)Includes net investment income pertaining to other limited partnership interests of $332 million, $367 million and $186 million for the years ended December 31, 2025, 2024 and 2023, respectively.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Net Investment Gains (Losses)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Components of Net Investment Gains (Losses)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net investment gains (losses) were as follows:</w:t>
      </w:r>
    </w:p>
    <w:tbl>
      <w:tblPr>
        <w:tblW w:w="5921" w:type="dxa"/>
        <w:jc w:val="left"/>
        <w:tblInd w:w="0" w:type="dxa"/>
        <w:tblLayout w:type="fixed"/>
        <w:tblCellMar>
          <w:top w:w="28" w:type="dxa"/>
          <w:left w:w="28" w:type="dxa"/>
          <w:bottom w:w="28" w:type="dxa"/>
          <w:right w:w="28" w:type="dxa"/>
        </w:tblCellMar>
      </w:tblPr>
      <w:tblGrid>
        <w:gridCol w:w="1020"/>
        <w:gridCol w:w="898"/>
        <w:gridCol w:w="901"/>
        <w:gridCol w:w="196"/>
        <w:gridCol w:w="496"/>
        <w:gridCol w:w="109"/>
        <w:gridCol w:w="109"/>
        <w:gridCol w:w="109"/>
        <w:gridCol w:w="109"/>
        <w:gridCol w:w="196"/>
        <w:gridCol w:w="496"/>
        <w:gridCol w:w="109"/>
        <w:gridCol w:w="109"/>
        <w:gridCol w:w="109"/>
        <w:gridCol w:w="109"/>
        <w:gridCol w:w="196"/>
        <w:gridCol w:w="496"/>
        <w:gridCol w:w="154"/>
      </w:tblGrid>
      <w:tr>
        <w:trPr/>
        <w:tc>
          <w:tcPr>
            <w:tcW w:w="1020"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15"/>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15"/>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Fixed maturity securities </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Mortgage loans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Limited partnerships and LLCs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Other (1)</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 net investment gains (losses) (2)</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(298)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(242)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 July 2025, the Company sold a subsidiary which owned certain mineral rights across the U.S. and recognized a gain of $66 million for the year ended December 31, 2025.</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(2)Gains (losses) from foreign currency transactions included within net investment gains (losses) were not significant for the year ended December 31, 2025 and were ($1) million for both years ended December 31, 2024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199515"/>
                <wp:effectExtent l="0" t="0" r="0" b="0"/>
                <wp:wrapNone/>
                <wp:docPr id="121" name="Frame120"/>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8. Investments (continued)</w:t>
      </w:r>
    </w:p>
    <w:p>
      <w:pPr>
        <w:pStyle w:val="TextBody"/>
        <w:bidi w:val="0"/>
        <w:spacing w:lineRule="auto" w:line="288" w:before="180" w:after="283"/>
        <w:jc w:val="both"/>
        <w:rPr>
          <w:rFonts w:ascii="Times New Roman;serif" w:hAnsi="Times New Roman;serif"/>
          <w:b/>
          <w:i/>
          <w:color w:val="000000"/>
          <w:sz w:val="20"/>
          <w:u w:val="single"/>
        </w:rPr>
      </w:pPr>
      <w:r>
        <w:rPr>
          <w:rFonts w:ascii="Times New Roman;serif" w:hAnsi="Times New Roman;serif"/>
          <w:b/>
          <w:i/>
          <w:color w:val="000000"/>
          <w:sz w:val="20"/>
          <w:u w:val="single"/>
        </w:rPr>
        <w:t>Sales or Disposals of Fixed Maturity Securities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Investment gains and losses on sales of securities are determined on a specific identification basis. Proceeds from sales or disposals of fixed maturity securities and the components of fixed maturity securities net investment gains (losses) were as follows:</w:t>
      </w:r>
    </w:p>
    <w:tbl>
      <w:tblPr>
        <w:tblW w:w="5486" w:type="dxa"/>
        <w:jc w:val="left"/>
        <w:tblInd w:w="0" w:type="dxa"/>
        <w:tblLayout w:type="fixed"/>
        <w:tblCellMar>
          <w:top w:w="28" w:type="dxa"/>
          <w:left w:w="28" w:type="dxa"/>
          <w:bottom w:w="28" w:type="dxa"/>
          <w:right w:w="28" w:type="dxa"/>
        </w:tblCellMar>
      </w:tblPr>
      <w:tblGrid>
        <w:gridCol w:w="797"/>
        <w:gridCol w:w="701"/>
        <w:gridCol w:w="706"/>
        <w:gridCol w:w="196"/>
        <w:gridCol w:w="556"/>
        <w:gridCol w:w="109"/>
        <w:gridCol w:w="109"/>
        <w:gridCol w:w="109"/>
        <w:gridCol w:w="109"/>
        <w:gridCol w:w="196"/>
        <w:gridCol w:w="556"/>
        <w:gridCol w:w="109"/>
        <w:gridCol w:w="109"/>
        <w:gridCol w:w="109"/>
        <w:gridCol w:w="109"/>
        <w:gridCol w:w="196"/>
        <w:gridCol w:w="556"/>
        <w:gridCol w:w="154"/>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Proceeds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2,223 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Gross investment gains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Gross investment losses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Net investment gains (losses)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(191)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9. Derivatives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Accounting for Derivatives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1 for a description of the Company’s accounting policies for derivatives and Note 10 for information about the fair value hierarchy for derivatives and the related valuation methodologies.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Derivative Strategies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maintains an overall risk management strategy that incorporates the use of derivative instruments to minimize its exposure to various market risks, including interest rate, foreign currency exchange rate, credit and equity market. The Company has historically managed the risks related to its variable annuity and first generation Shield Annuity contracts on a combined basis. In the third quarter of 2025, the Company completed an initiative that established a standalone hedging program for each product allowing the Company to separately manage the risks related to these two products.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Derivatives are financial instruments with values derived from interest rates, foreign currency exchange rates, credit spreads and/or other financial indices. Derivatives may be exchange-traded or contracted in the over-the-counter (“OTC”) market. Certain of the Company’s OTC derivatives are cleared and settled through central clearing counterparties (“OTC-cleared”), while others are bilateral contracts between two counterparties (“OTC-bilateral”).</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Interest Rate Derivatives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uses derivatives to manage its exposure to changes in interest rate risk from its product liabilities and invested assets. The most significant types of derivative instruments used for hedging interest rate risk are as follows: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rate swaps: The Company uses interest rate swaps to manage interest rate risk in both qualified cash flow and non-qualifying hedging relationships. In an interest rate swap, the Company agrees with another party to exchange, at specified intervals, the difference between fixed rate and floating rate interest amounts as calculated by reference to an agreed notional amount.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rate swaptions: The Company uses interest rate swaptions to manage interest rate risk in non-qualifying hedging relationships. A swaption is an option to enter into a swap with a forward starting effective date. The Company pays a premium for purchased swaptions and receives a premium for written swaptions. Interest rate swaptions are included in interest rate options.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rate forwards: The Company uses interest rate forwards to manage interest rate risk in both qualified cash flow and non-qualifying hedging relationships. An interest rate forward is an agreement between parties to exchange a future settlement amount based on a predetermined notional amount and forward interest rate.</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Foreign Currency Exchange Rate Derivatives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Foreign currency swaps: The Company uses foreign currency swaps to convert foreign currency denominated cash flows to U.S. dollars to reduce cash flow fluctuations due to changes in currency exchange rates. Foreign currency swaps are used in cash flow and non-qualifying hedging relationships.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199515"/>
                <wp:effectExtent l="0" t="0" r="0" b="0"/>
                <wp:wrapNone/>
                <wp:docPr id="122" name="Frame121"/>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9. Derivatives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Foreign currency forwards: The Company uses foreign currency forwards to hedge currency exposure on its invested assets. Foreign currency forwards are used in non-qualifying hedging relationships.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Credit Derivatives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Credit default swaps: The Company uses credit default swaps to create synthetic credit investments to replicate credit exposure that is more economically attractive than what is available in the market or otherwise unavailable (written credit protection). Credit default swaps are used in non-qualifying hedging relationships.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Credit default swaptions: The Company uses credit default swaptions to synthetically create investments that are either more expensive to acquire or otherwise unavailable in the cash markets. Swaptions are used to create callable bonds from replication synthetic asset transaction (“RSAT”) positions. This enhances the income of the RSAT program through earned premiums while not changing the credit profile of the RSATs. Credit default swaptions are used in non-qualifying hedging relationships.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Equity Market Derivatives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uses derivatives to manage its exposure to equity markets from its product liabilities. The most significant types of derivative instruments used for hedging equity market risk are as follows: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Equity total return swaps: The Company uses equity total return swaps in non-qualifying hedge relationships to manage equity risks related to variable and index-linked annuities. Total return swaps are swaps whereby the Company agrees with another party to exchange, at specified intervals, the difference between the economic risk and reward of an asset or a market index and a floating rate, calculated by reference to an agreed notional amount.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Equity index options: The Company uses equity index options to manage equity risks related to variable and index-linked annuities in non-qualifying hedging relationships. In an equity index option transaction, the Company enters into contracts to buy or sell the equity index within a limited time at a contracted price. In certain instances, the Company may enter into a combination of transactions to hedge adverse changes in equity indices within a pre-determined range through the purchase and sale of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199515"/>
                <wp:effectExtent l="0" t="0" r="0" b="0"/>
                <wp:wrapNone/>
                <wp:docPr id="123" name="Frame122"/>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9. Derivatives (continued)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Primary Risks Managed by Derivatives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primary underlying risk exposure, gross notional amount and estimated fair value of derivatives, excluding embedded derivatives, held were as follows at:</w:t>
      </w:r>
    </w:p>
    <w:tbl>
      <w:tblPr>
        <w:tblW w:w="10550" w:type="dxa"/>
        <w:jc w:val="left"/>
        <w:tblInd w:w="0" w:type="dxa"/>
        <w:tblLayout w:type="fixed"/>
        <w:tblCellMar>
          <w:top w:w="28" w:type="dxa"/>
          <w:left w:w="28" w:type="dxa"/>
          <w:bottom w:w="28" w:type="dxa"/>
          <w:right w:w="28" w:type="dxa"/>
        </w:tblCellMar>
      </w:tblPr>
      <w:tblGrid>
        <w:gridCol w:w="427"/>
        <w:gridCol w:w="191"/>
        <w:gridCol w:w="193"/>
        <w:gridCol w:w="735"/>
        <w:gridCol w:w="735"/>
        <w:gridCol w:w="736"/>
        <w:gridCol w:w="109"/>
        <w:gridCol w:w="109"/>
        <w:gridCol w:w="109"/>
        <w:gridCol w:w="196"/>
        <w:gridCol w:w="736"/>
        <w:gridCol w:w="109"/>
        <w:gridCol w:w="109"/>
        <w:gridCol w:w="109"/>
        <w:gridCol w:w="109"/>
        <w:gridCol w:w="196"/>
        <w:gridCol w:w="556"/>
        <w:gridCol w:w="109"/>
        <w:gridCol w:w="109"/>
        <w:gridCol w:w="109"/>
        <w:gridCol w:w="109"/>
        <w:gridCol w:w="196"/>
        <w:gridCol w:w="556"/>
        <w:gridCol w:w="109"/>
        <w:gridCol w:w="109"/>
        <w:gridCol w:w="109"/>
        <w:gridCol w:w="109"/>
        <w:gridCol w:w="196"/>
        <w:gridCol w:w="736"/>
        <w:gridCol w:w="109"/>
        <w:gridCol w:w="109"/>
        <w:gridCol w:w="109"/>
        <w:gridCol w:w="109"/>
        <w:gridCol w:w="196"/>
        <w:gridCol w:w="556"/>
        <w:gridCol w:w="109"/>
        <w:gridCol w:w="109"/>
        <w:gridCol w:w="109"/>
        <w:gridCol w:w="109"/>
        <w:gridCol w:w="196"/>
        <w:gridCol w:w="556"/>
        <w:gridCol w:w="154"/>
      </w:tblGrid>
      <w:tr>
        <w:trPr/>
        <w:tc>
          <w:tcPr>
            <w:tcW w:w="4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December 31,</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2024</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vMerge w:val="restart"/>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Primary Underlying Risk Exposure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Gross 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Gross 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Estimated Fair Value</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Liabilities</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6" w:type="dxa"/>
            <w:gridSpan w:val="3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(In millions)</w:t>
            </w:r>
          </w:p>
        </w:tc>
      </w:tr>
      <w:tr>
        <w:trPr/>
        <w:tc>
          <w:tcPr>
            <w:tcW w:w="3017" w:type="dxa"/>
            <w:gridSpan w:val="6"/>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6"/>
              </w:rPr>
            </w:pPr>
            <w:r>
              <w:rPr>
                <w:rFonts w:ascii="Times New Roman;serif" w:hAnsi="Times New Roman;serif"/>
                <w:b/>
                <w:color w:val="000000"/>
                <w:sz w:val="16"/>
              </w:rPr>
              <w:t>Derivatives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2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2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Cash flow hedges:</w:t>
            </w:r>
          </w:p>
        </w:tc>
        <w:tc>
          <w:tcPr>
            <w:tcW w:w="2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swaps</w:t>
            </w:r>
          </w:p>
        </w:tc>
        <w:tc>
          <w:tcPr>
            <w:tcW w:w="220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2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swaps</w:t>
            </w:r>
          </w:p>
        </w:tc>
        <w:tc>
          <w:tcPr>
            <w:tcW w:w="220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exchange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6"/>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Total qualifying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6"/>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6"/>
              </w:rPr>
            </w:pPr>
            <w:r>
              <w:rPr>
                <w:rFonts w:ascii="Times New Roman;serif" w:hAnsi="Times New Roman;serif"/>
                <w:b/>
                <w:color w:val="000000"/>
                <w:sz w:val="16"/>
              </w:rPr>
              <w:t>Derivatives Not Designated or Not Qualifying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swaps</w:t>
            </w:r>
          </w:p>
        </w:tc>
        <w:tc>
          <w:tcPr>
            <w:tcW w:w="220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18,366 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69,303 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 floors</w:t>
            </w:r>
          </w:p>
        </w:tc>
        <w:tc>
          <w:tcPr>
            <w:tcW w:w="220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 caps</w:t>
            </w:r>
          </w:p>
        </w:tc>
        <w:tc>
          <w:tcPr>
            <w:tcW w:w="220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 futures</w:t>
            </w:r>
          </w:p>
        </w:tc>
        <w:tc>
          <w:tcPr>
            <w:tcW w:w="220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 options</w:t>
            </w:r>
          </w:p>
        </w:tc>
        <w:tc>
          <w:tcPr>
            <w:tcW w:w="220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26,800 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23,060 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 forwards</w:t>
            </w:r>
          </w:p>
        </w:tc>
        <w:tc>
          <w:tcPr>
            <w:tcW w:w="220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23,598 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16,352 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1,876 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swaps</w:t>
            </w:r>
          </w:p>
        </w:tc>
        <w:tc>
          <w:tcPr>
            <w:tcW w:w="220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exchange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forwards</w:t>
            </w:r>
          </w:p>
        </w:tc>
        <w:tc>
          <w:tcPr>
            <w:tcW w:w="220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exchange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2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Credit default swaps — written</w:t>
            </w:r>
          </w:p>
        </w:tc>
        <w:tc>
          <w:tcPr>
            <w:tcW w:w="220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Equity futures</w:t>
            </w:r>
          </w:p>
        </w:tc>
        <w:tc>
          <w:tcPr>
            <w:tcW w:w="220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Equity market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2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Equity index options</w:t>
            </w:r>
          </w:p>
        </w:tc>
        <w:tc>
          <w:tcPr>
            <w:tcW w:w="220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Equity 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69,495 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39,897 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2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Equity total return swaps</w:t>
            </w:r>
          </w:p>
        </w:tc>
        <w:tc>
          <w:tcPr>
            <w:tcW w:w="220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Equity market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145,209 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106,301 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1,446 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2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017" w:type="dxa"/>
            <w:gridSpan w:val="6"/>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Total non-designated or non-qualifying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300,340 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273,008 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5,223 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6"/>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304,571 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6,771 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5,234 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277,286 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4,118 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5,248 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199515"/>
                <wp:effectExtent l="0" t="0" r="0" b="0"/>
                <wp:wrapNone/>
                <wp:docPr id="124" name="Frame123"/>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9. Derivatives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amount and location of gains (losses), including earned income, recognized for derivatives and gains (losses) pertaining to hedged items reported in net derivative gains (losses) were as follows:</w:t>
      </w:r>
    </w:p>
    <w:tbl>
      <w:tblPr>
        <w:tblW w:w="10205" w:type="dxa"/>
        <w:jc w:val="left"/>
        <w:tblInd w:w="0" w:type="dxa"/>
        <w:tblLayout w:type="fixed"/>
        <w:tblCellMar>
          <w:top w:w="28" w:type="dxa"/>
          <w:left w:w="28" w:type="dxa"/>
          <w:bottom w:w="28" w:type="dxa"/>
          <w:right w:w="28" w:type="dxa"/>
        </w:tblCellMar>
      </w:tblPr>
      <w:tblGrid>
        <w:gridCol w:w="785"/>
        <w:gridCol w:w="627"/>
        <w:gridCol w:w="631"/>
        <w:gridCol w:w="334"/>
        <w:gridCol w:w="1072"/>
        <w:gridCol w:w="185"/>
        <w:gridCol w:w="109"/>
        <w:gridCol w:w="109"/>
        <w:gridCol w:w="109"/>
        <w:gridCol w:w="434"/>
        <w:gridCol w:w="899"/>
        <w:gridCol w:w="242"/>
        <w:gridCol w:w="109"/>
        <w:gridCol w:w="109"/>
        <w:gridCol w:w="109"/>
        <w:gridCol w:w="330"/>
        <w:gridCol w:w="557"/>
        <w:gridCol w:w="185"/>
        <w:gridCol w:w="109"/>
        <w:gridCol w:w="109"/>
        <w:gridCol w:w="109"/>
        <w:gridCol w:w="470"/>
        <w:gridCol w:w="578"/>
        <w:gridCol w:w="263"/>
        <w:gridCol w:w="109"/>
        <w:gridCol w:w="109"/>
        <w:gridCol w:w="109"/>
        <w:gridCol w:w="311"/>
        <w:gridCol w:w="740"/>
        <w:gridCol w:w="254"/>
      </w:tblGrid>
      <w:tr>
        <w:trPr/>
        <w:tc>
          <w:tcPr>
            <w:tcW w:w="78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2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2" w:type="dxa"/>
            <w:gridSpan w:val="27"/>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r>
      <w:tr>
        <w:trPr/>
        <w:tc>
          <w:tcPr>
            <w:tcW w:w="2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Net Derivative Gains (Losses) Recognized for 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Net Derivative Gains (Losses) Recognized for Hedged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Net Investment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Policyholder Benefits and Claims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Amount of Gains (Losses) Deferred in AOCI</w:t>
            </w:r>
          </w:p>
        </w:tc>
      </w:tr>
      <w:tr>
        <w:trPr/>
        <w:tc>
          <w:tcPr>
            <w:tcW w:w="2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2" w:type="dxa"/>
            <w:gridSpan w:val="27"/>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Derivatives Designated as Hedging Instruments: </w:t>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043"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043"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043"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Cash flow hedges:</w:t>
            </w:r>
          </w:p>
        </w:tc>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Interest rate</w:t>
            </w:r>
          </w:p>
        </w:tc>
        <w:tc>
          <w:tcPr>
            <w:tcW w:w="33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exchange rate</w:t>
            </w:r>
          </w:p>
        </w:tc>
        <w:tc>
          <w:tcPr>
            <w:tcW w:w="1406"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(223)</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 cash flow hedges</w:t>
            </w:r>
          </w:p>
        </w:tc>
        <w:tc>
          <w:tcPr>
            <w:tcW w:w="1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(235)</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43" w:type="dxa"/>
            <w:gridSpan w:val="3"/>
            <w:tcBorders/>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color w:val="000000"/>
                <w:sz w:val="18"/>
              </w:rPr>
            </w:pPr>
            <w:r>
              <w:rPr>
                <w:rFonts w:ascii="Times New Roman;serif" w:hAnsi="Times New Roman;serif"/>
                <w:b/>
                <w:color w:val="000000"/>
                <w:sz w:val="18"/>
              </w:rPr>
              <w:t>Derivatives Not Designated or Not Qualifying as Hedging Instruments:</w:t>
            </w:r>
          </w:p>
        </w:tc>
        <w:tc>
          <w:tcPr>
            <w:tcW w:w="1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Interest rate</w:t>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(181)</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exchange rate</w:t>
            </w:r>
          </w:p>
        </w:tc>
        <w:tc>
          <w:tcPr>
            <w:tcW w:w="1406" w:type="dxa"/>
            <w:gridSpan w:val="2"/>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Credit</w:t>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Equity market</w:t>
            </w:r>
          </w:p>
        </w:tc>
        <w:tc>
          <w:tcPr>
            <w:tcW w:w="1406" w:type="dxa"/>
            <w:gridSpan w:val="2"/>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1,515 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Embedded</w:t>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(3,088)</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 non-qualifying hedges</w:t>
            </w:r>
          </w:p>
        </w:tc>
        <w:tc>
          <w:tcPr>
            <w:tcW w:w="1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(1,803)</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(1,800)</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(235)</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86"/>
        <w:gridCol w:w="628"/>
        <w:gridCol w:w="632"/>
        <w:gridCol w:w="334"/>
        <w:gridCol w:w="1073"/>
        <w:gridCol w:w="186"/>
        <w:gridCol w:w="109"/>
        <w:gridCol w:w="109"/>
        <w:gridCol w:w="109"/>
        <w:gridCol w:w="435"/>
        <w:gridCol w:w="901"/>
        <w:gridCol w:w="242"/>
        <w:gridCol w:w="109"/>
        <w:gridCol w:w="109"/>
        <w:gridCol w:w="109"/>
        <w:gridCol w:w="330"/>
        <w:gridCol w:w="557"/>
        <w:gridCol w:w="185"/>
        <w:gridCol w:w="109"/>
        <w:gridCol w:w="109"/>
        <w:gridCol w:w="109"/>
        <w:gridCol w:w="470"/>
        <w:gridCol w:w="579"/>
        <w:gridCol w:w="263"/>
        <w:gridCol w:w="109"/>
        <w:gridCol w:w="109"/>
        <w:gridCol w:w="109"/>
        <w:gridCol w:w="327"/>
        <w:gridCol w:w="702"/>
        <w:gridCol w:w="267"/>
      </w:tblGrid>
      <w:tr>
        <w:trPr/>
        <w:tc>
          <w:tcPr>
            <w:tcW w:w="78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2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27"/>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Year Ended December 31, 2024</w:t>
            </w:r>
          </w:p>
        </w:tc>
      </w:tr>
      <w:tr>
        <w:trPr/>
        <w:tc>
          <w:tcPr>
            <w:tcW w:w="2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Net Derivative Gains (Losses) Recognized for 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Net Derivative Gains (Losses) Recognized for Hedged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Net Investment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Policyholder Benefits and Claims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Amount of Gains (Losses) Deferred in AOCI</w:t>
            </w:r>
          </w:p>
        </w:tc>
      </w:tr>
      <w:tr>
        <w:trPr/>
        <w:tc>
          <w:tcPr>
            <w:tcW w:w="2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27"/>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Derivatives Designated as Hedging Instruments: </w:t>
            </w:r>
          </w:p>
        </w:tc>
        <w:tc>
          <w:tcPr>
            <w:tcW w:w="1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2046"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2046"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Cash flow hedges:</w:t>
            </w:r>
          </w:p>
        </w:tc>
        <w:tc>
          <w:tcPr>
            <w:tcW w:w="1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Interest rate</w:t>
            </w:r>
          </w:p>
        </w:tc>
        <w:tc>
          <w:tcPr>
            <w:tcW w:w="33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73"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exchange rate</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 cash flow hedges</w:t>
            </w:r>
          </w:p>
        </w:tc>
        <w:tc>
          <w:tcPr>
            <w:tcW w:w="14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color w:val="000000"/>
                <w:sz w:val="18"/>
              </w:rPr>
            </w:pPr>
            <w:r>
              <w:rPr>
                <w:rFonts w:ascii="Times New Roman;serif" w:hAnsi="Times New Roman;serif"/>
                <w:b/>
                <w:color w:val="000000"/>
                <w:sz w:val="18"/>
              </w:rPr>
              <w:t>Derivatives Not Designated or Not Qualifying as Hedging Instruments:</w:t>
            </w:r>
          </w:p>
        </w:tc>
        <w:tc>
          <w:tcPr>
            <w:tcW w:w="15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Interest rate</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(1,690)</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exchange rate</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Credit</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Equity market</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1,894 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Embedded</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(3,950)</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 non-qualifying hedges</w:t>
            </w:r>
          </w:p>
        </w:tc>
        <w:tc>
          <w:tcPr>
            <w:tcW w:w="14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(3,684)</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(3,669)</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199515"/>
                <wp:effectExtent l="0" t="0" r="0" b="0"/>
                <wp:wrapNone/>
                <wp:docPr id="125" name="Frame124"/>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9. Derivatives (continued)</w:t>
      </w:r>
    </w:p>
    <w:tbl>
      <w:tblPr>
        <w:tblW w:w="10205" w:type="dxa"/>
        <w:jc w:val="left"/>
        <w:tblInd w:w="0" w:type="dxa"/>
        <w:tblLayout w:type="fixed"/>
        <w:tblCellMar>
          <w:top w:w="28" w:type="dxa"/>
          <w:left w:w="28" w:type="dxa"/>
          <w:bottom w:w="28" w:type="dxa"/>
          <w:right w:w="28" w:type="dxa"/>
        </w:tblCellMar>
      </w:tblPr>
      <w:tblGrid>
        <w:gridCol w:w="785"/>
        <w:gridCol w:w="627"/>
        <w:gridCol w:w="631"/>
        <w:gridCol w:w="334"/>
        <w:gridCol w:w="1072"/>
        <w:gridCol w:w="185"/>
        <w:gridCol w:w="109"/>
        <w:gridCol w:w="109"/>
        <w:gridCol w:w="109"/>
        <w:gridCol w:w="434"/>
        <w:gridCol w:w="899"/>
        <w:gridCol w:w="242"/>
        <w:gridCol w:w="109"/>
        <w:gridCol w:w="109"/>
        <w:gridCol w:w="109"/>
        <w:gridCol w:w="330"/>
        <w:gridCol w:w="557"/>
        <w:gridCol w:w="185"/>
        <w:gridCol w:w="109"/>
        <w:gridCol w:w="109"/>
        <w:gridCol w:w="109"/>
        <w:gridCol w:w="361"/>
        <w:gridCol w:w="749"/>
        <w:gridCol w:w="201"/>
        <w:gridCol w:w="109"/>
        <w:gridCol w:w="109"/>
        <w:gridCol w:w="109"/>
        <w:gridCol w:w="311"/>
        <w:gridCol w:w="740"/>
        <w:gridCol w:w="254"/>
      </w:tblGrid>
      <w:tr>
        <w:trPr/>
        <w:tc>
          <w:tcPr>
            <w:tcW w:w="78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2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2" w:type="dxa"/>
            <w:gridSpan w:val="27"/>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Year Ended December 31, 2023</w:t>
            </w:r>
          </w:p>
        </w:tc>
      </w:tr>
      <w:tr>
        <w:trPr/>
        <w:tc>
          <w:tcPr>
            <w:tcW w:w="2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Net Derivative Gains (Losses) Recognized for 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Net Derivative Gains (Losses) Recognized for Hedged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Net Investment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Policyholder Benefits and Claims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Amount of Gains (Losses) Deferred in AOCI</w:t>
            </w:r>
          </w:p>
        </w:tc>
      </w:tr>
      <w:tr>
        <w:trPr/>
        <w:tc>
          <w:tcPr>
            <w:tcW w:w="2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2" w:type="dxa"/>
            <w:gridSpan w:val="27"/>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Derivatives Designated as Hedging Instruments: </w:t>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Cash flow hedges:</w:t>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Interest rate</w:t>
            </w:r>
          </w:p>
        </w:tc>
        <w:tc>
          <w:tcPr>
            <w:tcW w:w="33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exchange rate</w:t>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(272)</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 cash flow hedges</w:t>
            </w:r>
          </w:p>
        </w:tc>
        <w:tc>
          <w:tcPr>
            <w:tcW w:w="1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(273)</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4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color w:val="000000"/>
                <w:sz w:val="18"/>
              </w:rPr>
            </w:pPr>
            <w:r>
              <w:rPr>
                <w:rFonts w:ascii="Times New Roman;serif" w:hAnsi="Times New Roman;serif"/>
                <w:b/>
                <w:color w:val="000000"/>
                <w:sz w:val="18"/>
              </w:rPr>
              <w:t>Derivatives Not Designated or Not Qualifying as Hedging Instruments:</w:t>
            </w:r>
          </w:p>
        </w:tc>
        <w:tc>
          <w:tcPr>
            <w:tcW w:w="15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Interest rate</w:t>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(384)</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exchange rate</w:t>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Credit</w:t>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Equity market</w:t>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570 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Embedded</w:t>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(4,100)</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 non-qualifying hedges</w:t>
            </w:r>
          </w:p>
        </w:tc>
        <w:tc>
          <w:tcPr>
            <w:tcW w:w="1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(3,922)</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(3,914)</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color w:val="000000"/>
              </w:rPr>
            </w:pPr>
            <w:r>
              <w:rPr>
                <w:color w:val="000000"/>
              </w:rPr>
              <w:t>—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(273)</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December 31, 2025 and 2024, the Company held no qualified derivatives hedging exposure to future cash flows for forecasted asset purchases.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December 31, 2025 and 2024, the balance in AOCI associated with cash flow hedges was $219 million and $460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199515"/>
                <wp:effectExtent l="0" t="0" r="0" b="0"/>
                <wp:wrapNone/>
                <wp:docPr id="126" name="Frame125"/>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9. Derivatives (continued)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Credit Derivatives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synthetically created credit investment transactions, the Company writes credit default swaps for which it receives a premium to insure credit risk. If a credit event occurs, as defined by the contract, the contract may be cash settled or it may be settled gross by the Company paying the counterparty the specified swap notional amount in exchange for the delivery of par quantities of the referenced credit obligation.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estimated fair value, maximum amount of future payments and weighted average years to maturity of written credit default swaps were as follows at:</w:t>
      </w:r>
    </w:p>
    <w:tbl>
      <w:tblPr>
        <w:tblW w:w="10205" w:type="dxa"/>
        <w:jc w:val="left"/>
        <w:tblInd w:w="0" w:type="dxa"/>
        <w:tblLayout w:type="fixed"/>
        <w:tblCellMar>
          <w:top w:w="28" w:type="dxa"/>
          <w:left w:w="28" w:type="dxa"/>
          <w:bottom w:w="28" w:type="dxa"/>
          <w:right w:w="28" w:type="dxa"/>
        </w:tblCellMar>
      </w:tblPr>
      <w:tblGrid>
        <w:gridCol w:w="426"/>
        <w:gridCol w:w="375"/>
        <w:gridCol w:w="376"/>
        <w:gridCol w:w="109"/>
        <w:gridCol w:w="109"/>
        <w:gridCol w:w="109"/>
        <w:gridCol w:w="296"/>
        <w:gridCol w:w="500"/>
        <w:gridCol w:w="166"/>
        <w:gridCol w:w="109"/>
        <w:gridCol w:w="109"/>
        <w:gridCol w:w="109"/>
        <w:gridCol w:w="397"/>
        <w:gridCol w:w="853"/>
        <w:gridCol w:w="222"/>
        <w:gridCol w:w="109"/>
        <w:gridCol w:w="109"/>
        <w:gridCol w:w="109"/>
        <w:gridCol w:w="357"/>
        <w:gridCol w:w="357"/>
        <w:gridCol w:w="358"/>
        <w:gridCol w:w="109"/>
        <w:gridCol w:w="109"/>
        <w:gridCol w:w="109"/>
        <w:gridCol w:w="296"/>
        <w:gridCol w:w="500"/>
        <w:gridCol w:w="166"/>
        <w:gridCol w:w="109"/>
        <w:gridCol w:w="109"/>
        <w:gridCol w:w="109"/>
        <w:gridCol w:w="397"/>
        <w:gridCol w:w="853"/>
        <w:gridCol w:w="222"/>
        <w:gridCol w:w="109"/>
        <w:gridCol w:w="109"/>
        <w:gridCol w:w="109"/>
        <w:gridCol w:w="326"/>
        <w:gridCol w:w="326"/>
        <w:gridCol w:w="474"/>
      </w:tblGrid>
      <w:tr>
        <w:trPr/>
        <w:tc>
          <w:tcPr>
            <w:tcW w:w="42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177"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6"/>
              </w:rPr>
            </w:pPr>
            <w:r>
              <w:rPr>
                <w:rFonts w:ascii="Times New Roman;serif" w:hAnsi="Times New Roman;serif"/>
                <w:b/>
                <w:color w:val="000000"/>
                <w:sz w:val="16"/>
              </w:rPr>
              <w:t>Rating Agency Designation of Referenced Credit Obligations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Estimated Fair Value of Credit Default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Maximum Amount of Future Payments under Credit Default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 Years to Maturity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Estimated Fair Value of Credit Default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Maximum Amount of Future Payments under Credit Default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 Years to Maturity (2)</w:t>
            </w:r>
          </w:p>
        </w:tc>
      </w:tr>
      <w:tr>
        <w:trPr/>
        <w:tc>
          <w:tcPr>
            <w:tcW w:w="11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1" w:type="dxa"/>
            <w:gridSpan w:val="3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1177"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Aaa/Aa/A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00"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00"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r>
      <w:tr>
        <w:trPr/>
        <w:tc>
          <w:tcPr>
            <w:tcW w:w="1177"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Baa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r>
      <w:tr>
        <w:trPr/>
        <w:tc>
          <w:tcPr>
            <w:tcW w:w="1177"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r>
      <w:tr>
        <w:trPr/>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Caa and Lower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r>
      <w:tr>
        <w:trPr/>
        <w:tc>
          <w:tcPr>
            <w:tcW w:w="1177"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468 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780 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Company has written credit protection on index references. The rating agency designations are based on availability and the midpoint of the applicable ratings among Moody’s, S&amp;P and Fitch. If no rating is available from a rating agency, then an internally developed rating is used.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weighted average years to maturity of the credit default swaps is calculated based on weighted average gross notional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Counterparty Credit Risk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may be exposed to credit-related losses in the event of counterparty nonperformance on derivative instruments. Generally, the credit exposure is the fair value at the reporting date less any collateral received from the counterparty.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manages its credit risk by: (i) entering into derivative transactions with creditworthy counterparties governed by master netting agreements; (ii) trading through regulated exchanges and central clearing counterparties; (iii) obtaining collateral, such as cash and securities, when appropriate; and (iv) setting limits on single party credit exposures which are subject to periodic management review.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10 for a description of the impact of credit risk on the valuation of derivatives.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199515"/>
                <wp:effectExtent l="0" t="0" r="0" b="0"/>
                <wp:wrapNone/>
                <wp:docPr id="127" name="Frame126"/>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9. Derivatives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estimated fair values of net derivative assets and net derivative liabilities after the application of master netting agreements and collateral were as follows at:</w:t>
      </w:r>
    </w:p>
    <w:tbl>
      <w:tblPr>
        <w:tblW w:w="10205" w:type="dxa"/>
        <w:jc w:val="left"/>
        <w:tblInd w:w="0" w:type="dxa"/>
        <w:tblLayout w:type="fixed"/>
        <w:tblCellMar>
          <w:top w:w="28" w:type="dxa"/>
          <w:left w:w="28" w:type="dxa"/>
          <w:bottom w:w="28" w:type="dxa"/>
          <w:right w:w="28" w:type="dxa"/>
        </w:tblCellMar>
      </w:tblPr>
      <w:tblGrid>
        <w:gridCol w:w="374"/>
        <w:gridCol w:w="329"/>
        <w:gridCol w:w="330"/>
        <w:gridCol w:w="109"/>
        <w:gridCol w:w="109"/>
        <w:gridCol w:w="109"/>
        <w:gridCol w:w="264"/>
        <w:gridCol w:w="752"/>
        <w:gridCol w:w="148"/>
        <w:gridCol w:w="109"/>
        <w:gridCol w:w="109"/>
        <w:gridCol w:w="109"/>
        <w:gridCol w:w="308"/>
        <w:gridCol w:w="732"/>
        <w:gridCol w:w="134"/>
        <w:gridCol w:w="134"/>
        <w:gridCol w:w="134"/>
        <w:gridCol w:w="134"/>
        <w:gridCol w:w="261"/>
        <w:gridCol w:w="795"/>
        <w:gridCol w:w="145"/>
        <w:gridCol w:w="109"/>
        <w:gridCol w:w="109"/>
        <w:gridCol w:w="109"/>
        <w:gridCol w:w="202"/>
        <w:gridCol w:w="573"/>
        <w:gridCol w:w="112"/>
        <w:gridCol w:w="109"/>
        <w:gridCol w:w="109"/>
        <w:gridCol w:w="109"/>
        <w:gridCol w:w="294"/>
        <w:gridCol w:w="902"/>
        <w:gridCol w:w="163"/>
        <w:gridCol w:w="109"/>
        <w:gridCol w:w="109"/>
        <w:gridCol w:w="109"/>
        <w:gridCol w:w="345"/>
        <w:gridCol w:w="716"/>
        <w:gridCol w:w="289"/>
      </w:tblGrid>
      <w:tr>
        <w:trPr/>
        <w:tc>
          <w:tcPr>
            <w:tcW w:w="37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Gross Amounts Not Offset on the Consolidated Balance Sheets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Gross Amount Recognized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Financial Instruments (1)</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Collateral Received/Pledged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Net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Securities Collateral Received/Pledged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Net Amount After Securities Collateral</w:t>
            </w:r>
          </w:p>
        </w:tc>
      </w:tr>
      <w:tr>
        <w:trPr/>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3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03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3"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6,568 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(3,861)</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(1,374)</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1,333 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(1,330)</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Derivative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5,099 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(3,861)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1,238 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(1,238)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3"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4,122 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(3,039)</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(524)</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559 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(558)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3"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Derivative liabilities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5,353 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(3,039)</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2,314 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(2,306)</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(1)Represents amounts subject to an enforceable master netting agreement or similar agreement.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amount of cash collateral offset in the table above is limited to the net estimated fair value of derivatives after application of netting agreement.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(3)Securities collateral received from counterparties is not reported on the consolidated balance sheets and may not be sold or re-pledged unless the counterparty is in default. Amounts do not include excess of collateral pledged or received.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collateral arrangements generally require the counterparty in a net liability position, after considering the effect of netting agreements, to pledge collateral when the amount owed by that counterparty reaches a minimum transfer amount. Certain of these arrangements also include credit-contingent provisions which permit the party with positive fair value to terminate the derivative at the current fair value or demand immediate full collateralization from the party in a net liability position, in the event that the financial strength or credit rating of the party in a net liability position falls below a certain level.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aggregate estimated fair values of derivatives in a net liability position containing such credit-contingent provisions and the aggregate estimated fair value of assets posted as collateral for such instruments were as follows at:</w:t>
      </w:r>
    </w:p>
    <w:tbl>
      <w:tblPr>
        <w:tblW w:w="6936" w:type="dxa"/>
        <w:jc w:val="left"/>
        <w:tblInd w:w="0" w:type="dxa"/>
        <w:tblLayout w:type="fixed"/>
        <w:tblCellMar>
          <w:top w:w="28" w:type="dxa"/>
          <w:left w:w="28" w:type="dxa"/>
          <w:bottom w:w="28" w:type="dxa"/>
          <w:right w:w="28" w:type="dxa"/>
        </w:tblCellMar>
      </w:tblPr>
      <w:tblGrid>
        <w:gridCol w:w="1636"/>
        <w:gridCol w:w="1437"/>
        <w:gridCol w:w="1442"/>
        <w:gridCol w:w="109"/>
        <w:gridCol w:w="109"/>
        <w:gridCol w:w="109"/>
        <w:gridCol w:w="196"/>
        <w:gridCol w:w="556"/>
        <w:gridCol w:w="109"/>
        <w:gridCol w:w="109"/>
        <w:gridCol w:w="109"/>
        <w:gridCol w:w="109"/>
        <w:gridCol w:w="196"/>
        <w:gridCol w:w="556"/>
        <w:gridCol w:w="154"/>
      </w:tblGrid>
      <w:tr>
        <w:trPr/>
        <w:tc>
          <w:tcPr>
            <w:tcW w:w="1636"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shd w:fill="FFFFFF" w:val="clear"/>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Estimated fair value of derivatives in a net liability position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Estimated fair value of collateral provided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Fixed maturity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4,883 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(1)After taking into consideration the existence of netting agreements.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(2)Substantially all of the Company’s collateral arrangements provide for daily posting of collateral for the full value of the derivative contract. As a result, if the credit-contingent provisions of derivative contracts in a net liability position were triggered, minimal additional assets would be required to be posted as collateral or needed to settle the instruments immediately. Additionally, the Company is required to pledge initial margin for certain new OTC-bilateral derivative transactions to third-party custodians.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199515"/>
                <wp:effectExtent l="0" t="0" r="0" b="0"/>
                <wp:wrapNone/>
                <wp:docPr id="128" name="Frame127"/>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10.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When developing estimated fair values, the Company considers three broad valuation techniques: (i) the market approach, (ii) the income approach, and (iii) the cost approach. The Company determines the most appropriate valuation technique to use, given what is being measured and the availability of sufficient inputs, giving priority to observable inputs. The Company categorizes its assets and liabilities measured at estimated fair value into a three-level hierarchy, based on the significant input with the lowest level in its valuation. The input levels are as follows: </w:t>
      </w:r>
    </w:p>
    <w:p>
      <w:pPr>
        <w:pStyle w:val="TextBody"/>
        <w:bidi w:val="0"/>
        <w:spacing w:before="180" w:after="283"/>
        <w:ind w:left="0" w:right="0" w:firstLine="360"/>
        <w:jc w:val="center"/>
        <w:rPr/>
      </w:pPr>
      <w:r>
        <w:rPr/>
      </w:r>
    </w:p>
    <w:tbl>
      <w:tblPr>
        <w:tblW w:w="10205" w:type="dxa"/>
        <w:jc w:val="center"/>
        <w:tblInd w:w="0" w:type="dxa"/>
        <w:tblLayout w:type="fixed"/>
        <w:tblCellMar>
          <w:top w:w="28" w:type="dxa"/>
          <w:left w:w="28" w:type="dxa"/>
          <w:bottom w:w="28" w:type="dxa"/>
          <w:right w:w="28" w:type="dxa"/>
        </w:tblCellMar>
      </w:tblPr>
      <w:tblGrid>
        <w:gridCol w:w="266"/>
        <w:gridCol w:w="234"/>
        <w:gridCol w:w="236"/>
        <w:gridCol w:w="2768"/>
        <w:gridCol w:w="2768"/>
        <w:gridCol w:w="3933"/>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c>
          <w:tcPr>
            <w:tcW w:w="3933"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1</w:t>
            </w:r>
          </w:p>
        </w:tc>
        <w:tc>
          <w:tcPr>
            <w:tcW w:w="946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Unadjusted quoted prices in active markets for identical assets or liabilities. The Company defines active markets based on average trading volume for equity securities. The size of the bid/ask spread is used as an indicator of market activity for fixed maturity securities.</w:t>
            </w:r>
          </w:p>
        </w:tc>
      </w:tr>
    </w:tbl>
    <w:tbl>
      <w:tblPr>
        <w:tblW w:w="10205" w:type="dxa"/>
        <w:jc w:val="center"/>
        <w:tblInd w:w="0" w:type="dxa"/>
        <w:tblLayout w:type="fixed"/>
        <w:tblCellMar>
          <w:top w:w="28" w:type="dxa"/>
          <w:left w:w="28" w:type="dxa"/>
          <w:bottom w:w="28" w:type="dxa"/>
          <w:right w:w="28" w:type="dxa"/>
        </w:tblCellMar>
      </w:tblPr>
      <w:tblGrid>
        <w:gridCol w:w="266"/>
        <w:gridCol w:w="234"/>
        <w:gridCol w:w="236"/>
        <w:gridCol w:w="2767"/>
        <w:gridCol w:w="2767"/>
        <w:gridCol w:w="3935"/>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c>
          <w:tcPr>
            <w:tcW w:w="3935"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2</w:t>
            </w:r>
          </w:p>
        </w:tc>
        <w:tc>
          <w:tcPr>
            <w:tcW w:w="946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Quoted prices in markets that are not active or inputs that are observable either directly or indirectly. These inputs can include quoted prices for similar assets or liabilities other than quoted prices in Level 1, quoted prices in markets that are not active, or other significant inputs that are observable or can be derived principally from or corroborated by observable market data for substantially the full term of the assets or liabilities.</w:t>
            </w:r>
          </w:p>
        </w:tc>
      </w:tr>
    </w:tbl>
    <w:tbl>
      <w:tblPr>
        <w:tblW w:w="10205" w:type="dxa"/>
        <w:jc w:val="center"/>
        <w:tblInd w:w="0" w:type="dxa"/>
        <w:tblLayout w:type="fixed"/>
        <w:tblCellMar>
          <w:top w:w="28" w:type="dxa"/>
          <w:left w:w="28" w:type="dxa"/>
          <w:bottom w:w="28" w:type="dxa"/>
          <w:right w:w="28" w:type="dxa"/>
        </w:tblCellMar>
      </w:tblPr>
      <w:tblGrid>
        <w:gridCol w:w="266"/>
        <w:gridCol w:w="234"/>
        <w:gridCol w:w="236"/>
        <w:gridCol w:w="2772"/>
        <w:gridCol w:w="2772"/>
        <w:gridCol w:w="3925"/>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c>
          <w:tcPr>
            <w:tcW w:w="3925"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3</w:t>
            </w:r>
          </w:p>
        </w:tc>
        <w:tc>
          <w:tcPr>
            <w:tcW w:w="946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Unobservable inputs that are supported by little or no market activity and are significant to the determination of estimated fair value of the assets or liabilities. Unobservable inputs reflect the reporting entity’s own assumptions about the assumptions that market participants would use in pricing the asset or liability.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199515"/>
                <wp:effectExtent l="0" t="0" r="0" b="0"/>
                <wp:wrapNone/>
                <wp:docPr id="129" name="Frame128"/>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10. Fair Value (continued)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Recurring Fair Value Measurements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assets and liabilities measured at estimated fair value on a recurring basis and their corresponding placement in the fair value hierarchy are presented in the tables below. Investments that do not have a readily determinable fair value and are measured at net asset value (or equivalent) as a practical expedient to estimated fair value are excluded from the fair value hierarchy.</w:t>
      </w:r>
    </w:p>
    <w:tbl>
      <w:tblPr>
        <w:tblW w:w="9728" w:type="dxa"/>
        <w:jc w:val="left"/>
        <w:tblInd w:w="0" w:type="dxa"/>
        <w:tblLayout w:type="fixed"/>
        <w:tblCellMar>
          <w:top w:w="28" w:type="dxa"/>
          <w:left w:w="28" w:type="dxa"/>
          <w:bottom w:w="28" w:type="dxa"/>
          <w:right w:w="28" w:type="dxa"/>
        </w:tblCellMar>
      </w:tblPr>
      <w:tblGrid>
        <w:gridCol w:w="1359"/>
        <w:gridCol w:w="1195"/>
        <w:gridCol w:w="1210"/>
        <w:gridCol w:w="196"/>
        <w:gridCol w:w="556"/>
        <w:gridCol w:w="109"/>
        <w:gridCol w:w="109"/>
        <w:gridCol w:w="109"/>
        <w:gridCol w:w="109"/>
        <w:gridCol w:w="196"/>
        <w:gridCol w:w="736"/>
        <w:gridCol w:w="109"/>
        <w:gridCol w:w="109"/>
        <w:gridCol w:w="109"/>
        <w:gridCol w:w="109"/>
        <w:gridCol w:w="196"/>
        <w:gridCol w:w="646"/>
        <w:gridCol w:w="109"/>
        <w:gridCol w:w="109"/>
        <w:gridCol w:w="109"/>
        <w:gridCol w:w="109"/>
        <w:gridCol w:w="384"/>
        <w:gridCol w:w="1444"/>
        <w:gridCol w:w="302"/>
      </w:tblGrid>
      <w:tr>
        <w:trPr/>
        <w:tc>
          <w:tcPr>
            <w:tcW w:w="135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4" w:type="dxa"/>
            <w:gridSpan w:val="21"/>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Fair Value Hierarchy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Total Estimated Fair Value</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4" w:type="dxa"/>
            <w:gridSpan w:val="21"/>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Assets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Fixed maturity securities: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U.S. corporate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37,769 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44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38,409 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corporate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11,434 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RMBS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8,476 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U.S. government and agency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6,445 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ABS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6,031 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CMBS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5,800 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State and political subdivision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3,423 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government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942 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 fixed maturity securities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77,620 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80,960 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Trading securities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506 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668 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 (1)</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Interest 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exchange rate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Credit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Equity market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6,121 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 derivative assets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6,759 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6,771 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Embedded derivatives on index-linked annuities (2)</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Market risk benefit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1,060 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Separate account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78,815 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78,825 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2,923 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163,721 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168,892 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Market risk benefit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444"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8,079 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 (1)</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Interest 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2,082 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exchange rate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Equity market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3,064 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 derivative liabilities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5,234 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Embedded derivatives on index-linked annuities (2)</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12,406 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12,406 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5,230 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20,485 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25,719 </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199515"/>
                <wp:effectExtent l="0" t="0" r="0" b="0"/>
                <wp:wrapNone/>
                <wp:docPr id="130" name="Frame129"/>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10. Fair Value (continued)</w:t>
      </w:r>
    </w:p>
    <w:tbl>
      <w:tblPr>
        <w:tblW w:w="8903" w:type="dxa"/>
        <w:jc w:val="left"/>
        <w:tblInd w:w="0" w:type="dxa"/>
        <w:tblLayout w:type="fixed"/>
        <w:tblCellMar>
          <w:top w:w="28" w:type="dxa"/>
          <w:left w:w="28" w:type="dxa"/>
          <w:bottom w:w="28" w:type="dxa"/>
          <w:right w:w="28" w:type="dxa"/>
        </w:tblCellMar>
      </w:tblPr>
      <w:tblGrid>
        <w:gridCol w:w="1359"/>
        <w:gridCol w:w="1195"/>
        <w:gridCol w:w="1210"/>
        <w:gridCol w:w="196"/>
        <w:gridCol w:w="556"/>
        <w:gridCol w:w="109"/>
        <w:gridCol w:w="109"/>
        <w:gridCol w:w="109"/>
        <w:gridCol w:w="109"/>
        <w:gridCol w:w="196"/>
        <w:gridCol w:w="736"/>
        <w:gridCol w:w="109"/>
        <w:gridCol w:w="109"/>
        <w:gridCol w:w="109"/>
        <w:gridCol w:w="109"/>
        <w:gridCol w:w="196"/>
        <w:gridCol w:w="646"/>
        <w:gridCol w:w="109"/>
        <w:gridCol w:w="109"/>
        <w:gridCol w:w="109"/>
        <w:gridCol w:w="109"/>
        <w:gridCol w:w="235"/>
        <w:gridCol w:w="885"/>
        <w:gridCol w:w="185"/>
      </w:tblGrid>
      <w:tr>
        <w:trPr/>
        <w:tc>
          <w:tcPr>
            <w:tcW w:w="135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9" w:type="dxa"/>
            <w:gridSpan w:val="21"/>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Fair Value Hierarchy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Estimated</w:t>
              <w:br/>
              <w:t>Fair Value</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9" w:type="dxa"/>
            <w:gridSpan w:val="21"/>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Assets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Fixed maturity securities: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U.S. corporate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36,041 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36,737 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corporate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11,762 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RMBS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7,230 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U.S. government and agency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6,460 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ABS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6,306 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CMBS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6,292 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State and political subdivision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3,382 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government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960 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 fixed maturity securities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75,137 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79,129 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Trading securities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1,157 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 (1)</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Interest 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exchange rate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547 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Credit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Equity market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3,265 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 derivative assets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4,118 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Embedded derivatives on index-linked annuities (2)</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Market risk benefit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1,092 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Separate account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79,006 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3,444 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158,494 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164,581 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Market risk benefit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8,346 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 (1)</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Interest 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2,735 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exchange rate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Equity market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2,488 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 derivative liabilities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5,248 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Embedded derivatives on index-linked annuities (2)</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11,540 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5,247 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19,886 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25,134 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(1)Derivative assets are reported in other invested assets and derivative liabilities are reported in other liabilities. The amounts are presented gross in the tables above to reflect the presentation on the consolidated balance sheets.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(2)Embedded derivative assets on index-linked annuities are reported in premiums and other receivables. Embedded derivative liabilities on index-linked annuities are reported in policyholder account balances.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199515"/>
                <wp:effectExtent l="0" t="0" r="0" b="0"/>
                <wp:wrapNone/>
                <wp:docPr id="131" name="Frame130"/>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10. Fair Value (continued)</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Valuation Controls and Procedures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monitors and provides oversight of valuation controls and policies for securities, mortgage loans and derivatives, which are primarily executed by its valuation service providers. The valuation methodologies used to determine fair values prioritize the use of observable market prices and market-based parameters and determines that judgmental valuation adjustments, when applied, are based upon established policies and are applied consistently over time. The valuation methodologies for securities, mortgage loans and derivatives are reviewed on an ongoing basis and revised when necessary. In addition, the Chief Accounting Officer periodically reports to the Audit Committee of BHF’s Board of Directors regarding compliance with fair value accounting standards.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financial assets and financial liabilities is based on quoted market prices, where available. Prices received are assessed to determine if they represent a reasonable estimate of fair value. Several controls are performed, including certain monthly controls, which include, but are not limited to, analysis of portfolio returns to corresponding benchmark returns, comparing a sample of executed prices of securities sold to the fair value estimates, reviewing the bid/ask spreads to assess activity, comparing prices from multiple independent pricing services and ongoing due diligence to confirm that independent pricing services use market-based parameters. The process includes a determination of the observability of inputs used in estimated fair values received from independent pricing services or brokers by assessing whether these inputs can be corroborated by observable market data. Independent non-binding broker quotes, also referred to herein as “consensus pricing,” are used for a non-significant portion of the portfolio. Prices received from independent brokers are assessed to determine if they represent a reasonable estimate of fair value by considering such pricing relative to the current market dynamics and current pricing for similar financial instruments.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formal process is also applied to challenge any prices received from independent pricing services that are not considered representative of estimated fair value. If prices received from independent pricing services are not considered reflective of market activity or representative of estimated fair value, independent non-binding broker quotations are obtained. If obtaining an independent non-binding broker quotation is unsuccessful, the last available price will be used.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 controls are performed, such as balance sheet analytics to assess reasonableness of period-to-period pricing changes, including any price adjustments. Price adjustments are applied if prices or quotes received from independent pricing services or brokers are not considered reflective of market activity or representative of estimated fair value. The Company did not have significant price adjustments during the year ended December 31, 2025.</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Determination of Fair Value</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Fixed Maturity Securities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values for actively traded marketable bonds designated as available-for-sale or trading securities, primarily U.S. government and agency securities, are determined using the quoted market prices and are classified as Level 1 assets. For securities classified as Level 2 assets, fair values are determined using either a market or income approach and are valued based on a variety of observable inputs as described below.</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U.S. corporate and foreign corporate securities:</w:t>
      </w:r>
      <w:r>
        <w:rPr>
          <w:color w:val="000000"/>
        </w:rPr>
        <w:t xml:space="preserve"> </w:t>
      </w:r>
      <w:r>
        <w:rPr>
          <w:rFonts w:ascii="Times New Roman;serif" w:hAnsi="Times New Roman;serif"/>
          <w:b w:val="false"/>
          <w:color w:val="000000"/>
          <w:sz w:val="20"/>
        </w:rPr>
        <w:t>Fair value is determined using third-party commercial pricing services, with the primary inputs being quoted prices in markets that are not active, benchmark yields, spreads off benchmark yields, new issuances, issuer rating, trades of identical or comparable securities, or duration. Privately-placed securities are valued using the additional key inputs: market yield curve, call provisions, observable prices and spreads for similar public or private securities that incorporate the credit quality and industry sector of the issuer, and delta spread adjustments to reflect specific credit-related issues.</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U.S. government and agency, state and political subdivision and foreign government securities:</w:t>
      </w:r>
      <w:r>
        <w:rPr>
          <w:color w:val="000000"/>
        </w:rPr>
        <w:t xml:space="preserve"> </w:t>
      </w:r>
      <w:r>
        <w:rPr>
          <w:rFonts w:ascii="Times New Roman;serif" w:hAnsi="Times New Roman;serif"/>
          <w:b w:val="false"/>
          <w:color w:val="000000"/>
          <w:sz w:val="20"/>
        </w:rPr>
        <w:t>Fair value is determined using third-party commercial pricing services, with the primary inputs being quoted prices in markets that are not active, benchmark U.S. Treasury yield or other yields, spread off the U.S. Treasury yield curve for the identical security, issuer ratings and issuer spreads, broker-dealer quotes, and comparable securities that are actively traded.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199515"/>
                <wp:effectExtent l="0" t="0" r="0" b="0"/>
                <wp:wrapNone/>
                <wp:docPr id="132" name="Frame131"/>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10. Fair Value (continued)</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Structured Securities:</w:t>
      </w:r>
      <w:r>
        <w:rPr>
          <w:color w:val="000000"/>
        </w:rPr>
        <w:t xml:space="preserve"> </w:t>
      </w:r>
      <w:r>
        <w:rPr>
          <w:rFonts w:ascii="Times New Roman;serif" w:hAnsi="Times New Roman;serif"/>
          <w:b w:val="false"/>
          <w:color w:val="000000"/>
          <w:sz w:val="20"/>
        </w:rPr>
        <w:t xml:space="preserve">Fair value is determined using third-party commercial pricing services, with the primary inputs being quoted prices in markets that are not active, spreads for actively traded securities, spreads off benchmark yields, expected prepayment speeds and volumes, current and forecasted loss severity, ratings, geographic region, weighted average coupon and weighted average maturity, average delinquency rates and debt-service coverage ratios. Other issuance-specific information is also used, including, but not limited to, collateral type, structure of the security, vintage of the loans, payment terms of the underlying asset, payment priority within tranche, and deal performance. </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Equity Securities and Short-term Investments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for actively traded equity securities and short-term investments are determined using quoted market prices and are classified as Level 1 assets. For financial instruments classified as Level 2 assets, fair values are determined using a market approach and are valued based on a variety of observable inputs as described below.</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Equity securities and short-term investments:</w:t>
      </w:r>
      <w:r>
        <w:rPr>
          <w:color w:val="000000"/>
        </w:rPr>
        <w:t xml:space="preserve"> </w:t>
      </w:r>
      <w:r>
        <w:rPr>
          <w:rFonts w:ascii="Times New Roman;serif" w:hAnsi="Times New Roman;serif"/>
          <w:b w:val="false"/>
          <w:color w:val="000000"/>
          <w:sz w:val="20"/>
        </w:rPr>
        <w:t>Fair value is determined using third-party commercial pricing services, with the primary input being quoted prices in markets that are not active.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Derivatives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values for exchange-traded derivatives are determined using the quoted market prices and are classified as Level 1 assets or liabilities. For OTC-bilateral derivatives and OTC-cleared derivatives classified as Level 2 assets or liabilities, fair values are determined using the income approach. Valuations of non-option-based derivatives utilize present value techniques, whereas valuations of option-based derivatives utilize option pricing models which are based on market standard valuation methodologies and a variety of observable inputs.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significant inputs to the pricing models for most OTC-bilateral and OTC-cleared derivatives are inputs that are observable in the market or can be derived principally from, or corroborated by, observable market data. Certain OTC-bilateral and OTC-cleared derivatives may rely on inputs that are significant to the estimated fair value that are not observable in the market or cannot be derived principally from, or corroborated by, observable market data. These unobservable inputs may involve significant management judgment or estimation. Even though unobservable, these inputs are based on assumptions deemed appropriate given the circumstances and management believes they are consistent with what other market participants would use when pricing such instruments.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Most inputs for OTC-bilateral and OTC-cleared derivatives are mid-market inputs but, in certain cases, liquidity adjustments are made when they are deemed more representative of exit value. Market liquidity, as well as the use of different methodologies, assumptions and inputs, may have a material effect on the estimated fair values of the Company’s derivatives and could materially affect net income.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credit risk of both the counterparty and the Company are considered in determining the estimated fair value for all OTC-bilateral and OTC-cleared derivatives, and any potential credit adjustment is based on the net exposure by counterparty after taking into account the effects of netting agreements and collateral arrangements. The Company values its OTC-bilateral and OTC-cleared derivatives using standard swap curves which may include a spread to the risk-free rate, depending upon specific collateral arrangements. This credit spread is appropriate for those parties that execute trades at pricing levels consistent with similar collateral arrangements. As the Company and its significant derivative counterparties generally execute trades at such pricing levels and hold sufficient collateral, additional credit risk adjustments are not currently required in the valuation process. The Company’s ability to consistently execute at such pricing levels is in part due to the netting agreements and collateral arrangements that are in place with all of its significant derivative counterparties. An evaluation of the requirement to make additional credit risk adjustments is performed by the Company each reporting period.</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Market Risk Benefits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MRBs principally include guaranteed minimum benefits on variable annuity contracts including benefits reinsured related to these guarantees.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199515"/>
                <wp:effectExtent l="0" t="0" r="0" b="0"/>
                <wp:wrapNone/>
                <wp:docPr id="133" name="Frame132"/>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10. Fair Value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estimated fair value of variable annuity guarantees accounted for as MRBs is determined based on the present value of projected future benefits less the present value of projected future fees attributable to the guarantees. At policy inception, the Company determines an attributed fee ratio by solving for a percentage of projected future rider fees to be collected from the policyholder equal to the present value of projected future guaranteed benefits. To the extent the rider fees are insufficient, the Company may also include fees related to mortality and expense charges in the attributed fee ratio, provided the total fees included in the calculation do not exceed total contract fees and assessments collected from the contract holder. Any additional fees not included in the attributed fee ratio are considered revenue and reported in universal life and investment-type product policy fees. The attributed fee ratio is not updated in subsequent periods.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updates the estimated fair value of variable annuity guarantees in subsequent periods by projecting future benefits using capital markets inputs and actuarial assumptions including expectations of policyholder behavior. A risk neutral valuation methodology is used to project the cash flows from the guarantees under multiple capital markets scenarios. The reported estimated fair value is then determined by taking the present value of these cash flows using a discount rate that incorporates a spread over the risk-free rate to reflect the Company’s nonperformance risk and adding a risk margin.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valuation of MRBs includes an adjustment for the risk that the Company fails to satisfy its obligations, which is referred to as nonperformance risk. The nonperformance risk adjustment is captured as an additional spread applied to the risk-free rate in determining the rate to discount the cash flows of the liability. The spread over the risk-free rate is based on the Company’s creditworthiness taking into consideration publicly available information relating to spreads in the secondary market for Brighthouse Financial’s debt. These observable spreads are then adjusted, as necessary, to reflect the financial strength ratings of the issuing insurance subsidiaries as compared to the credit rating of Brighthouse Financial.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Risk margins are established to capture the non-capital markets risks of the instrument which represent the additional compensation a market participant would require to assume the risks related to the uncertainties in certain actuarial assumptions. The establishment of risk margins requires the use of significant actuarial judgment, including assumptions of the amount needed to cover the guarantees.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Actuarial assumptions are reviewed at least annually, and if they change significantly, the estimated fair value is adjusted through net income. Capital market inputs used in the measurement of variable annuity guarantees are updated quarterly through net income, except for the change attributable to the Company’s nonperformance risk, which is reported in OCI.</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Embedded Derivatives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Embedded derivatives include crediting rates associated with index-linked annuity contracts. Embedded derivatives are recorded at estimated fair value with changes in estimated fair value reported in net income.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crediting rates associated with these features are embedded derivatives which are measured at estimated fair value separately from the host fixed annuity contract. These embedded derivatives are classified within policyholder account balances on the consolidated balance sheets.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estimated fair value of crediting rates associated with index-linked annuities is determined using a combination of an option pricing model and an option-budget approach. The valuation of these embedded derivatives also includes the establishment of a risk margin, as well as changes in nonperformance risk.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Actuarial assumptions including policyholder behavior and expectations for renewals at the end of the term period are reviewed at least annually, and if they change significantly, the estimated fair value is adjusted through net income. Capital market inputs used in the measurement of crediting rate embedded derivatives are updated quarterly through net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199515"/>
                <wp:effectExtent l="0" t="0" r="0" b="0"/>
                <wp:wrapNone/>
                <wp:docPr id="134" name="Frame133"/>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10. Fair Value (continued)</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Transfers Into or Out of Level 3:</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Assets and liabilities are transferred into Level 3 when a significant input cannot be corroborated with market observable data. This occurs when market activity decreases significantly and underlying inputs cannot be observed, current prices are not available, and/or when there are significant variances in quoted prices, thereby affecting transparency. Assets and liabilities are transferred out of Level 3 when circumstances change such that a significant input can be corroborated with market observable data. This may be due to a significant increase in market activity, a specific event, or one or more significant input(s) becoming observable.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Assets and Liabilities Measured at Fair Value Using Significant Unobservable Inputs (Level 3)</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quantitative information about the significant unobservable inputs used in the fair value measurement, and the sensitivity of the estimated fair value to changes in those inputs, for the more significant asset and liability classes measured at fair value on a recurring basis using significant unobservable inputs (Level 3) were as follows at:</w:t>
      </w:r>
    </w:p>
    <w:tbl>
      <w:tblPr>
        <w:tblW w:w="10205" w:type="dxa"/>
        <w:jc w:val="left"/>
        <w:tblInd w:w="0" w:type="dxa"/>
        <w:tblLayout w:type="fixed"/>
        <w:tblCellMar>
          <w:top w:w="28" w:type="dxa"/>
          <w:left w:w="28" w:type="dxa"/>
          <w:bottom w:w="28" w:type="dxa"/>
          <w:right w:w="28" w:type="dxa"/>
        </w:tblCellMar>
      </w:tblPr>
      <w:tblGrid>
        <w:gridCol w:w="583"/>
        <w:gridCol w:w="285"/>
        <w:gridCol w:w="289"/>
        <w:gridCol w:w="145"/>
        <w:gridCol w:w="145"/>
        <w:gridCol w:w="145"/>
        <w:gridCol w:w="278"/>
        <w:gridCol w:w="267"/>
        <w:gridCol w:w="190"/>
        <w:gridCol w:w="109"/>
        <w:gridCol w:w="109"/>
        <w:gridCol w:w="109"/>
        <w:gridCol w:w="241"/>
        <w:gridCol w:w="241"/>
        <w:gridCol w:w="241"/>
        <w:gridCol w:w="445"/>
        <w:gridCol w:w="278"/>
        <w:gridCol w:w="279"/>
        <w:gridCol w:w="109"/>
        <w:gridCol w:w="109"/>
        <w:gridCol w:w="109"/>
        <w:gridCol w:w="232"/>
        <w:gridCol w:w="234"/>
        <w:gridCol w:w="211"/>
        <w:gridCol w:w="109"/>
        <w:gridCol w:w="109"/>
        <w:gridCol w:w="109"/>
        <w:gridCol w:w="233"/>
        <w:gridCol w:w="233"/>
        <w:gridCol w:w="211"/>
        <w:gridCol w:w="109"/>
        <w:gridCol w:w="109"/>
        <w:gridCol w:w="109"/>
        <w:gridCol w:w="232"/>
        <w:gridCol w:w="234"/>
        <w:gridCol w:w="211"/>
        <w:gridCol w:w="109"/>
        <w:gridCol w:w="109"/>
        <w:gridCol w:w="109"/>
        <w:gridCol w:w="233"/>
        <w:gridCol w:w="233"/>
        <w:gridCol w:w="211"/>
        <w:gridCol w:w="109"/>
        <w:gridCol w:w="109"/>
        <w:gridCol w:w="109"/>
        <w:gridCol w:w="431"/>
        <w:gridCol w:w="431"/>
        <w:gridCol w:w="621"/>
      </w:tblGrid>
      <w:tr>
        <w:trPr/>
        <w:tc>
          <w:tcPr>
            <w:tcW w:w="58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vMerge w:val="restart"/>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Impact of Increase in Input on Estimated Fair Value</w:t>
            </w:r>
          </w:p>
        </w:tc>
      </w:tr>
      <w:tr>
        <w:trPr/>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Valuation Techniques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6"/>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Significant Unobservable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27" w:type="dxa"/>
            <w:gridSpan w:val="9"/>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4"/>
              </w:rPr>
            </w:pPr>
            <w:r>
              <w:rPr>
                <w:rFonts w:ascii="Times New Roman;serif" w:hAnsi="Times New Roman;serif"/>
                <w:b/>
                <w:color w:val="000000"/>
                <w:sz w:val="14"/>
              </w:rPr>
              <w:t>Market Risk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7"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Variable annuity guaranteed minimum benefits</w:t>
            </w:r>
          </w:p>
        </w:tc>
        <w:tc>
          <w:tcPr>
            <w:tcW w:w="43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color w:val="000000"/>
              </w:rPr>
            </w:pPr>
            <w:r>
              <w:rPr>
                <w:color w:val="000000"/>
              </w:rPr>
              <w:t>•</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Discounted cash flows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color w:val="000000"/>
              </w:rPr>
            </w:pPr>
            <w:r>
              <w:rPr>
                <w:color w:val="000000"/>
              </w:rPr>
              <w:t>•</w:t>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4"/>
              </w:rPr>
            </w:pPr>
            <w:r>
              <w:rPr>
                <w:rFonts w:ascii="Times New Roman;serif" w:hAnsi="Times New Roman;serif"/>
                <w:b w:val="false"/>
                <w:color w:val="000000"/>
                <w:sz w:val="14"/>
              </w:rPr>
              <w:t>Mortality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0.04 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12.90 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0.04 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12.90 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Decrease (1)</w:t>
            </w:r>
          </w:p>
        </w:tc>
      </w:tr>
      <w:tr>
        <w:trPr/>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color w:val="000000"/>
              </w:rPr>
            </w:pPr>
            <w:r>
              <w:rPr>
                <w:color w:val="000000"/>
              </w:rPr>
              <w:t>•</w:t>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4"/>
              </w:rPr>
            </w:pPr>
            <w:r>
              <w:rPr>
                <w:rFonts w:ascii="Times New Roman;serif" w:hAnsi="Times New Roman;serif"/>
                <w:b w:val="false"/>
                <w:color w:val="000000"/>
                <w:sz w:val="14"/>
              </w:rPr>
              <w:t>Lapse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15.90 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20.20 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Decrease (2)</w:t>
            </w:r>
          </w:p>
        </w:tc>
      </w:tr>
      <w:tr>
        <w:trPr/>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color w:val="000000"/>
              </w:rPr>
            </w:pPr>
            <w:r>
              <w:rPr>
                <w:color w:val="000000"/>
              </w:rPr>
              <w:t>•</w:t>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4"/>
              </w:rPr>
            </w:pPr>
            <w:r>
              <w:rPr>
                <w:rFonts w:ascii="Times New Roman;serif" w:hAnsi="Times New Roman;serif"/>
                <w:b w:val="false"/>
                <w:color w:val="000000"/>
                <w:sz w:val="14"/>
              </w:rPr>
              <w:t>Utilization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0.00 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25.00 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0.00 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25.00 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Increase (3)</w:t>
            </w:r>
          </w:p>
        </w:tc>
      </w:tr>
      <w:tr>
        <w:trPr/>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color w:val="000000"/>
              </w:rPr>
            </w:pPr>
            <w:r>
              <w:rPr>
                <w:color w:val="000000"/>
              </w:rPr>
              <w:t>•</w:t>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4"/>
              </w:rPr>
            </w:pPr>
            <w:r>
              <w:rPr>
                <w:rFonts w:ascii="Times New Roman;serif" w:hAnsi="Times New Roman;serif"/>
                <w:b w:val="false"/>
                <w:color w:val="000000"/>
                <w:sz w:val="14"/>
              </w:rPr>
              <w:t>Withdrawal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0.00 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0.00 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r>
      <w:tr>
        <w:trPr/>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color w:val="000000"/>
              </w:rPr>
            </w:pPr>
            <w:r>
              <w:rPr>
                <w:color w:val="000000"/>
              </w:rPr>
              <w:t>•</w:t>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Long-term equity volatilities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11.56 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33.62 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12.22 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37.04 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Increase (5)</w:t>
            </w:r>
          </w:p>
        </w:tc>
      </w:tr>
      <w:tr>
        <w:trPr/>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color w:val="000000"/>
              </w:rPr>
            </w:pPr>
            <w:r>
              <w:rPr>
                <w:color w:val="000000"/>
              </w:rPr>
              <w:t>•</w:t>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Nonperformance risk spread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0.45 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1.02 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0.20 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1.19 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Decrease (6)</w:t>
            </w:r>
          </w:p>
        </w:tc>
      </w:tr>
      <w:tr>
        <w:trPr/>
        <w:tc>
          <w:tcPr>
            <w:tcW w:w="2327" w:type="dxa"/>
            <w:gridSpan w:val="9"/>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4"/>
              </w:rPr>
            </w:pPr>
            <w:r>
              <w:rPr>
                <w:rFonts w:ascii="Times New Roman;serif" w:hAnsi="Times New Roman;serif"/>
                <w:b/>
                <w:color w:val="000000"/>
                <w:sz w:val="14"/>
              </w:rPr>
              <w:t>Embedded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7"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4"/>
              </w:rPr>
            </w:pPr>
            <w:r>
              <w:rPr>
                <w:rFonts w:ascii="Times New Roman;serif" w:hAnsi="Times New Roman;serif"/>
                <w:b w:val="false"/>
                <w:color w:val="000000"/>
                <w:sz w:val="14"/>
              </w:rPr>
              <w:t>Registered index-linked annuity crediting rates</w:t>
            </w:r>
          </w:p>
        </w:tc>
        <w:tc>
          <w:tcPr>
            <w:tcW w:w="43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color w:val="000000"/>
              </w:rPr>
            </w:pPr>
            <w:r>
              <w:rPr>
                <w:color w:val="000000"/>
              </w:rPr>
              <w:t>•</w:t>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Option pricing techniques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color w:val="000000"/>
              </w:rPr>
            </w:pPr>
            <w:r>
              <w:rPr>
                <w:color w:val="000000"/>
              </w:rPr>
              <w:t>•</w:t>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4"/>
              </w:rPr>
            </w:pPr>
            <w:r>
              <w:rPr>
                <w:rFonts w:ascii="Times New Roman;serif" w:hAnsi="Times New Roman;serif"/>
                <w:b w:val="false"/>
                <w:color w:val="000000"/>
                <w:sz w:val="14"/>
              </w:rPr>
              <w:t>Mortality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0.03 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7.86 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0.03 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7.86 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Decrease (1)</w:t>
            </w:r>
          </w:p>
        </w:tc>
      </w:tr>
      <w:tr>
        <w:trPr/>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color w:val="000000"/>
              </w:rPr>
            </w:pPr>
            <w:r>
              <w:rPr>
                <w:color w:val="000000"/>
              </w:rPr>
              <w:t>•</w:t>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4"/>
              </w:rPr>
            </w:pPr>
            <w:r>
              <w:rPr>
                <w:rFonts w:ascii="Times New Roman;serif" w:hAnsi="Times New Roman;serif"/>
                <w:b w:val="false"/>
                <w:color w:val="000000"/>
                <w:sz w:val="14"/>
              </w:rPr>
              <w:t>Lapse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0.40 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75.00 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62.30 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Decrease (2)</w:t>
            </w:r>
          </w:p>
        </w:tc>
      </w:tr>
      <w:tr>
        <w:trPr/>
        <w:tc>
          <w:tcPr>
            <w:tcW w:w="115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rPr/>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color w:val="000000"/>
              </w:rPr>
            </w:pPr>
            <w:r>
              <w:rPr>
                <w:color w:val="000000"/>
              </w:rPr>
              <w:t>•</w:t>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4"/>
              </w:rPr>
            </w:pPr>
            <w:r>
              <w:rPr>
                <w:rFonts w:ascii="Times New Roman;serif" w:hAnsi="Times New Roman;serif"/>
                <w:b w:val="false"/>
                <w:color w:val="000000"/>
                <w:sz w:val="14"/>
              </w:rPr>
              <w:t>Withdrawal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0.50 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14.90 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0.50 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13.00 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r>
      <w:tr>
        <w:trPr/>
        <w:tc>
          <w:tcPr>
            <w:tcW w:w="115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rPr/>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color w:val="000000"/>
              </w:rPr>
            </w:pPr>
            <w:r>
              <w:rPr>
                <w:color w:val="000000"/>
              </w:rPr>
              <w:t>•</w:t>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Nonperformance risk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0.37 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1.80 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0.30 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1.63 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Decrease (6)</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(1)Mortality rates vary by age and by demographic characteristics such as gender. The range shown reflects the mortality rate for policyholders between 35 and 90 years old. Mortality rate assumptions are set based on company experience and include an assumption for mortality improvement.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(2)The lapse rate range reflects base lapse rates for major product categories for duration 1-20. Base lapse rates are adjusted at the contract level based on a comparison of the actuarially calculated guaranteed values and the current policyholder account value, as well as other factors, such as the applicability of any surrender charges. For variable annuity guarantees, a dynamic lapse function reduces the base lapse rate when the guaranteed amount is greater than the account value as in-the-money contracts are less likely to lapse. Lapse rates are also generally assumed to be lower in periods when a surrender charge applies.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(3)The utilization rate assumption for variable annuity guarantees estimates the percentage of contract holders with a GMIB or lifetime withdrawal benefit who will elect to utilize the benefit upon becoming eligible in a given year. The range shown represents the floor and cap of the GMIB dynamic election rates across varying levels of in-the-money. For lifetime withdrawal guarantee riders, the assumption is that everyone will begin withdrawals once account value reaches zero which is equivalent to a 100% utilization rate. Utilization rates may vary by the type of guarantee, the amount by which the guaranteed amount is greater than the account value, the contract’s withdrawal history and by the age of the policyholder.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199515"/>
                <wp:effectExtent l="0" t="0" r="0" b="0"/>
                <wp:wrapNone/>
                <wp:docPr id="135" name="Frame134"/>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10. Fair Value (continued)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withdrawal rate represents the percentage of account balance that any given policyholder will elect to withdraw from the contract each year. The withdrawal rate assumption varies by age and duration of the contract, and also by other factors such as benefit type. For any given contract, withdrawal rates vary throughout the period over which cash flows are projected for purposes of valuing the embedded derivative. For variable annuity GMWBs, any increase (decrease) in withdrawal rates results in an increase (decrease) in the estimated fair value of the guarantees. For variable annuity GMABs and GMIBs, any increase (decrease) in withdrawal rates results in a decrease (increase) in the estimated fair value.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(5)Long-term equity volatilities represent equity volatility beyond the period for which observable equity volatilities are available. For any given contract, long-term equity volatility rates vary throughout the period over which cash flows are projected for purposes of valuing MRBs.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(6)Nonperformance risk spread varies by duration. For any given contract, multiple nonperformance risk spreads will apply, depending on the duration of the cash flow being discounted for purposes of valuing the MRB or embedded derivative.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does not develop unobservable inputs used in measuring fair value for all other assets and liabilities classified within Level 3; therefore, these are not included in the table above. The other Level 3 assets and liabilities primarily included fixed maturity securities and derivatives. For fixed maturity securities valued based on non-binding broker quotes, an increase (decrease) in credit spreads would result in a (lower) higher fair value. For derivatives valued based on third-party pricing models, an increase (decrease) in credit spreads would generally result in a (lower) higher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199515"/>
                <wp:effectExtent l="0" t="0" r="0" b="0"/>
                <wp:wrapNone/>
                <wp:docPr id="136" name="Frame135"/>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10. Fair Value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changes in assets and (liabilities) measured at estimated fair value on a recurring basis using significant unobservable inputs (excluding MRBs disclosed in Note 4) were summarized as follows:</w:t>
      </w:r>
    </w:p>
    <w:tbl>
      <w:tblPr>
        <w:tblW w:w="10205" w:type="dxa"/>
        <w:jc w:val="left"/>
        <w:tblInd w:w="0" w:type="dxa"/>
        <w:tblLayout w:type="fixed"/>
        <w:tblCellMar>
          <w:top w:w="28" w:type="dxa"/>
          <w:left w:w="28" w:type="dxa"/>
          <w:bottom w:w="28" w:type="dxa"/>
          <w:right w:w="28" w:type="dxa"/>
        </w:tblCellMar>
      </w:tblPr>
      <w:tblGrid>
        <w:gridCol w:w="680"/>
        <w:gridCol w:w="294"/>
        <w:gridCol w:w="296"/>
        <w:gridCol w:w="109"/>
        <w:gridCol w:w="109"/>
        <w:gridCol w:w="109"/>
        <w:gridCol w:w="208"/>
        <w:gridCol w:w="538"/>
        <w:gridCol w:w="127"/>
        <w:gridCol w:w="109"/>
        <w:gridCol w:w="109"/>
        <w:gridCol w:w="109"/>
        <w:gridCol w:w="203"/>
        <w:gridCol w:w="456"/>
        <w:gridCol w:w="123"/>
        <w:gridCol w:w="109"/>
        <w:gridCol w:w="109"/>
        <w:gridCol w:w="109"/>
        <w:gridCol w:w="109"/>
        <w:gridCol w:w="109"/>
        <w:gridCol w:w="227"/>
        <w:gridCol w:w="511"/>
        <w:gridCol w:w="138"/>
        <w:gridCol w:w="109"/>
        <w:gridCol w:w="109"/>
        <w:gridCol w:w="109"/>
        <w:gridCol w:w="109"/>
        <w:gridCol w:w="109"/>
        <w:gridCol w:w="181"/>
        <w:gridCol w:w="406"/>
        <w:gridCol w:w="109"/>
        <w:gridCol w:w="109"/>
        <w:gridCol w:w="109"/>
        <w:gridCol w:w="109"/>
        <w:gridCol w:w="214"/>
        <w:gridCol w:w="481"/>
        <w:gridCol w:w="131"/>
        <w:gridCol w:w="109"/>
        <w:gridCol w:w="109"/>
        <w:gridCol w:w="109"/>
        <w:gridCol w:w="210"/>
        <w:gridCol w:w="472"/>
        <w:gridCol w:w="127"/>
        <w:gridCol w:w="109"/>
        <w:gridCol w:w="109"/>
        <w:gridCol w:w="109"/>
        <w:gridCol w:w="229"/>
        <w:gridCol w:w="708"/>
        <w:gridCol w:w="140"/>
        <w:gridCol w:w="109"/>
        <w:gridCol w:w="162"/>
      </w:tblGrid>
      <w:tr>
        <w:trPr/>
        <w:tc>
          <w:tcPr>
            <w:tcW w:w="68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70" w:type="dxa"/>
            <w:gridSpan w:val="3"/>
            <w:tcBorders/>
            <w:tcMar>
              <w:top w:w="0" w:type="dxa"/>
              <w:left w:w="0" w:type="dxa"/>
              <w:bottom w:w="0" w:type="dxa"/>
              <w:right w:w="0" w:type="dxa"/>
            </w:tcMar>
            <w:vAlign w:val="center"/>
          </w:tcPr>
          <w:p>
            <w:pPr>
              <w:pStyle w:val="TableContents"/>
              <w:bidi w:val="0"/>
              <w:spacing w:lineRule="auto" w:line="288" w:before="240" w:after="283"/>
              <w:jc w:val="left"/>
              <w:rPr>
                <w:color w:val="000000"/>
              </w:rPr>
            </w:pPr>
            <w:r>
              <w:rPr>
                <w:color w:val="000000"/>
              </w:rPr>
              <w:t> </w:t>
            </w:r>
          </w:p>
        </w:tc>
        <w:tc>
          <w:tcPr>
            <w:tcW w:w="6124" w:type="dxa"/>
            <w:gridSpan w:val="34"/>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Fair Value Measurements Using Significant Unobservable Inputs (Level 3)</w:t>
            </w:r>
          </w:p>
        </w:tc>
        <w:tc>
          <w:tcPr>
            <w:tcW w:w="2811" w:type="dxa"/>
            <w:gridSpan w:val="14"/>
            <w:tcBorders/>
          </w:tcPr>
          <w:p>
            <w:pPr>
              <w:pStyle w:val="TableContents"/>
              <w:bidi w:val="0"/>
              <w:spacing w:before="0" w:after="283"/>
              <w:jc w:val="left"/>
              <w:rPr>
                <w:sz w:val="4"/>
                <w:szCs w:val="4"/>
              </w:rPr>
            </w:pPr>
            <w:r>
              <w:rPr>
                <w:sz w:val="4"/>
                <w:szCs w:val="4"/>
              </w:rPr>
            </w:r>
          </w:p>
        </w:tc>
      </w:tr>
      <w:tr>
        <w:trPr/>
        <w:tc>
          <w:tcPr>
            <w:tcW w:w="1270" w:type="dxa"/>
            <w:gridSpan w:val="3"/>
            <w:tcBorders/>
            <w:tcMar>
              <w:top w:w="0" w:type="dxa"/>
              <w:left w:w="0" w:type="dxa"/>
              <w:bottom w:w="0" w:type="dxa"/>
              <w:right w:w="0" w:type="dxa"/>
            </w:tcMar>
            <w:vAlign w:val="center"/>
          </w:tcPr>
          <w:p>
            <w:pPr>
              <w:pStyle w:val="TableContents"/>
              <w:bidi w:val="0"/>
              <w:spacing w:lineRule="auto" w:line="288" w:before="240" w:after="283"/>
              <w:jc w:val="left"/>
              <w:rPr>
                <w:color w:val="000000"/>
              </w:rPr>
            </w:pPr>
            <w:r>
              <w:rPr>
                <w:color w:val="000000"/>
              </w:rPr>
              <w:t> </w:t>
            </w:r>
          </w:p>
        </w:tc>
        <w:tc>
          <w:tcPr>
            <w:tcW w:w="2745" w:type="dxa"/>
            <w:gridSpan w:val="16"/>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Fixed Maturity Securities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1270" w:type="dxa"/>
            <w:gridSpan w:val="3"/>
            <w:tcBorders/>
            <w:tcMar>
              <w:top w:w="0" w:type="dxa"/>
              <w:left w:w="0" w:type="dxa"/>
              <w:bottom w:w="0" w:type="dxa"/>
              <w:right w:w="0" w:type="dxa"/>
            </w:tcMar>
            <w:vAlign w:val="center"/>
          </w:tcPr>
          <w:p>
            <w:pPr>
              <w:pStyle w:val="TableContents"/>
              <w:bidi w:val="0"/>
              <w:spacing w:lineRule="auto" w:line="288" w:before="240" w:after="283"/>
              <w:jc w:val="left"/>
              <w:rPr>
                <w:color w:val="000000"/>
              </w:rPr>
            </w:pPr>
            <w:r>
              <w:rPr>
                <w:color w:val="000000"/>
              </w:rPr>
              <w:t> </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Corporate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Structured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Foreign Government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Equity</w:t>
              <w:br/>
              <w:t>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Short-term</w:t>
              <w:br/>
              <w:t>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Net</w:t>
              <w:br/>
              <w:t>Derivatives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Embedded Derivatives on Index-Linked Annuities</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70" w:type="dxa"/>
            <w:gridSpan w:val="3"/>
            <w:tcBorders/>
            <w:tcMar>
              <w:top w:w="0" w:type="dxa"/>
              <w:left w:w="0" w:type="dxa"/>
              <w:bottom w:w="0" w:type="dxa"/>
              <w:right w:w="0" w:type="dxa"/>
            </w:tcMar>
            <w:vAlign w:val="center"/>
          </w:tcPr>
          <w:p>
            <w:pPr>
              <w:pStyle w:val="TableContents"/>
              <w:bidi w:val="0"/>
              <w:spacing w:lineRule="auto" w:line="288" w:before="240" w:after="283"/>
              <w:jc w:val="left"/>
              <w:rPr>
                <w:color w:val="000000"/>
              </w:rPr>
            </w:pPr>
            <w:r>
              <w:rPr>
                <w:color w:val="000000"/>
              </w:rPr>
              <w:t> </w:t>
            </w:r>
          </w:p>
        </w:tc>
        <w:tc>
          <w:tcPr>
            <w:tcW w:w="6124" w:type="dxa"/>
            <w:gridSpan w:val="34"/>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(In millions)</w:t>
            </w:r>
          </w:p>
        </w:tc>
        <w:tc>
          <w:tcPr>
            <w:tcW w:w="2811" w:type="dxa"/>
            <w:gridSpan w:val="14"/>
            <w:tcBorders/>
          </w:tcPr>
          <w:p>
            <w:pPr>
              <w:pStyle w:val="TableContents"/>
              <w:bidi w:val="0"/>
              <w:spacing w:before="0" w:after="283"/>
              <w:jc w:val="left"/>
              <w:rPr>
                <w:sz w:val="4"/>
                <w:szCs w:val="4"/>
              </w:rPr>
            </w:pPr>
            <w:r>
              <w:rPr>
                <w:sz w:val="4"/>
                <w:szCs w:val="4"/>
              </w:rPr>
            </w:r>
          </w:p>
        </w:tc>
      </w:tr>
      <w:tr>
        <w:trPr/>
        <w:tc>
          <w:tcPr>
            <w:tcW w:w="127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Balance, January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38"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1,320 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380 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36 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7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(8,186)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7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Total realized/unrealized gains (losses) included in net income (loss) (3)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(67)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(3,951)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7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Total realized/unrealized gains (losses) included in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7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4"/>
              </w:rPr>
            </w:pPr>
            <w:r>
              <w:rPr>
                <w:rFonts w:ascii="Times New Roman;serif" w:hAnsi="Times New Roman;serif"/>
                <w:b w:val="false"/>
                <w:color w:val="000000"/>
                <w:sz w:val="14"/>
              </w:rPr>
              <w:t>Purchases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323 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137 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7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4"/>
              </w:rPr>
            </w:pPr>
            <w:r>
              <w:rPr>
                <w:rFonts w:ascii="Times New Roman;serif" w:hAnsi="Times New Roman;serif"/>
                <w:b w:val="false"/>
                <w:color w:val="000000"/>
                <w:sz w:val="14"/>
              </w:rPr>
              <w:t>Sales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(239)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(87)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7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4"/>
              </w:rPr>
            </w:pPr>
            <w:r>
              <w:rPr>
                <w:rFonts w:ascii="Times New Roman;serif" w:hAnsi="Times New Roman;serif"/>
                <w:b w:val="false"/>
                <w:color w:val="000000"/>
                <w:sz w:val="14"/>
              </w:rPr>
              <w:t>Issuances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7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4"/>
              </w:rPr>
            </w:pPr>
            <w:r>
              <w:rPr>
                <w:rFonts w:ascii="Times New Roman;serif" w:hAnsi="Times New Roman;serif"/>
                <w:b w:val="false"/>
                <w:color w:val="000000"/>
                <w:sz w:val="14"/>
              </w:rPr>
              <w:t>Settlements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644 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7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4"/>
              </w:rPr>
            </w:pPr>
            <w:r>
              <w:rPr>
                <w:rFonts w:ascii="Times New Roman;serif" w:hAnsi="Times New Roman;serif"/>
                <w:b w:val="false"/>
                <w:color w:val="000000"/>
                <w:sz w:val="14"/>
              </w:rPr>
              <w:t>Transfers into Level 3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53 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7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Transfers out of Level 3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(300)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(69)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(15)</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7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Balance,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1,092 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365 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(11,493)</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7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Total realized/unrealized gains (losses) included in net income (loss) (3)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(3,090)</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7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Total realized/unrealized gains (losses) included in AOCI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20 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7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4"/>
              </w:rPr>
            </w:pPr>
            <w:r>
              <w:rPr>
                <w:rFonts w:ascii="Times New Roman;serif" w:hAnsi="Times New Roman;serif"/>
                <w:b w:val="false"/>
                <w:color w:val="000000"/>
                <w:sz w:val="14"/>
              </w:rPr>
              <w:t>Purchases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292 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78 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7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4"/>
              </w:rPr>
            </w:pPr>
            <w:r>
              <w:rPr>
                <w:rFonts w:ascii="Times New Roman;serif" w:hAnsi="Times New Roman;serif"/>
                <w:b w:val="false"/>
                <w:color w:val="000000"/>
                <w:sz w:val="14"/>
              </w:rPr>
              <w:t>Sales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(235)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(109)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7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4"/>
              </w:rPr>
            </w:pPr>
            <w:r>
              <w:rPr>
                <w:rFonts w:ascii="Times New Roman;serif" w:hAnsi="Times New Roman;serif"/>
                <w:b w:val="false"/>
                <w:color w:val="000000"/>
                <w:sz w:val="14"/>
              </w:rPr>
              <w:t>Issuances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7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4"/>
              </w:rPr>
            </w:pPr>
            <w:r>
              <w:rPr>
                <w:rFonts w:ascii="Times New Roman;serif" w:hAnsi="Times New Roman;serif"/>
                <w:b w:val="false"/>
                <w:color w:val="000000"/>
                <w:sz w:val="14"/>
              </w:rPr>
              <w:t>Settlements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2,256 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7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4"/>
              </w:rPr>
            </w:pPr>
            <w:r>
              <w:rPr>
                <w:rFonts w:ascii="Times New Roman;serif" w:hAnsi="Times New Roman;serif"/>
                <w:b w:val="false"/>
                <w:color w:val="000000"/>
                <w:sz w:val="14"/>
              </w:rPr>
              <w:t>Transfers into Level 3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7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4"/>
              </w:rPr>
            </w:pPr>
            <w:r>
              <w:rPr>
                <w:rFonts w:ascii="Times New Roman;serif" w:hAnsi="Times New Roman;serif"/>
                <w:b w:val="false"/>
                <w:color w:val="000000"/>
                <w:sz w:val="14"/>
              </w:rPr>
              <w:t>Transfers out of Level 3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(362)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(61)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7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Balance,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798 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269 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24 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(12,327)</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Changes in unrealized gains (losses) included in net income (loss) for the instruments still held at December 31, 2023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(11)</w:t>
            </w:r>
          </w:p>
        </w:tc>
        <w:tc>
          <w:tcPr>
            <w:tcW w:w="12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7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(5)</w:t>
            </w:r>
          </w:p>
        </w:tc>
        <w:tc>
          <w:tcPr>
            <w:tcW w:w="12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70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(4,513)</w:t>
            </w:r>
          </w:p>
        </w:tc>
        <w:tc>
          <w:tcPr>
            <w:tcW w:w="14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Changes in unrealized gains (losses) included in net income (loss) for the instruments still held at December 31, 2024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(59)</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7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7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(4,687)</w:t>
            </w:r>
          </w:p>
        </w:tc>
        <w:tc>
          <w:tcPr>
            <w:tcW w:w="14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Changes in unrealized gains (losses) included in net income (loss) for the instruments still held at December 31, 2025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(9)</w:t>
            </w:r>
          </w:p>
        </w:tc>
        <w:tc>
          <w:tcPr>
            <w:tcW w:w="12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7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2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70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(4,282)</w:t>
            </w:r>
          </w:p>
        </w:tc>
        <w:tc>
          <w:tcPr>
            <w:tcW w:w="14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Changes in unrealized gains (losses) included in OCI for the instruments still held as of December 31, 2023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7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Changes in unrealized gains (losses) included in OCI for the instruments still held as of December 31, 2024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w:t>
            </w:r>
          </w:p>
        </w:tc>
        <w:tc>
          <w:tcPr>
            <w:tcW w:w="12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7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0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Changes in unrealized gains (losses) included in OCI for the instruments still held as of December 31, 2025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17 </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w:t>
            </w:r>
          </w:p>
        </w:tc>
        <w:tc>
          <w:tcPr>
            <w:tcW w:w="1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7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Gains (Losses) Data for the year ended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Total realized/unrealized gains (losses) included in net income (loss) (3)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38"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(11)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7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(4,097)</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realized/unrealized gains (losses) included in AOCI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28 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72"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(1)Comprised of U.S. and foreign corporate securities.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(2)Freestanding derivative assets and liabilities are reported net for purposes of the rollforward.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(3)Amortization of premium/accretion of discount is included in net investment income. Changes in the allowance for credit losses and direct write-offs are charged to net income (loss) on securities are included in net investment gains (losses).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199515"/>
                <wp:effectExtent l="0" t="0" r="0" b="0"/>
                <wp:wrapNone/>
                <wp:docPr id="137" name="Frame136"/>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10. Fair Value (continued)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Lapses associated with net embedded derivatives are included in net derivative gains (losses). Substantially all realized/unrealized gains (losses) included in net income (loss) for net derivatives and net embedded derivatives are reported in net derivative gains (losses).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(4)Interest and dividend accruals, as well as cash interest coupons and dividends received, are excluded from the rollforward.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(5)Items purchased/issued and then sold/settled in the same period are excluded from the rollforward. Fees attributed to embedded derivatives are included in settlements.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(6)Gains and losses, in net income (loss) and OCI, are calculated assuming transfers into and/or out of Level 3 occurred at the beginning of the period. Items transferred into and out of Level 3 in the same period are excluded from the rollforward.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(7)Changes in unrealized gains (losses) included in net income (loss) for fixed maturities are reported in either net investment income or net investment gains (losses). Substantially all changes in unrealized gains (losses) included in net income (loss) for net derivatives and net embedded derivatives are reported in net derivative gains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Fair Value of Financial Instruments Carried at Other Than Fair Value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fair value information for financial instruments that are carried on the balance sheet at amounts other than fair value. These tables exclude the following financial instruments: cash and cash equivalents, accrued investment income and payables for collateral under securities loaned and other transactions. The estimated fair value of the excluded financial instruments, which are primarily classified in Level 2, approximates carrying value as they are short-term in nature such that the Company believes there is minimal risk of material changes in interest rates or credit quality. All remaining balance sheet amounts excluded from the tables below are not considered financial instruments subject to this disclosure.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carrying values and estimated fair values for such financial instruments, and their corresponding placement in the fair value hierarchy, are summarized as follows at:</w:t>
      </w:r>
    </w:p>
    <w:tbl>
      <w:tblPr>
        <w:tblW w:w="10205" w:type="dxa"/>
        <w:jc w:val="left"/>
        <w:tblInd w:w="0" w:type="dxa"/>
        <w:tblLayout w:type="fixed"/>
        <w:tblCellMar>
          <w:top w:w="28" w:type="dxa"/>
          <w:left w:w="28" w:type="dxa"/>
          <w:bottom w:w="28" w:type="dxa"/>
          <w:right w:w="28" w:type="dxa"/>
        </w:tblCellMar>
      </w:tblPr>
      <w:tblGrid>
        <w:gridCol w:w="1131"/>
        <w:gridCol w:w="982"/>
        <w:gridCol w:w="990"/>
        <w:gridCol w:w="251"/>
        <w:gridCol w:w="831"/>
        <w:gridCol w:w="139"/>
        <w:gridCol w:w="109"/>
        <w:gridCol w:w="109"/>
        <w:gridCol w:w="109"/>
        <w:gridCol w:w="196"/>
        <w:gridCol w:w="406"/>
        <w:gridCol w:w="109"/>
        <w:gridCol w:w="109"/>
        <w:gridCol w:w="109"/>
        <w:gridCol w:w="109"/>
        <w:gridCol w:w="196"/>
        <w:gridCol w:w="556"/>
        <w:gridCol w:w="109"/>
        <w:gridCol w:w="109"/>
        <w:gridCol w:w="109"/>
        <w:gridCol w:w="109"/>
        <w:gridCol w:w="196"/>
        <w:gridCol w:w="646"/>
        <w:gridCol w:w="109"/>
        <w:gridCol w:w="109"/>
        <w:gridCol w:w="109"/>
        <w:gridCol w:w="109"/>
        <w:gridCol w:w="402"/>
        <w:gridCol w:w="1328"/>
        <w:gridCol w:w="320"/>
      </w:tblGrid>
      <w:tr>
        <w:trPr/>
        <w:tc>
          <w:tcPr>
            <w:tcW w:w="113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2" w:type="dxa"/>
            <w:gridSpan w:val="27"/>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Fair Value Hierarchy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Total Estimated Fair Value</w:t>
            </w:r>
          </w:p>
        </w:tc>
      </w:tr>
      <w:tr>
        <w:trPr/>
        <w:tc>
          <w:tcPr>
            <w:tcW w:w="3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2" w:type="dxa"/>
            <w:gridSpan w:val="27"/>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Mortgage loans</w:t>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22,726 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21,705 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Policy loans</w:t>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1,047 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1,072 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Other invested assets</w:t>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Premiums, reinsurance and other receivables</w:t>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7,978 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8,030 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Policyholder account balances</w:t>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28,701 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28,644 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28,644 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832 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768 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1,249 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1,249 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Separate account liabilities</w:t>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1,260 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1,260 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199515"/>
                <wp:effectExtent l="0" t="0" r="0" b="0"/>
                <wp:wrapNone/>
                <wp:docPr id="138" name="Frame137"/>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10. Fair Value (continued)</w:t>
      </w:r>
    </w:p>
    <w:tbl>
      <w:tblPr>
        <w:tblW w:w="10205" w:type="dxa"/>
        <w:jc w:val="right"/>
        <w:tblInd w:w="0" w:type="dxa"/>
        <w:tblLayout w:type="fixed"/>
        <w:tblCellMar>
          <w:top w:w="28" w:type="dxa"/>
          <w:left w:w="28" w:type="dxa"/>
          <w:bottom w:w="28" w:type="dxa"/>
          <w:right w:w="28" w:type="dxa"/>
        </w:tblCellMar>
      </w:tblPr>
      <w:tblGrid>
        <w:gridCol w:w="1131"/>
        <w:gridCol w:w="982"/>
        <w:gridCol w:w="990"/>
        <w:gridCol w:w="251"/>
        <w:gridCol w:w="831"/>
        <w:gridCol w:w="139"/>
        <w:gridCol w:w="109"/>
        <w:gridCol w:w="109"/>
        <w:gridCol w:w="109"/>
        <w:gridCol w:w="196"/>
        <w:gridCol w:w="406"/>
        <w:gridCol w:w="109"/>
        <w:gridCol w:w="109"/>
        <w:gridCol w:w="109"/>
        <w:gridCol w:w="109"/>
        <w:gridCol w:w="196"/>
        <w:gridCol w:w="556"/>
        <w:gridCol w:w="109"/>
        <w:gridCol w:w="109"/>
        <w:gridCol w:w="109"/>
        <w:gridCol w:w="109"/>
        <w:gridCol w:w="196"/>
        <w:gridCol w:w="646"/>
        <w:gridCol w:w="109"/>
        <w:gridCol w:w="109"/>
        <w:gridCol w:w="109"/>
        <w:gridCol w:w="109"/>
        <w:gridCol w:w="402"/>
        <w:gridCol w:w="1328"/>
        <w:gridCol w:w="320"/>
      </w:tblGrid>
      <w:tr>
        <w:trPr/>
        <w:tc>
          <w:tcPr>
            <w:tcW w:w="113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2" w:type="dxa"/>
            <w:gridSpan w:val="27"/>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Fair Value Hierarchy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Total Estimated Fair Value</w:t>
            </w:r>
          </w:p>
        </w:tc>
      </w:tr>
      <w:tr>
        <w:trPr/>
        <w:tc>
          <w:tcPr>
            <w:tcW w:w="3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2" w:type="dxa"/>
            <w:gridSpan w:val="27"/>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Mortgage loans</w:t>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23,254 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21,343 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Policy loans</w:t>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1,626 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1,646 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r>
      <w:tr>
        <w:trPr/>
        <w:tc>
          <w:tcPr>
            <w:tcW w:w="3103"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Other invested assets</w:t>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Premiums, reinsurance and other receivables</w:t>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8,394 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9,145 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Policyholder account balances</w:t>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31,830 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31,467 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31,467 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833 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785 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1,360 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1,360 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Separate account liabilities</w:t>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1,244 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1,244 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11. Long-term and Short-term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Long-term debt outstanding was as follows at:</w:t>
      </w:r>
    </w:p>
    <w:tbl>
      <w:tblPr>
        <w:tblW w:w="8320" w:type="dxa"/>
        <w:jc w:val="left"/>
        <w:tblInd w:w="0" w:type="dxa"/>
        <w:tblLayout w:type="fixed"/>
        <w:tblCellMar>
          <w:top w:w="28" w:type="dxa"/>
          <w:left w:w="28" w:type="dxa"/>
          <w:bottom w:w="28" w:type="dxa"/>
          <w:right w:w="28" w:type="dxa"/>
        </w:tblCellMar>
      </w:tblPr>
      <w:tblGrid>
        <w:gridCol w:w="1059"/>
        <w:gridCol w:w="931"/>
        <w:gridCol w:w="934"/>
        <w:gridCol w:w="109"/>
        <w:gridCol w:w="109"/>
        <w:gridCol w:w="109"/>
        <w:gridCol w:w="519"/>
        <w:gridCol w:w="519"/>
        <w:gridCol w:w="521"/>
        <w:gridCol w:w="109"/>
        <w:gridCol w:w="109"/>
        <w:gridCol w:w="109"/>
        <w:gridCol w:w="255"/>
        <w:gridCol w:w="255"/>
        <w:gridCol w:w="256"/>
        <w:gridCol w:w="109"/>
        <w:gridCol w:w="109"/>
        <w:gridCol w:w="109"/>
        <w:gridCol w:w="196"/>
        <w:gridCol w:w="421"/>
        <w:gridCol w:w="109"/>
        <w:gridCol w:w="109"/>
        <w:gridCol w:w="109"/>
        <w:gridCol w:w="109"/>
        <w:gridCol w:w="196"/>
        <w:gridCol w:w="421"/>
        <w:gridCol w:w="109"/>
        <w:gridCol w:w="311"/>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11"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Stated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11"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11"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Surplus note — affiliated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val="false"/>
                <w:color w:val="000000"/>
                <w:sz w:val="18"/>
              </w:rPr>
            </w:pPr>
            <w:r>
              <w:rPr>
                <w:rFonts w:ascii="Times New Roman;serif" w:hAnsi="Times New Roman;serif"/>
                <w:b w:val="false"/>
                <w:color w:val="000000"/>
                <w:sz w:val="18"/>
              </w:rPr>
              <w:t>8.070%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val="false"/>
                <w:color w:val="000000"/>
                <w:sz w:val="18"/>
              </w:rPr>
            </w:pPr>
            <w:r>
              <w:rPr>
                <w:rFonts w:ascii="Times New Roman;serif" w:hAnsi="Times New Roman;serif"/>
                <w:b w:val="false"/>
                <w:color w:val="000000"/>
                <w:sz w:val="18"/>
              </w:rPr>
              <w:t>2059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Surplus note — affiliated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val="false"/>
                <w:color w:val="000000"/>
                <w:sz w:val="18"/>
              </w:rPr>
            </w:pPr>
            <w:r>
              <w:rPr>
                <w:rFonts w:ascii="Times New Roman;serif" w:hAnsi="Times New Roman;serif"/>
                <w:b w:val="false"/>
                <w:color w:val="000000"/>
                <w:sz w:val="18"/>
              </w:rPr>
              <w:t>8.150%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val="false"/>
                <w:color w:val="000000"/>
                <w:sz w:val="18"/>
              </w:rPr>
            </w:pPr>
            <w:r>
              <w:rPr>
                <w:rFonts w:ascii="Times New Roman;serif" w:hAnsi="Times New Roman;serif"/>
                <w:b w:val="false"/>
                <w:color w:val="000000"/>
                <w:sz w:val="18"/>
              </w:rPr>
              <w:t>2058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Surplus note — affiliated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val="false"/>
                <w:color w:val="000000"/>
                <w:sz w:val="18"/>
              </w:rPr>
            </w:pPr>
            <w:r>
              <w:rPr>
                <w:rFonts w:ascii="Times New Roman;serif" w:hAnsi="Times New Roman;serif"/>
                <w:b w:val="false"/>
                <w:color w:val="000000"/>
                <w:sz w:val="18"/>
              </w:rPr>
              <w:t>7.800%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val="false"/>
                <w:color w:val="000000"/>
                <w:sz w:val="18"/>
              </w:rPr>
            </w:pPr>
            <w:r>
              <w:rPr>
                <w:rFonts w:ascii="Times New Roman;serif" w:hAnsi="Times New Roman;serif"/>
                <w:b w:val="false"/>
                <w:color w:val="000000"/>
                <w:sz w:val="18"/>
              </w:rPr>
              <w:t>2058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Other long-term debt — unaffiliated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val="false"/>
                <w:color w:val="000000"/>
                <w:sz w:val="18"/>
              </w:rPr>
            </w:pPr>
            <w:r>
              <w:rPr>
                <w:rFonts w:ascii="Times New Roman;serif" w:hAnsi="Times New Roman;serif"/>
                <w:b w:val="false"/>
                <w:color w:val="000000"/>
                <w:sz w:val="18"/>
              </w:rPr>
              <w:t>7.028%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Total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(1)Interest on affiliated surplus notes is payable annually. Payments of interest and principal may be made only with the prior approval of the Delaware Department of Insurance.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Represents non-recourse debt of a subsidiary for which creditors have no access, subject to customary exceptions, to the general assets of the Company other than recourse to certain investment companies.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aggregate maturities of long-term debt at December 31, 2025 were $3 million in each of 2026, 2027 and 2028, $4 million in each of 2029 and 2030, and $815 million thereafter.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expense related to long-term and short-term debt of $67 million, $67 million and $70 million for the years ended December 31, 2025, 2024 and 2023, respectively, is included in other expenses, of which $65 million, $65 million and $68 million, respectively, was associated with affiliated debt.</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Intercompany Liquidity Facilities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BHF has established an intercompany liquidity facility with certain of its insurance and non-insurance subsidiaries to provide short-term liquidity within and across the combined group of companies. Under the facility, which is comprised of a series of revolving loan agreements among BHF and its participating subsidiaries, each company may lend to or borrow from each other, subject to certain maximum limits for a term of up to 364 days, depending on the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199515"/>
                <wp:effectExtent l="0" t="0" r="0" b="0"/>
                <wp:wrapNone/>
                <wp:docPr id="139" name="Frame138"/>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v:textbox>
                <w10:wrap type="none"/>
              </v:rect>
            </w:pict>
          </mc:Fallback>
        </mc:AlternateContent>
      </w:r>
    </w:p>
    <w:p>
      <w:pPr>
        <w:pStyle w:val="TextBody"/>
        <w:bidi w:val="0"/>
        <w:spacing w:lineRule="auto" w:line="288" w:before="18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11. Long-term and Short-term Debt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16, 2023, BH Holdings issued a $125 million promissory note to Brighthouse Life Insurance Company which bore interest at a fixed rate of 5.9966%, and Brighthouse Life Insurance Company of NY (“BHNY”) issued a $125 million promissory note to BH Holdings which bore interest at a fixed rate of 5.9937% (the “2023 Promissory Notes”). On March 28, 2023, BHNY repaid to BH Holdings, and BH Holdings repaid to Brighthouse Life Insurance Company, each $50 million of principal plus accrued interest in cash on the respective 2023 Promissory Notes. Upon maturity on May 16, 2023, the 2023 Promissory Notes were replaced by two new $75 million promissory notes that bore interest at a fixed rate of 6.4433% and 6.2918%, respectively, and were both repaid on June 30, 2023.</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Committed Facilities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Reinsurance Financing Arrangement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Brighthouse Reinsurance Company of Delaware (“BRCD”) maintains a $15.0 billion financing arrangement with a pool of highly rated third-party reinsurers consisting of credit-linked notes that each mature in 2039. At December 31, 2025, there were no borrowings and there was $15.0 billion of funding available under this financing arrangement. For the years ended December 31, 2025, 2024 and 2023, the Company recognized commitment fees of $22 million, $21 million and $21 million, respectively, in other expenses associated with this financing arrangement.</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Repurchase Facilities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December 31, 2025, Brighthouse Life Insurance Company maintains secured committed repurchase facilities (the “Repurchase Facilities”) with terms of up to three years under which Brighthouse Life Insurance Company may enter into repurchase transactions in an aggregate amount up to $2.5 billion. Under the Repurchase Facilities, Brighthouse Life Insurance Company may sell certain eligible securities at a purchase price based on the market value of the securities less an applicable margin based on the types of securities sold, with a concurrent agreement to repurchase such securities at a predetermined future date (up to three months) and at a price which represents the original purchase price plus interest. At December 31, 2025, there were no borrowings under the Repurchase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12.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Capital Transactions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received a cash capital contribution of $100 million from BH Holdings. The Company did not receive any capital contributions from BH Holdings for the years ended December 31,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Statutory Financial Information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states of domicile of Brighthouse Life Insurance Company and BHNY impose RBC requirements that were developed by the National Association of Insurance Commissioners (“NAIC”). Such requirements are used by regulators to assess the minimum amount of statutory capital and surplus needed for an insurance company to support its operations, based on its size and risk profile (referred to as “company action level RBC”). RBC is based on statutory financial statements and is calculated in a manner prescribed by the NAIC. The RBC ratio, which is the basis for determining regulatory compliance, is equal to total adjusted capital divided by the applicable company action level RBC. Companies below 100% of their company action level RBC are subject to corrective action. As of December 31, 2025, the annual RBC ratios for Brighthouse Life Insurance Company and BHNY were each in excess of 400%.</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Brighthouse Life Insurance Company and BHNY prepare statutory-basis financial statements in accordance with statutory accounting practices prescribed or permitted by the insurance department of the state of domicile.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Statutory accounting principles differ from GAAP primarily by charging policy acquisition costs to expense as incurred, establishing future policy benefit liabilities using different actuarial assumptions, reporting of reinsurance agreements and valuing investments and deferred tax assets on a different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199515"/>
                <wp:effectExtent l="0" t="0" r="0" b="0"/>
                <wp:wrapNone/>
                <wp:docPr id="140" name="Frame139"/>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v:textbox>
                <w10:wrap type="none"/>
              </v:rect>
            </w:pict>
          </mc:Fallback>
        </mc:AlternateContent>
      </w:r>
    </w:p>
    <w:p>
      <w:pPr>
        <w:pStyle w:val="TextBody"/>
        <w:bidi w:val="0"/>
        <w:spacing w:lineRule="auto" w:line="288" w:before="18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12. Equity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tables below present amounts from Brighthouse Life Insurance Company and BHNY, which are derived from the statutory-basis financial statements to be filed with the insurance regulators.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Statutory net income (loss) was as follows:</w:t>
      </w:r>
    </w:p>
    <w:tbl>
      <w:tblPr>
        <w:tblW w:w="8676" w:type="dxa"/>
        <w:jc w:val="left"/>
        <w:tblInd w:w="0" w:type="dxa"/>
        <w:tblLayout w:type="fixed"/>
        <w:tblCellMar>
          <w:top w:w="28" w:type="dxa"/>
          <w:left w:w="28" w:type="dxa"/>
          <w:bottom w:w="28" w:type="dxa"/>
          <w:right w:w="28" w:type="dxa"/>
        </w:tblCellMar>
      </w:tblPr>
      <w:tblGrid>
        <w:gridCol w:w="1192"/>
        <w:gridCol w:w="1049"/>
        <w:gridCol w:w="1058"/>
        <w:gridCol w:w="109"/>
        <w:gridCol w:w="109"/>
        <w:gridCol w:w="109"/>
        <w:gridCol w:w="450"/>
        <w:gridCol w:w="450"/>
        <w:gridCol w:w="451"/>
        <w:gridCol w:w="109"/>
        <w:gridCol w:w="109"/>
        <w:gridCol w:w="109"/>
        <w:gridCol w:w="196"/>
        <w:gridCol w:w="631"/>
        <w:gridCol w:w="109"/>
        <w:gridCol w:w="109"/>
        <w:gridCol w:w="109"/>
        <w:gridCol w:w="109"/>
        <w:gridCol w:w="196"/>
        <w:gridCol w:w="496"/>
        <w:gridCol w:w="109"/>
        <w:gridCol w:w="109"/>
        <w:gridCol w:w="109"/>
        <w:gridCol w:w="109"/>
        <w:gridCol w:w="196"/>
        <w:gridCol w:w="631"/>
        <w:gridCol w:w="154"/>
      </w:tblGrid>
      <w:tr>
        <w:trPr/>
        <w:tc>
          <w:tcPr>
            <w:tcW w:w="1192"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15"/>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6"/>
              </w:rPr>
            </w:pPr>
            <w:r>
              <w:rPr>
                <w:rFonts w:ascii="Times New Roman;serif" w:hAnsi="Times New Roman;serif"/>
                <w:b/>
                <w:color w:val="000000"/>
                <w:sz w:val="16"/>
              </w:rPr>
              <w:t>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State of Domicile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15"/>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Brighthouse Life Insurance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Delaware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(3,131)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Brighthouse Life Insurance Company of 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New York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539 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Statutory capital and surplus was as follows at:</w:t>
      </w:r>
    </w:p>
    <w:tbl>
      <w:tblPr>
        <w:tblW w:w="5720" w:type="dxa"/>
        <w:jc w:val="left"/>
        <w:tblInd w:w="0" w:type="dxa"/>
        <w:tblLayout w:type="fixed"/>
        <w:tblCellMar>
          <w:top w:w="28" w:type="dxa"/>
          <w:left w:w="28" w:type="dxa"/>
          <w:bottom w:w="28" w:type="dxa"/>
          <w:right w:w="28" w:type="dxa"/>
        </w:tblCellMar>
      </w:tblPr>
      <w:tblGrid>
        <w:gridCol w:w="1192"/>
        <w:gridCol w:w="1049"/>
        <w:gridCol w:w="1058"/>
        <w:gridCol w:w="109"/>
        <w:gridCol w:w="109"/>
        <w:gridCol w:w="109"/>
        <w:gridCol w:w="196"/>
        <w:gridCol w:w="556"/>
        <w:gridCol w:w="109"/>
        <w:gridCol w:w="109"/>
        <w:gridCol w:w="109"/>
        <w:gridCol w:w="109"/>
        <w:gridCol w:w="196"/>
        <w:gridCol w:w="556"/>
        <w:gridCol w:w="154"/>
      </w:tblGrid>
      <w:tr>
        <w:trPr/>
        <w:tc>
          <w:tcPr>
            <w:tcW w:w="1192"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6"/>
              </w:rPr>
            </w:pPr>
            <w:r>
              <w:rPr>
                <w:rFonts w:ascii="Times New Roman;serif" w:hAnsi="Times New Roman;serif"/>
                <w:b/>
                <w:color w:val="000000"/>
                <w:sz w:val="16"/>
              </w:rPr>
              <w:t>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Brighthouse Life Insurance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3,673 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Brighthouse Life Insurance Company of 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699 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a reinsurance subsidiary, BRCD, which reinsures risks including level premium term life and ULSG assumed from other Brighthouse Financial life insurance subsidiaries. BRCD, with the explicit permission of the Delaware Insurance Commissioner (“Delaware Commissioner”), has included the value of credit-linked notes as admitted assets, which resulted in higher statutory capital and surplus of $11.5 billion at both December 31, 2025 and 2024.</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statutory net income (loss) of BRCD was ($120) million, ($447) million and ($300) million for the years ended December 31, 2025, 2024 and 2023, respectively, and the combined statutory capital and surplus, including the aforementioned prescribed practices, were $678 million and $703 million at December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Dividend Restrictions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 below sets forth the dividends permitted to be paid by Brighthouse Life Insurance Company and BHNY without insurance regulatory approval and dividends paid:</w:t>
      </w:r>
    </w:p>
    <w:tbl>
      <w:tblPr>
        <w:tblW w:w="9261" w:type="dxa"/>
        <w:jc w:val="left"/>
        <w:tblInd w:w="0" w:type="dxa"/>
        <w:tblLayout w:type="fixed"/>
        <w:tblCellMar>
          <w:top w:w="28" w:type="dxa"/>
          <w:left w:w="28" w:type="dxa"/>
          <w:bottom w:w="28" w:type="dxa"/>
          <w:right w:w="28" w:type="dxa"/>
        </w:tblCellMar>
      </w:tblPr>
      <w:tblGrid>
        <w:gridCol w:w="1192"/>
        <w:gridCol w:w="1049"/>
        <w:gridCol w:w="1059"/>
        <w:gridCol w:w="109"/>
        <w:gridCol w:w="109"/>
        <w:gridCol w:w="109"/>
        <w:gridCol w:w="676"/>
        <w:gridCol w:w="1403"/>
        <w:gridCol w:w="381"/>
        <w:gridCol w:w="109"/>
        <w:gridCol w:w="109"/>
        <w:gridCol w:w="109"/>
        <w:gridCol w:w="196"/>
        <w:gridCol w:w="406"/>
        <w:gridCol w:w="109"/>
        <w:gridCol w:w="109"/>
        <w:gridCol w:w="109"/>
        <w:gridCol w:w="109"/>
        <w:gridCol w:w="196"/>
        <w:gridCol w:w="406"/>
        <w:gridCol w:w="109"/>
        <w:gridCol w:w="109"/>
        <w:gridCol w:w="109"/>
        <w:gridCol w:w="109"/>
        <w:gridCol w:w="196"/>
        <w:gridCol w:w="421"/>
        <w:gridCol w:w="154"/>
      </w:tblGrid>
      <w:tr>
        <w:trPr/>
        <w:tc>
          <w:tcPr>
            <w:tcW w:w="1192"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6"/>
              </w:rPr>
            </w:pPr>
            <w:r>
              <w:rPr>
                <w:rFonts w:ascii="Times New Roman;serif" w:hAnsi="Times New Roman;serif"/>
                <w:b/>
                <w:color w:val="000000"/>
                <w:sz w:val="16"/>
              </w:rPr>
              <w:t>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Permitted Without Approval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Paid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Paid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Paid (2)</w:t>
            </w:r>
          </w:p>
        </w:tc>
      </w:tr>
      <w:tr>
        <w:trPr/>
        <w:tc>
          <w:tcPr>
            <w:tcW w:w="3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4" w:type="dxa"/>
            <w:gridSpan w:val="21"/>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Brighthouse Life Insurance Company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403"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Brighthouse Life Insurance Company of 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403"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(1)Reflects dividend amounts that may be paid during 2026 without prior regulatory approval.</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(2)Reflects all amounts paid, including those requiring regulatory approval.</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(3)Any payment of dividends in 2026 would be considered an extraordinary dividend subject to regulatory approval due to negative unassigned funds (surplus).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199515"/>
                <wp:effectExtent l="0" t="0" r="0" b="0"/>
                <wp:wrapNone/>
                <wp:docPr id="141" name="Frame140"/>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v:textbox>
                <w10:wrap type="none"/>
              </v:rect>
            </w:pict>
          </mc:Fallback>
        </mc:AlternateContent>
      </w:r>
    </w:p>
    <w:p>
      <w:pPr>
        <w:pStyle w:val="TextBody"/>
        <w:bidi w:val="0"/>
        <w:spacing w:lineRule="auto" w:line="288" w:before="18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12. Equity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Delaware Insurance Law, Brighthouse Life Insurance Company is permitted, without prior insurance regulatory clearance, to pay a stockholder dividend as long as the amount of the dividend when aggregated with all other dividends in the preceding 12 months does not exceed the greater of: (i) 10% of its surplus to policyholders as of the end of the immediately preceding calendar year; or (ii) its net gain from operations for the immediately preceding calendar year (excluding realized capital gains), not including pro rata distributions of Brighthouse Life Insurance Company’s own securities. Brighthouse Life Insurance Company will be permitted to pay a stockholder dividend in excess of the greater of such two amounts only if it files notice of the declaration of such a dividend and the amount thereof with the Delaware Commissioner and the Delaware Commissioner either approves the distribution of the dividend or does not disapprove the distribution within 30 days of its filing. In addition, any dividend that exceeds earned surplus (defined as “unassigned funds (surplus)”) as of the immediately preceding calendar year requires insurance regulatory approval. Under the Delaware Insurance Law, the Delaware Commissioner has broad discretion in determining whether the financial condition of a stock life insurance company would support the payment of such dividends to its stockholders.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New York insurance laws, BHNY is permitted, without prior insurance regulatory clearance, to pay stockholder dividends to its parent in any calendar year based on one of two standards. Under one standard, BHNY is permitted, without prior insurance regulatory clearance, to pay dividends out of earned surplus (defined as positive “unassigned funds (surplus),” excluding 85% of the change in net unrealized capital gains or losses (less capital gains tax), for the immediately preceding calendar year), in an amount up to the greater of: (i) 10% of its surplus to policyholders as of the end of the immediately preceding calendar year or (ii) its statutory net gain from operations for the immediately preceding calendar year (excluding realized capital gains), not to exceed 30% of surplus to policyholders as of the end of the immediately preceding calendar year. In addition, under this standard, BHNY may not, without prior insurance regulatory clearance, pay any dividends in any calendar year immediately following a calendar year for which its net gain from operations, excluding realized capital gains, was negative. Under the second standard, if dividends are paid from a source other than earned surplus, BHNY may, without prior insurance regulatory clearance, pay an amount up to the lesser of: (i) 10% of its surplus to policyholders as of the end of the immediately preceding calendar year or (ii) its statutory net gain from operations for the immediately preceding calendar year (excluding realized capital gains). In addition, BHNY will be permitted to pay a dividend to its parent in excess of the amounts allowed under both standards only if it files notice of its intention to declare such a dividend and the amount thereof with the New York Superintendent of Financial Services (the “NY Superintendent”), and the NY Superintendent either approves the distribution of the dividend or does not disapprove the dividend within 30 days of its filing. To the extent BHNY pays a stockholder dividend, such dividend will be paid to Brighthouse Life Insurance Company, its direct parent and sole stockholder.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BRCD’s plan of operations, no dividend or distribution may be made by BRCD without the prior approval of the Delaware Commissioner. BRCD did not pay any extraordinary dividends during the years ended December 31, 2025, 2024 and 2023. During each of the years ended December 31, 2025, 2024 and 2023, BRCD paid cash dividends of $1 million to its preferred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199515"/>
                <wp:effectExtent l="0" t="0" r="0" b="0"/>
                <wp:wrapNone/>
                <wp:docPr id="142" name="Frame141"/>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v:textbox>
                <w10:wrap type="none"/>
              </v:rect>
            </w:pict>
          </mc:Fallback>
        </mc:AlternateContent>
      </w:r>
    </w:p>
    <w:p>
      <w:pPr>
        <w:pStyle w:val="TextBody"/>
        <w:bidi w:val="0"/>
        <w:spacing w:lineRule="auto" w:line="288" w:before="18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12. Equity (continued)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Accumulated Other Comprehensive Income (Loss)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regarding changes in the balances of each component of AOCI was as follows:</w:t>
      </w:r>
    </w:p>
    <w:tbl>
      <w:tblPr>
        <w:tblW w:w="10205" w:type="dxa"/>
        <w:jc w:val="left"/>
        <w:tblInd w:w="0" w:type="dxa"/>
        <w:tblLayout w:type="fixed"/>
        <w:tblCellMar>
          <w:top w:w="28" w:type="dxa"/>
          <w:left w:w="28" w:type="dxa"/>
          <w:bottom w:w="28" w:type="dxa"/>
          <w:right w:w="28" w:type="dxa"/>
        </w:tblCellMar>
      </w:tblPr>
      <w:tblGrid>
        <w:gridCol w:w="795"/>
        <w:gridCol w:w="389"/>
        <w:gridCol w:w="391"/>
        <w:gridCol w:w="275"/>
        <w:gridCol w:w="835"/>
        <w:gridCol w:w="153"/>
        <w:gridCol w:w="109"/>
        <w:gridCol w:w="109"/>
        <w:gridCol w:w="109"/>
        <w:gridCol w:w="275"/>
        <w:gridCol w:w="593"/>
        <w:gridCol w:w="155"/>
        <w:gridCol w:w="109"/>
        <w:gridCol w:w="109"/>
        <w:gridCol w:w="109"/>
        <w:gridCol w:w="315"/>
        <w:gridCol w:w="919"/>
        <w:gridCol w:w="176"/>
        <w:gridCol w:w="109"/>
        <w:gridCol w:w="109"/>
        <w:gridCol w:w="109"/>
        <w:gridCol w:w="293"/>
        <w:gridCol w:w="832"/>
        <w:gridCol w:w="163"/>
        <w:gridCol w:w="109"/>
        <w:gridCol w:w="109"/>
        <w:gridCol w:w="109"/>
        <w:gridCol w:w="323"/>
        <w:gridCol w:w="571"/>
        <w:gridCol w:w="181"/>
        <w:gridCol w:w="109"/>
        <w:gridCol w:w="109"/>
        <w:gridCol w:w="109"/>
        <w:gridCol w:w="196"/>
        <w:gridCol w:w="578"/>
        <w:gridCol w:w="162"/>
      </w:tblGrid>
      <w:tr>
        <w:trPr/>
        <w:tc>
          <w:tcPr>
            <w:tcW w:w="79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Unrealized Investment Gains (Losses), Net of Related Offsets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Unrealized Gains (Losses)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Changes in Nonperformance Risk on Market Risk Benefits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Changes in Discount Rates on the Liability for Future Policy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0" w:type="dxa"/>
            <w:gridSpan w:val="33"/>
            <w:tcBorders/>
            <w:shd w:fill="FFFFFF" w:val="clear"/>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2022</w:t>
            </w:r>
          </w:p>
        </w:tc>
        <w:tc>
          <w:tcPr>
            <w:tcW w:w="275"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(6,041)</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93"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(1,377)</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1,016 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(5,931)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OCI before reclassifications</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2,109 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(273)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(637)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(376)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841 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benefit (expense) (2)</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(443)</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AOCI before reclassifications, net of income tax</w:t>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(4,375)</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(1,880)</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719 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(5,266)</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AOCI</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benefit (expense) (2)</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Amounts reclassified from AOCI, net of income tax</w:t>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2023</w:t>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(4,214)</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(1,880)</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719 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(5,114)</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OCI before reclassifications</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(1,241)</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(232)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benefit (expense) (2)</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AOCI before reclassifications, net of income tax</w:t>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(5,195)</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(1,602)</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1,146 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(5,298)</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AOCI</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benefit (expense) (2)</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Amounts reclassified from AOCI, net of income tax</w:t>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2024</w:t>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(5,046)</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(1,602)</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1,146 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(5,163)</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OCI before reclassifications</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1,995 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(235)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440 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(330)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1,913 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benefit (expense) (2)</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(418)</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(402)</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AOCI before reclassifications, net of income tax</w:t>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(3,469)</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(1,255)</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885 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(3,652)</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AOCI</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benefit (expense) (2)</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Amounts reclassified from AOCI, net of income tax</w:t>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2025</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(3,414)</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(1,255)</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885 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(3,602)</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(1)See Note 8 for information on offsets to investments related to future policy benefits.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effects of income taxes on amounts recorded to AOCI are also recognized in AOCI. These income tax effects are released from AOCI when the related activity is reclassified into results from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199515"/>
                <wp:effectExtent l="0" t="0" r="0" b="0"/>
                <wp:wrapNone/>
                <wp:docPr id="143" name="Frame142"/>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141</w:t>
                      </w:r>
                    </w:p>
                  </w:txbxContent>
                </v:textbox>
                <w10:wrap type="none"/>
              </v:rect>
            </w:pict>
          </mc:Fallback>
        </mc:AlternateContent>
      </w:r>
    </w:p>
    <w:p>
      <w:pPr>
        <w:pStyle w:val="TextBody"/>
        <w:bidi w:val="0"/>
        <w:spacing w:lineRule="auto" w:line="288" w:before="18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12. Equity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regarding amounts reclassified out of each component of AOCI was as follows:</w:t>
      </w:r>
    </w:p>
    <w:tbl>
      <w:tblPr>
        <w:tblW w:w="10205" w:type="dxa"/>
        <w:jc w:val="left"/>
        <w:tblInd w:w="0" w:type="dxa"/>
        <w:tblLayout w:type="fixed"/>
        <w:tblCellMar>
          <w:top w:w="28" w:type="dxa"/>
          <w:left w:w="28" w:type="dxa"/>
          <w:bottom w:w="28" w:type="dxa"/>
          <w:right w:w="28" w:type="dxa"/>
        </w:tblCellMar>
      </w:tblPr>
      <w:tblGrid>
        <w:gridCol w:w="1285"/>
        <w:gridCol w:w="1053"/>
        <w:gridCol w:w="1058"/>
        <w:gridCol w:w="109"/>
        <w:gridCol w:w="109"/>
        <w:gridCol w:w="109"/>
        <w:gridCol w:w="196"/>
        <w:gridCol w:w="387"/>
        <w:gridCol w:w="109"/>
        <w:gridCol w:w="109"/>
        <w:gridCol w:w="109"/>
        <w:gridCol w:w="109"/>
        <w:gridCol w:w="196"/>
        <w:gridCol w:w="477"/>
        <w:gridCol w:w="109"/>
        <w:gridCol w:w="109"/>
        <w:gridCol w:w="109"/>
        <w:gridCol w:w="109"/>
        <w:gridCol w:w="196"/>
        <w:gridCol w:w="477"/>
        <w:gridCol w:w="109"/>
        <w:gridCol w:w="109"/>
        <w:gridCol w:w="109"/>
        <w:gridCol w:w="109"/>
        <w:gridCol w:w="1094"/>
        <w:gridCol w:w="947"/>
        <w:gridCol w:w="1204"/>
      </w:tblGrid>
      <w:tr>
        <w:trPr/>
        <w:tc>
          <w:tcPr>
            <w:tcW w:w="1285"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r>
      <w:tr>
        <w:trPr/>
        <w:tc>
          <w:tcPr>
            <w:tcW w:w="3396"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AOCI Components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Amounts Reclassified from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5"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Consolidated Statements of Operations Locations</w:t>
            </w:r>
          </w:p>
        </w:tc>
      </w:tr>
      <w:tr>
        <w:trPr/>
        <w:tc>
          <w:tcPr>
            <w:tcW w:w="3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15"/>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Net unrealized investment gains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Net unrealized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7"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7"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7"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Net investment gains (losses)</w:t>
            </w:r>
          </w:p>
        </w:tc>
      </w:tr>
      <w:tr>
        <w:trPr/>
        <w:tc>
          <w:tcPr>
            <w:tcW w:w="3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45" w:type="dxa"/>
            <w:gridSpan w:val="3"/>
            <w:tcBorders/>
            <w:vAlign w:val="center"/>
          </w:tcPr>
          <w:p>
            <w:pPr>
              <w:pStyle w:val="TableContents"/>
              <w:bidi w:val="0"/>
              <w:spacing w:before="0" w:after="283"/>
              <w:jc w:val="left"/>
              <w:rPr>
                <w:sz w:val="4"/>
                <w:szCs w:val="4"/>
              </w:rPr>
            </w:pPr>
            <w:r>
              <w:rPr>
                <w:sz w:val="4"/>
                <w:szCs w:val="4"/>
              </w:rPr>
            </w:r>
          </w:p>
        </w:tc>
      </w:tr>
      <w:tr>
        <w:trPr/>
        <w:tc>
          <w:tcPr>
            <w:tcW w:w="339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Net unrealized investment gains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derivative gains (losses)</w:t>
            </w:r>
          </w:p>
        </w:tc>
      </w:tr>
      <w:tr>
        <w:trPr/>
        <w:tc>
          <w:tcPr>
            <w:tcW w:w="339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unrealized investment gains (losses), before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9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unrealized investment gains (losses), net of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9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Unrealized gains (losses) on derivatives -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Net derivative gains (losses)</w:t>
            </w:r>
          </w:p>
        </w:tc>
      </w:tr>
      <w:tr>
        <w:trPr/>
        <w:tc>
          <w:tcPr>
            <w:tcW w:w="339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Net investment income</w:t>
            </w:r>
          </w:p>
        </w:tc>
      </w:tr>
      <w:tr>
        <w:trPr/>
        <w:tc>
          <w:tcPr>
            <w:tcW w:w="3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45" w:type="dxa"/>
            <w:gridSpan w:val="3"/>
            <w:tcBorders/>
            <w:vAlign w:val="center"/>
          </w:tcPr>
          <w:p>
            <w:pPr>
              <w:pStyle w:val="TableContents"/>
              <w:bidi w:val="0"/>
              <w:spacing w:before="0" w:after="283"/>
              <w:jc w:val="left"/>
              <w:rPr>
                <w:sz w:val="4"/>
                <w:szCs w:val="4"/>
              </w:rPr>
            </w:pPr>
            <w:r>
              <w:rPr>
                <w:sz w:val="4"/>
                <w:szCs w:val="4"/>
              </w:rPr>
            </w:r>
          </w:p>
        </w:tc>
      </w:tr>
      <w:tr>
        <w:trPr/>
        <w:tc>
          <w:tcPr>
            <w:tcW w:w="3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45" w:type="dxa"/>
            <w:gridSpan w:val="3"/>
            <w:tcBorders/>
            <w:vAlign w:val="center"/>
          </w:tcPr>
          <w:p>
            <w:pPr>
              <w:pStyle w:val="TableContents"/>
              <w:bidi w:val="0"/>
              <w:spacing w:before="0" w:after="283"/>
              <w:jc w:val="left"/>
              <w:rPr>
                <w:sz w:val="4"/>
                <w:szCs w:val="4"/>
              </w:rPr>
            </w:pPr>
            <w:r>
              <w:rPr>
                <w:sz w:val="4"/>
                <w:szCs w:val="4"/>
              </w:rPr>
            </w:r>
          </w:p>
        </w:tc>
      </w:tr>
      <w:tr>
        <w:trPr/>
        <w:tc>
          <w:tcPr>
            <w:tcW w:w="339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Net derivative gains (losses)</w:t>
            </w:r>
          </w:p>
        </w:tc>
      </w:tr>
      <w:tr>
        <w:trPr/>
        <w:tc>
          <w:tcPr>
            <w:tcW w:w="3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45" w:type="dxa"/>
            <w:gridSpan w:val="3"/>
            <w:tcBorders/>
            <w:vAlign w:val="center"/>
          </w:tcPr>
          <w:p>
            <w:pPr>
              <w:pStyle w:val="TableContents"/>
              <w:bidi w:val="0"/>
              <w:spacing w:before="0" w:after="283"/>
              <w:jc w:val="left"/>
              <w:rPr>
                <w:sz w:val="4"/>
                <w:szCs w:val="4"/>
              </w:rPr>
            </w:pPr>
            <w:r>
              <w:rPr>
                <w:sz w:val="4"/>
                <w:szCs w:val="4"/>
              </w:rPr>
            </w:r>
          </w:p>
        </w:tc>
      </w:tr>
      <w:tr>
        <w:trPr/>
        <w:tc>
          <w:tcPr>
            <w:tcW w:w="3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4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39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Gains (losses) on cash flow hedges, before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9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Gains (losses) on cash flow hedges, net of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 reclassifications, net of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13. Other Revenues and Other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Other Revenues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contracts with mutual funds, fund managers, and their affiliates (collectively, the “Funds”) whereby the Company is paid monthly or quarterly fees (“12b-1 fees”) for providing certain services to customers and distributors of the Funds. The 12b-1 fees, which are included in other revenues, are generally equal to a fixed percentage of the average daily balance of the customer’s investment in a fund. The percentage is specified in the contract between the Company and the Funds. Payments are generally collected when due and are neither refundable nor able to offset future fees.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earn these fees, the Company performs services such as responding to phone inquiries, maintaining records, providing information to distributors and shareholders about fund performance and providing training to account managers and sales agents. The passage of time reflects the satisfaction of the Company’s performance obligations to the Funds and is used to recognize revenue associated with 12b-1 fees.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revenues included 12b-1 fees of $200 million, $205 million and $199 million for the years ended December 31, 2025, 2024 and 2023, respectively, of which substantially all were reported in the Annuities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199515"/>
                <wp:effectExtent l="0" t="0" r="0" b="0"/>
                <wp:wrapNone/>
                <wp:docPr id="144" name="Frame143"/>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142</w:t>
                      </w:r>
                    </w:p>
                  </w:txbxContent>
                </v:textbox>
                <w10:wrap type="none"/>
              </v:rect>
            </w:pict>
          </mc:Fallback>
        </mc:AlternateContent>
      </w:r>
    </w:p>
    <w:p>
      <w:pPr>
        <w:pStyle w:val="TextBody"/>
        <w:bidi w:val="0"/>
        <w:spacing w:lineRule="auto" w:line="288" w:before="18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13. Other Revenues and Other Expenses (continued)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Other Expenses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on other expenses was as follows:</w:t>
      </w:r>
    </w:p>
    <w:tbl>
      <w:tblPr>
        <w:tblW w:w="8577" w:type="dxa"/>
        <w:jc w:val="left"/>
        <w:tblInd w:w="0" w:type="dxa"/>
        <w:tblLayout w:type="fixed"/>
        <w:tblCellMar>
          <w:top w:w="28" w:type="dxa"/>
          <w:left w:w="28" w:type="dxa"/>
          <w:bottom w:w="28" w:type="dxa"/>
          <w:right w:w="28" w:type="dxa"/>
        </w:tblCellMar>
      </w:tblPr>
      <w:tblGrid>
        <w:gridCol w:w="1917"/>
        <w:gridCol w:w="1685"/>
        <w:gridCol w:w="1693"/>
        <w:gridCol w:w="196"/>
        <w:gridCol w:w="556"/>
        <w:gridCol w:w="109"/>
        <w:gridCol w:w="109"/>
        <w:gridCol w:w="109"/>
        <w:gridCol w:w="109"/>
        <w:gridCol w:w="196"/>
        <w:gridCol w:w="556"/>
        <w:gridCol w:w="109"/>
        <w:gridCol w:w="109"/>
        <w:gridCol w:w="109"/>
        <w:gridCol w:w="109"/>
        <w:gridCol w:w="196"/>
        <w:gridCol w:w="556"/>
        <w:gridCol w:w="154"/>
      </w:tblGrid>
      <w:tr>
        <w:trPr/>
        <w:tc>
          <w:tcPr>
            <w:tcW w:w="1917"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Compensation</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Contracted services and other labor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Transition services agreements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Premium and other taxes, licenses and fees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Volume related costs, excluding compensation, net of DAC capitalization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debt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Capitalization of DAC</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6 for additional information on the capitalization of DAC.</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Interest Expense on Debt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11 for attribution of interest expense by debt issuance.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Related Party Expenses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16 for a discussion of related party expenses included in the table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14. Income Tax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 was as follows:</w:t>
      </w:r>
    </w:p>
    <w:tbl>
      <w:tblPr>
        <w:tblW w:w="6056" w:type="dxa"/>
        <w:jc w:val="left"/>
        <w:tblInd w:w="0" w:type="dxa"/>
        <w:tblLayout w:type="fixed"/>
        <w:tblCellMar>
          <w:top w:w="28" w:type="dxa"/>
          <w:left w:w="28" w:type="dxa"/>
          <w:bottom w:w="28" w:type="dxa"/>
          <w:right w:w="28" w:type="dxa"/>
        </w:tblCellMar>
      </w:tblPr>
      <w:tblGrid>
        <w:gridCol w:w="1134"/>
        <w:gridCol w:w="996"/>
        <w:gridCol w:w="1004"/>
        <w:gridCol w:w="196"/>
        <w:gridCol w:w="406"/>
        <w:gridCol w:w="109"/>
        <w:gridCol w:w="109"/>
        <w:gridCol w:w="109"/>
        <w:gridCol w:w="109"/>
        <w:gridCol w:w="196"/>
        <w:gridCol w:w="406"/>
        <w:gridCol w:w="109"/>
        <w:gridCol w:w="109"/>
        <w:gridCol w:w="109"/>
        <w:gridCol w:w="109"/>
        <w:gridCol w:w="196"/>
        <w:gridCol w:w="496"/>
        <w:gridCol w:w="154"/>
      </w:tblGrid>
      <w:tr>
        <w:trPr/>
        <w:tc>
          <w:tcPr>
            <w:tcW w:w="113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15"/>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15"/>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Current:</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Federal</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State and local</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Deferred:</w:t>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Federal</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 expense (benefit)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(383)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199515"/>
                <wp:effectExtent l="0" t="0" r="0" b="0"/>
                <wp:wrapNone/>
                <wp:docPr id="145" name="Frame144"/>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143</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14. Income Tax (continued)</w:t>
      </w:r>
    </w:p>
    <w:p>
      <w:pPr>
        <w:pStyle w:val="TextBody"/>
        <w:bidi w:val="0"/>
        <w:spacing w:before="180" w:after="283"/>
        <w:ind w:left="0" w:right="0" w:firstLine="360"/>
        <w:jc w:val="center"/>
        <w:rPr/>
      </w:pPr>
      <w:r>
        <w:rPr/>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reconciliation of the income tax provision at the statutory tax rate to the provision for income tax as reported was as follows:</w:t>
      </w:r>
    </w:p>
    <w:tbl>
      <w:tblPr>
        <w:tblW w:w="10205" w:type="dxa"/>
        <w:jc w:val="left"/>
        <w:tblInd w:w="0" w:type="dxa"/>
        <w:tblLayout w:type="fixed"/>
        <w:tblCellMar>
          <w:top w:w="28" w:type="dxa"/>
          <w:left w:w="28" w:type="dxa"/>
          <w:bottom w:w="28" w:type="dxa"/>
          <w:right w:w="28" w:type="dxa"/>
        </w:tblCellMar>
      </w:tblPr>
      <w:tblGrid>
        <w:gridCol w:w="1355"/>
        <w:gridCol w:w="1091"/>
        <w:gridCol w:w="1100"/>
        <w:gridCol w:w="246"/>
        <w:gridCol w:w="504"/>
        <w:gridCol w:w="136"/>
        <w:gridCol w:w="109"/>
        <w:gridCol w:w="109"/>
        <w:gridCol w:w="109"/>
        <w:gridCol w:w="201"/>
        <w:gridCol w:w="205"/>
        <w:gridCol w:w="357"/>
        <w:gridCol w:w="109"/>
        <w:gridCol w:w="109"/>
        <w:gridCol w:w="109"/>
        <w:gridCol w:w="246"/>
        <w:gridCol w:w="504"/>
        <w:gridCol w:w="136"/>
        <w:gridCol w:w="109"/>
        <w:gridCol w:w="109"/>
        <w:gridCol w:w="109"/>
        <w:gridCol w:w="202"/>
        <w:gridCol w:w="204"/>
        <w:gridCol w:w="357"/>
        <w:gridCol w:w="109"/>
        <w:gridCol w:w="109"/>
        <w:gridCol w:w="109"/>
        <w:gridCol w:w="225"/>
        <w:gridCol w:w="552"/>
        <w:gridCol w:w="124"/>
        <w:gridCol w:w="109"/>
        <w:gridCol w:w="109"/>
        <w:gridCol w:w="109"/>
        <w:gridCol w:w="202"/>
        <w:gridCol w:w="204"/>
        <w:gridCol w:w="419"/>
      </w:tblGrid>
      <w:tr>
        <w:trPr/>
        <w:tc>
          <w:tcPr>
            <w:tcW w:w="1355"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3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3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w:t>
              <w:b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w:t>
              <w:b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w:t>
              <w:b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3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statutory tax rate</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and local income taxes, net of federal income tax effect (1)</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credits</w:t>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tax credits</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business tax credits</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valuation allowance</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Nontaxable or nondeductible items</w:t>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received deduction</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advantaged investment income</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unrecognized tax benefits</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reconciling items</w:t>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deferred tax</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tax rate</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(1)State income taxes in Florida made up the majority (greater than 50%) of the tax effect in this category in 2025.</w:t>
      </w:r>
    </w:p>
    <w:p>
      <w:pPr>
        <w:pStyle w:val="TextBody"/>
        <w:bidi w:val="0"/>
        <w:spacing w:before="120" w:after="283"/>
        <w:ind w:left="0" w:right="0" w:hanging="360"/>
        <w:jc w:val="both"/>
        <w:rPr/>
      </w:pPr>
      <w:r>
        <w:rPr/>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income taxes paid (net of refunds) by jurisdiction for the years ended December 31, 2025, 2024, and 2023, as reported in the Consolidated Statements of Cash Flows, was as follows:</w:t>
      </w:r>
    </w:p>
    <w:tbl>
      <w:tblPr>
        <w:tblW w:w="4883" w:type="dxa"/>
        <w:jc w:val="left"/>
        <w:tblInd w:w="0" w:type="dxa"/>
        <w:tblLayout w:type="fixed"/>
        <w:tblCellMar>
          <w:top w:w="28" w:type="dxa"/>
          <w:left w:w="28" w:type="dxa"/>
          <w:bottom w:w="28" w:type="dxa"/>
          <w:right w:w="28" w:type="dxa"/>
        </w:tblCellMar>
      </w:tblPr>
      <w:tblGrid>
        <w:gridCol w:w="623"/>
        <w:gridCol w:w="549"/>
        <w:gridCol w:w="552"/>
        <w:gridCol w:w="109"/>
        <w:gridCol w:w="109"/>
        <w:gridCol w:w="109"/>
        <w:gridCol w:w="196"/>
        <w:gridCol w:w="406"/>
        <w:gridCol w:w="109"/>
        <w:gridCol w:w="109"/>
        <w:gridCol w:w="109"/>
        <w:gridCol w:w="109"/>
        <w:gridCol w:w="196"/>
        <w:gridCol w:w="406"/>
        <w:gridCol w:w="109"/>
        <w:gridCol w:w="109"/>
        <w:gridCol w:w="109"/>
        <w:gridCol w:w="109"/>
        <w:gridCol w:w="196"/>
        <w:gridCol w:w="406"/>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15"/>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2024</w:t>
            </w:r>
          </w:p>
        </w:tc>
        <w:tc>
          <w:tcPr>
            <w:tcW w:w="7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724"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15"/>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U.S. 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Florida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Other Jurisdictions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all jurisdictions in which the amount of taxes paid does not meet the 5% disaggregation threshold.</w:t>
      </w:r>
    </w:p>
    <w:p>
      <w:pPr>
        <w:pStyle w:val="TextBody"/>
        <w:bidi w:val="0"/>
        <w:spacing w:before="120" w:after="283"/>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199515"/>
                <wp:effectExtent l="0" t="0" r="0" b="0"/>
                <wp:wrapNone/>
                <wp:docPr id="146" name="Frame145"/>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144</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14. Income Tax (continued)</w:t>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Deferred income tax represents the tax effect of the differences between the book and tax bases of assets and liabilities. Net deferred income tax assets and liabilities consisted of the following at:</w:t>
      </w:r>
    </w:p>
    <w:tbl>
      <w:tblPr>
        <w:tblW w:w="4988" w:type="dxa"/>
        <w:jc w:val="left"/>
        <w:tblInd w:w="0" w:type="dxa"/>
        <w:tblLayout w:type="fixed"/>
        <w:tblCellMar>
          <w:top w:w="28" w:type="dxa"/>
          <w:left w:w="28" w:type="dxa"/>
          <w:bottom w:w="28" w:type="dxa"/>
          <w:right w:w="28" w:type="dxa"/>
        </w:tblCellMar>
      </w:tblPr>
      <w:tblGrid>
        <w:gridCol w:w="1048"/>
        <w:gridCol w:w="921"/>
        <w:gridCol w:w="925"/>
        <w:gridCol w:w="196"/>
        <w:gridCol w:w="556"/>
        <w:gridCol w:w="109"/>
        <w:gridCol w:w="109"/>
        <w:gridCol w:w="109"/>
        <w:gridCol w:w="109"/>
        <w:gridCol w:w="196"/>
        <w:gridCol w:w="556"/>
        <w:gridCol w:w="154"/>
      </w:tblGrid>
      <w:tr>
        <w:trPr/>
        <w:tc>
          <w:tcPr>
            <w:tcW w:w="104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assets: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Net unrealized investment losses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Net operating loss carryforwards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Investments, including derivatives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Tax credit carryforwards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Employee benefits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Intangibles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 deferred income tax assets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3,628 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Less: Valuation allowance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 net deferred income tax assets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3,628 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liabilities: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Policyholder liabilities and receivables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DAC</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 deferred income tax liabilities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2,501 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Net deferred income tax asset (liability)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net operating loss carryforwards for tax purposes at December 31, 2025.</w:t>
      </w:r>
    </w:p>
    <w:tbl>
      <w:tblPr>
        <w:tblW w:w="3571" w:type="dxa"/>
        <w:jc w:val="left"/>
        <w:tblInd w:w="0" w:type="dxa"/>
        <w:tblLayout w:type="fixed"/>
        <w:tblCellMar>
          <w:top w:w="28" w:type="dxa"/>
          <w:left w:w="28" w:type="dxa"/>
          <w:bottom w:w="28" w:type="dxa"/>
          <w:right w:w="28" w:type="dxa"/>
        </w:tblCellMar>
      </w:tblPr>
      <w:tblGrid>
        <w:gridCol w:w="158"/>
        <w:gridCol w:w="139"/>
        <w:gridCol w:w="139"/>
        <w:gridCol w:w="139"/>
        <w:gridCol w:w="139"/>
        <w:gridCol w:w="142"/>
        <w:gridCol w:w="534"/>
        <w:gridCol w:w="1759"/>
        <w:gridCol w:w="422"/>
      </w:tblGrid>
      <w:tr>
        <w:trPr/>
        <w:tc>
          <w:tcPr>
            <w:tcW w:w="15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Net Operating Loss Carryforwards</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856" w:type="dxa"/>
            <w:gridSpan w:val="6"/>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Expiration</w:t>
            </w:r>
          </w:p>
        </w:tc>
        <w:tc>
          <w:tcPr>
            <w:tcW w:w="2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6"/>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2032</w:t>
            </w:r>
          </w:p>
        </w:tc>
        <w:tc>
          <w:tcPr>
            <w:tcW w:w="5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1,938 </w:t>
            </w:r>
          </w:p>
        </w:tc>
        <w:tc>
          <w:tcPr>
            <w:tcW w:w="4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6"/>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Indefinite</w:t>
            </w:r>
          </w:p>
        </w:tc>
        <w:tc>
          <w:tcPr>
            <w:tcW w:w="2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9,214 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7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11,152 </w:t>
            </w:r>
          </w:p>
        </w:tc>
        <w:tc>
          <w:tcPr>
            <w:tcW w:w="4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199515"/>
                <wp:effectExtent l="0" t="0" r="0" b="0"/>
                <wp:wrapNone/>
                <wp:docPr id="147" name="Frame146"/>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145</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14. Income Tax (continued)</w:t>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general business credits and foreign tax credits available for carryforward for tax purposes at December 31, 2025.</w:t>
      </w:r>
    </w:p>
    <w:tbl>
      <w:tblPr>
        <w:tblW w:w="4787" w:type="dxa"/>
        <w:jc w:val="left"/>
        <w:tblInd w:w="0" w:type="dxa"/>
        <w:tblLayout w:type="fixed"/>
        <w:tblCellMar>
          <w:top w:w="28" w:type="dxa"/>
          <w:left w:w="28" w:type="dxa"/>
          <w:bottom w:w="28" w:type="dxa"/>
          <w:right w:w="28" w:type="dxa"/>
        </w:tblCellMar>
      </w:tblPr>
      <w:tblGrid>
        <w:gridCol w:w="326"/>
        <w:gridCol w:w="286"/>
        <w:gridCol w:w="288"/>
        <w:gridCol w:w="520"/>
        <w:gridCol w:w="1080"/>
        <w:gridCol w:w="289"/>
        <w:gridCol w:w="126"/>
        <w:gridCol w:w="126"/>
        <w:gridCol w:w="126"/>
        <w:gridCol w:w="412"/>
        <w:gridCol w:w="885"/>
        <w:gridCol w:w="323"/>
      </w:tblGrid>
      <w:tr>
        <w:trPr/>
        <w:tc>
          <w:tcPr>
            <w:tcW w:w="3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7" w:type="dxa"/>
            <w:gridSpan w:val="9"/>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Tax Credit Carryforwards</w:t>
            </w:r>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General Business Credits</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Foreign Tax Credits</w:t>
            </w:r>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7" w:type="dxa"/>
            <w:gridSpan w:val="9"/>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90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Expiration</w:t>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2028-2032</w:t>
            </w:r>
          </w:p>
        </w:tc>
        <w:tc>
          <w:tcPr>
            <w:tcW w:w="520"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80"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2033-2037</w:t>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2038-2042</w:t>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900"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reconciliation of the beginning and ending amount of unrecognized tax benefits was as follows:</w:t>
      </w:r>
    </w:p>
    <w:tbl>
      <w:tblPr>
        <w:tblW w:w="8157" w:type="dxa"/>
        <w:jc w:val="center"/>
        <w:tblInd w:w="0" w:type="dxa"/>
        <w:tblLayout w:type="fixed"/>
        <w:tblCellMar>
          <w:top w:w="28" w:type="dxa"/>
          <w:left w:w="28" w:type="dxa"/>
          <w:bottom w:w="28" w:type="dxa"/>
          <w:right w:w="28" w:type="dxa"/>
        </w:tblCellMar>
      </w:tblPr>
      <w:tblGrid>
        <w:gridCol w:w="1984"/>
        <w:gridCol w:w="1743"/>
        <w:gridCol w:w="1748"/>
        <w:gridCol w:w="196"/>
        <w:gridCol w:w="406"/>
        <w:gridCol w:w="109"/>
        <w:gridCol w:w="109"/>
        <w:gridCol w:w="109"/>
        <w:gridCol w:w="109"/>
        <w:gridCol w:w="196"/>
        <w:gridCol w:w="331"/>
        <w:gridCol w:w="109"/>
        <w:gridCol w:w="109"/>
        <w:gridCol w:w="109"/>
        <w:gridCol w:w="109"/>
        <w:gridCol w:w="196"/>
        <w:gridCol w:w="331"/>
        <w:gridCol w:w="154"/>
      </w:tblGrid>
      <w:tr>
        <w:trPr/>
        <w:tc>
          <w:tcPr>
            <w:tcW w:w="1984"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5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January 1,</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for tax positions of prior years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Reductions for tax positions of prior years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for tax positions of current year</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Reductions for tax positions of current year</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Settlements with tax authorities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Lapses of statutes of limitations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Unrecognized tax benefits that, if recognized would impact the effective rate</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classifies interest accrued related to unrecognized tax benefits in interest expense, included in other expenses, while penalties are included in income tax expense. Interest related to unrecognized tax benefits was not significant. The Company had no penalties for each of the years ended December 31, 2025, 2024 and 2023.</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subject to examination by the Internal Revenue Service and other tax authorities in jurisdictions in which the Company has significant business operations. The income tax years under examination vary by jurisdiction and subsidiary. The Company is no longer subject to federal, state or local income tax examinations for years prior to 2017.</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 believes it has established adequate tax liabilities, and final resolution of any examinations for the years 2017 and forward and any pending issues are not expected to have a material impact on the Company’s consolidated financial statements.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Tax Sharing Agreements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periods prior to the Separation, the Company filed a consolidated federal income tax return with MetLife, Inc. and its insurance and non-insurance subsidiaries. Current taxes (and the benefits of tax attributes such as losses) are allocated to the Company, and its includable subsidiaries, under a tax sharing agreement with MetLife, Inc. This tax sharing agreement states that federal taxes are computed on a modified separate return basis with benefits for losses.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periods after the Separation through the year ended December 31, 2022, Brighthouse Life Insurance Company, BHNY and BRCD entered into a tax sharing agreement to join a consolidated federal income tax return. The tax sharing agreement states that federal taxes are computed on a modified separate return basis with benefit for losses. The non-insurance subsidiaries of the Company filed their own federal income tax returns.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199515"/>
                <wp:effectExtent l="0" t="0" r="0" b="0"/>
                <wp:wrapNone/>
                <wp:docPr id="148" name="Frame147"/>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146</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14. Income Tax (continued)</w:t>
      </w:r>
    </w:p>
    <w:p>
      <w:pPr>
        <w:pStyle w:val="TextBody"/>
        <w:bidi w:val="0"/>
        <w:spacing w:before="180" w:after="283"/>
        <w:ind w:left="0" w:right="0" w:firstLine="360"/>
        <w:jc w:val="center"/>
        <w:rPr/>
      </w:pPr>
      <w:r>
        <w:rPr/>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periods beginning with the year ended December 31, 2023, Brighthouse Life Insurance Company, BHNY and BRCD file a consolidated federal income tax return with Brighthouse Financial, Inc. and certain of its subsidiaries. In furtherance thereof, such parties joined a single tax sharing agreement, pursuant to which federal taxes are computed on a modified separate return basis with benefits for losses.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Income Tax Transactions with Former Parent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entered into a tax separation agreement with MetLife (the “Tax Separation Agreement”). Among other things, the Tax Separation Agreement governs the allocation between MetLife and the Company of the responsibility for the taxes of the MetLife group. The Tax Separation Agreement also allocates rights, obligations and responsibilities in connection with certain administrative matters relating to the preparation of tax returns and control of tax audits and other proceedings relating to taxes. For the years ended December 31, 2025, 2024 and 2023, no payments were made by MetLife or Brighthouse Financial under the Tax Separation Agreement. At December 31, 2025 and 2024, there was a current income tax receivable of $18 million and $17 million, respectively, related to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15. Contingencies, Commitments and Guarantees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Contingencies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Litigation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a defendant in a number of litigation matters. In some of the matters, large or indeterminate amounts, including punitive and treble damages, are sought.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the actual experience of the Company in litigating or resolving through settlement numerous claims over an extended period of time, demonstrates to management that the monetary relief which may be specified in a lawsuit or claim bears little relevance to its merits or disposition value.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also receives and responds to subpoenas or other inquiries seeking a broad range of information from various state and federal regulators, agencies and officials. The issues involved in information requests and regulatory matters vary widely and can include inquiries or investigations concerning the Company’s compliance with applicable insurance and other laws and regulations. The Company cooperates in these inquiries.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Due to the vagaries of litigation, the outcome of a litigation matter and the amount or range of potential loss at particular points in time may normally be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establishes liabilities for litigation and regulatory loss contingencies when it is probable that a loss has been incurred and the amount of the loss can be reasonably estimated. It is possible that some matters could require the Company to pay damages or make other expenditures or establish accruals in amounts that could not be estimated at December 31, 2025.</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Matters as to Which an Estimate Can Be Made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some loss contingency matters, the Company is able to estimate a reasonably possible range of loss. For such matters where a loss is believed to be reasonably possible, but not probable, no accrual has been made. In addition to amounts accrued for probable and reasonably estimable losses, as of December 31, 2025, the Company estimates the aggregate range of reasonably possible losses to be up to approximately $10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199515"/>
                <wp:effectExtent l="0" t="0" r="0" b="0"/>
                <wp:wrapNone/>
                <wp:docPr id="149" name="Frame148"/>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147</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15. Contingencies, Commitments and Guarantees (continued)</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Matters as to Which an Estimate Cannot Be Made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other matters, the Company is not currently able to estimate the reasonably possible loss or range of loss. The Company is often unable to estimate the possible loss or range of loss until developments in such matters have provided sufficient information to support an assessment of the range of possible loss, such as quantification of a damage demand from plaintiffs, discovery from other parties and investigation of factual allegations, rulings by the court on motions or appeals, analysis by experts, and the progress of settlement negotiations. On a quarterly and annual basis, the Company reviews relevant information with respect to litigation contingencies and updates its accruals, disclosures and estimates of reasonably possible losses or ranges of loss based on such reviews.</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Sales Practices Claims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Over the past several years, the Company has faced claims and regulatory inquiries and investigations, alleging improper marketing or sales of individual life insurance policies, annuities or other products. The Company continues to defend vigorously against the claims in these matters. The Company believes adequate provision has been made in its consolidated financial statements for all probable and reasonably estimable losses for sales practices matters.</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Cost of Insurance Class Actions</w:t>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 xml:space="preserve">Richard A. Newton v. Brighthouse Life Insurance Company </w:t>
      </w:r>
      <w:r>
        <w:rPr>
          <w:rFonts w:ascii="Times New Roman;serif" w:hAnsi="Times New Roman;serif"/>
          <w:b w:val="false"/>
          <w:color w:val="000000"/>
          <w:sz w:val="20"/>
        </w:rPr>
        <w:t>(U.S. District Court, Northern District of Georgia, Atlanta Division, filed May 8, 2020). Plaintiff filed a purported class action lawsuit against Brighthouse Life Insurance Company. Plaintiff was the owner of a universal life (“UL”) insurance policy issued by Travelers Insurance Company, a predecessor to Brighthouse Life Insurance Company. Plaintiff sought to certify a class of all persons who own or owned life insurance policies issued where the terms of the life insurance policy provide or provided, among other things, a guarantee that the COI rates would not be increased by more than a specified percentage in any contract year. Plaintiff also alleges that COI charges were based on improper factors and should have decreased over time due to improving mortality. Plaintiff’s complaint alleges, among other things, causes of action for breach of contract, fraud, suppression and concealment, and violation of the Georgia Racketeer Influenced and Corrupt Organizations Act. Plaintiff seeks to recover damages, including punitive damages, interest and treble damages, attorneys’ fees, and injunctive and declaratory relief. Brighthouse Life Insurance Company filed a motion to dismiss in June 2020, which was granted in part and denied in part in March 2021. Plaintiff was granted leave to amend the complaint. On January 18, 2023, plaintiff filed a motion on consent to amend the second amended class action complaint to narrow the scope of the class sought to those who own or owned policies issued in Georgia. The motion was granted on January 23, 2023, and the third amended class action complaint was filed on January 23, 2023. On September 5, 2025, the court granted in part plaintiff’s motion for class certification, certifying a class of all persons, who as of May 8, 2015, owned a UL policy issued in Georgia by Brighthouse Life Insurance Company or its predecessors-in-interest on Forms ULXP86 and ULXP88, and who were subject to at least one monthly deduction. On October 31, 2025, the court issued an amended order changing the date as to class certification for breach of contract claims to March 14, 2014 and for Georgia Racketeer Influenced and Corrupt Organizations Act claims to March 14, 2015. The Company intends to vigorously defend this matter.</w:t>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Lawrence Martin v. Brighthouse Life Insurance Company</w:t>
      </w:r>
      <w:r>
        <w:rPr>
          <w:color w:val="000000"/>
        </w:rPr>
        <w:t xml:space="preserve"> </w:t>
      </w:r>
      <w:r>
        <w:rPr>
          <w:rFonts w:ascii="Times New Roman;serif" w:hAnsi="Times New Roman;serif"/>
          <w:b w:val="false"/>
          <w:color w:val="000000"/>
          <w:sz w:val="20"/>
        </w:rPr>
        <w:t>(U.S. District Court, Southern District of New York, filed April 6, 2021). Plaintiff filed a purported class action lawsuit against Brighthouse Life Insurance Company. Plaintiff is the owner of a UL insurance policy issued by Travelers Insurance Company, a predecessor to Brighthouse Life Insurance Company. Plaintiff sought to certify a class of similarly situated owners of UL insurance policies issued or administered by defendants and alleges that COI charges were based on improper factors and should have decreased over time due to improving mortality. Plaintiff’s complaint alleges, among other things, causes of action for breach of contract, breach of the covenant of good faith and fair dealing, and unjust enrichment. Plaintiff seeks to recover compensatory damages, attorneys’ fees, interest, and equitable relief including a constructive trust. Brighthouse Life Insurance Company filed a motion to dismiss in June 2021, which was denied in February 2022. On September 25, 2025, the court granted in part plaintiff’s motion for class certification, certifying as to plaintiff’s breach of contract claim based on the alleged failure to decrease COI rates, a nationwide class of owners of UL policies with the product codes ULX or ULXP that contains the language: “We will base these rates only on our future outlook for mortality and expenses.” On October 9, 2025, plaintiff filed a petition for permission to appeal to the United States Court of Appeals for the Second Circuit. On February 11, 2026, the United States Court of Appeals for the Second Circuit denied plaintiff’s petition. The Company intends to vigorously defend this matter.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199515"/>
                <wp:effectExtent l="0" t="0" r="0" b="0"/>
                <wp:wrapNone/>
                <wp:docPr id="150" name="Frame149"/>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148</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15. Contingencies, Commitments and Guarantees (continued)</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MOVEit Data Security Incident Litigation</w:t>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Kennedy v. Progress Software Corporation, et al</w:t>
      </w:r>
      <w:r>
        <w:rPr>
          <w:rFonts w:ascii="Times New Roman;serif" w:hAnsi="Times New Roman;serif"/>
          <w:b w:val="false"/>
          <w:color w:val="000000"/>
          <w:sz w:val="20"/>
        </w:rPr>
        <w:t>. (U.S. District Court, District of Massachusetts, filed October 3, 2023). BHF has been named as a defendant in a purported class action lawsuit. The action relates to a data security incident at an alleged third-party vendor, PBI Research Services (“PBI”), and allegedly involves the MOVEit file transfer system that PBI uses in its provision of services (“MOVEit Incident”). As it relates to BHF, plaintiff seeks to certify a subclass of persons whose private information was allegedly maintained by BHF and accessed or acquired in relation to the MOVEit Incident. Plaintiff alleges, among other things, that BHF negligently chose to utilize PBI to store and transfer plaintiff’s and purported class members’ private information despite PBI’s use of the MOVEit software which plaintiff contends contained security vulnerabilities. The complaint asserts claims against BHF for negligence, negligence per se, and unjust enrichment, and plaintiff seeks declaratory and injunctive relief, damages, attorneys’ fees and prejudgment interest. The court dismissed claims for injunctive relief against BHF, but denied the remainder of a motion to dismiss based on plaintiff’s lack of standing. BHF intends to vigorously defend this matter.</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Summary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Various litigations, claims and assessments against the Company, in addition to those discussed previously and those otherwise provided for in the Company’s consolidated financial statements, have arisen in the course of the Company’s business, including, but not limited to, in connection with its activities as an insurer, investor and taxpayer. Further, state insurance regulatory authorities and other federal and state authorities regularly make inquiries and conduct investigations concerning the Company’s compliance with applicable insurance and other laws and regulations.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It is not possible to predict the ultimate outcome of all pending investigations and legal proceedings. In some of the matters referred to previously, large or indeterminate amounts, including punitive and treble damages, are sought. Although, in light of these considerations, it is possible that an adverse outcome in certain cases could have a material effect upon the Company’s financial position, based on information currently known by the Company’s management, in its opinion, the outcomes of such pending investigations and legal proceedings are not likely to have such an effect. However, given the large or indeterminate amounts sought in certain of these matters and the inherent unpredictability of litigation, it is possible that an adverse outcome in certain matters could, from time to time, have a material effect on the Company’s consolidated net income or cash flows in particular quarterly or annual periods.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Other Loss Contingencies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with litigation and regulatory loss contingencies, the Company considers establishing liabilities for loss contingencies associated with disputes or other matters involving third parties, including counterparties to contractual arrangements entered into by the Company (e.g., third-party vendors and reinsurers), as well as with tax or other authorities (“other loss contingencies”). The Company establishes liabilities for such other loss contingencies when it is probable that a loss will be incurred and the amount of the loss can be reasonably estimated. In matters where it is not probable, but is reasonably possible that a loss will be incurred and the amount of loss can be reasonably estimated, such losses or range of losses are disclosed, and no accrual is made. In the absence of sufficient information to support an assessment of the reasonably possible loss or range of loss, no accrual is made and no loss or range of loss is disclosed. On a quarterly basis, the Company reviews relevant information with respect to other loss contingencies and, when applicable, updates its accruals, disclosures and estimates of reasonably possible losses or estimated ranges of loss based on such reviews.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The Company’s tax-related matters have involved disputes with taxing authorities, ongoing audits, evaluation of filing positions and any potential assessments related thereto</w:t>
      </w:r>
      <w:r>
        <w:rPr>
          <w:rFonts w:ascii="Times New Roman;serif" w:hAnsi="Times New Roman;serif"/>
          <w:b w:val="false"/>
          <w:color w:val="0000FF"/>
          <w:sz w:val="24"/>
        </w:rPr>
        <w:t xml:space="preserve">. </w:t>
      </w:r>
      <w:r>
        <w:rPr>
          <w:rFonts w:ascii="Times New Roman;serif" w:hAnsi="Times New Roman;serif"/>
          <w:b w:val="false"/>
          <w:color w:val="000000"/>
          <w:sz w:val="20"/>
        </w:rPr>
        <w:t>In the matters where the Company’s subsidiaries are acting as the reinsured or the reinsurer, such reinsurance matters have involved assertions by third parties primarily related to rates, fees or reinsured benefit calculations, and certain of such reinsurance matters have resulted in arbitration. As of December 31, 2025, the Company estimates the range of reasonably possible losses in excess of the amounts accrued for certain other loss contingencies to be from zero up to approximately $15 million relating to a certain reinsurance matter, as described above. For certain matters, the Company may not currently be able to estimate the reasonably possible loss or estimated range of loss until developments in such matters have provided sufficient information to support an assessment of such loss.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2024, an arbitration panel ruled in favor of a reinsurer seeking a premium rate increase retroactive to September 2019 resulting in a $187 million loss, of which $167 million was reported in universal life and investment product-type policy fees and $20 million was reported in other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199515"/>
                <wp:effectExtent l="0" t="0" r="0" b="0"/>
                <wp:wrapNone/>
                <wp:docPr id="151" name="Frame150"/>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149</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15. Contingencies, Commitments and Guarantees (continued)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Commitments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Mortgage Loan Commitments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commits to lend funds under mortgage loan commitments. The amounts of these mortgage loan commitments were $436 million and $271 million at December 31, 2025 and 2024, respectively.</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Commitments to Fund Partnership Investments, and Private Corporate Bond Investments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commits to fund partnership investments and to lend funds under private corporate bond investments. The amounts of these unfunded commitments were $1.4 billion and $1.7 billion at December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Guarantees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normal course of its business, the Company has provided certain indemnities, guarantees and commitments to third parties such that it may be required to make payments now or in the future. In the context of reinsurance, acquisition, disposition, investment and other transactions, the Company has provided indemnities and guarantees, including those related to tax, environmental and other specific liabilities and other indemnities and guarantees that are triggered by, among other things, breaches of representations, warranties or covenants provided by the Company. In addition, in the normal course of business, the Company provides indemnifications to counterparties in contracts with triggers similar to the foregoing, as well as for certain other liabilities, such as third-party lawsuits. These obligations are often subject to time limitations that vary in duration, including contractual limitations and those that arise by operation of law, such as applicable statutes of limitation. In some cases, the maximum potential obligation under the indemnities and guarantees is subject to a contractual limitation with a cumulative maximum of $83 million, while in other cases such limitations are not specified or applicable. Since certain of these obligations are not subject to limitations, the Company does not believe that it is possible to determine the maximum potential amount that could become due under these guarantees in the future. Management believes that it is unlikely the Company will have to make any material payments under these indemnities, guarantees, or commitments.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Company indemnifies its directors and officers as provided in its charters and bylaws. Also, the Company indemnifies its agents for liabilities incurred as a result of their representation of the Company’s interests. Since these indemnities are generally not subject to limitation with respect to duration or amount, the Company does not believe that it is possible to determine the maximum potential amount that could become due under these indemnities in the future.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did not have any liabilities recorded for indemnities, guarantees and commitments at both December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16. Related 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various existing arrangements with its Brighthouse Financial affiliates including related party reinsurance, debt and equity transactions (see Notes 7, 11 and 12). Other material arrangements between the Company and its related parties not disclosed elsewhere are as follows: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Shared Services and Overhead Allocations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various agreements with affiliates regarding the provision of certain services, which include, but are not limited to, treasury, financial planning and analysis, legal, human resources, tax planning, internal audit, financial reporting and information technology. When specific identification to a particular legal entity and/or product is not practicable, an allocation methodology based on various performance measures or activity-based costing, such as sales, new policies/contracts issued, reserves, and in-force policy counts is used. The bases for such charges are modified and adjusted by management when necessary or appropriate to reflect fairly and equitably the actual incidence of cost incurred by the Company and/or affiliate. Management believes that the methods used to allocate expenses under these arrangements are reasonable. Revenues received from an affiliate related to these agreements, recorded in universal life and investment-type product policy fees, were $168 million, $177 million and $175 million for the years ended December 31, 2025, 2024 and 2023, respectively. Costs incurred under these arrangements were $893 million, $891 million and $935 million for the years ended December 31, 2025, 2024 and 2023, respectively, and were recorded in other expenses.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had net receivables from/(payables to) affiliates, related to the items discussed above, of ($68) million and ($71) million at December 31,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199515"/>
                <wp:effectExtent l="0" t="0" r="0" b="0"/>
                <wp:wrapNone/>
                <wp:docPr id="152" name="Frame151"/>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150</w:t>
                      </w:r>
                    </w:p>
                  </w:txbxContent>
                </v:textbox>
                <w10:wrap type="none"/>
              </v:rect>
            </w:pict>
          </mc:Fallback>
        </mc:AlternateContent>
      </w:r>
    </w:p>
    <w:p>
      <w:pPr>
        <w:pStyle w:val="TextBody"/>
        <w:bidi w:val="0"/>
        <w:spacing w:lineRule="auto" w:line="288" w:before="18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Brighthouse Life Insurance Company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16. Related Party Transactions (continued)</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Broker-Dealer Transactions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related party expense for the Company was commissions paid on the sale of variable products and passed through to the broker-dealer affiliate. The related party revenue for the Company was fee income passed through the broker-dealer affiliate from trusts and mutual funds whose shares serve as investment options of policyholders of the Company. Fee income received related to these transactions and recorded in other revenues was $167 million, $174 million and $169 million for the years ended December 31, 2025, 2024 and 2023, respectively. Commission expenses incurred related to these transactions and recorded in other expenses was $958 million, $930 million and $887 million for the years ended December 31, 2025, 2024 and 2023, respectively. The Company also had related party fee income receivables of $14 million and $15 million at December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199515"/>
                <wp:effectExtent l="0" t="0" r="0" b="0"/>
                <wp:wrapNone/>
                <wp:docPr id="153" name="Frame152"/>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151</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Schedule I</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Consolidated Summary of Investments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Other Than Investments in Related Parties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(In millions) </w:t>
      </w:r>
    </w:p>
    <w:tbl>
      <w:tblPr>
        <w:tblW w:w="10205" w:type="dxa"/>
        <w:jc w:val="left"/>
        <w:tblInd w:w="0" w:type="dxa"/>
        <w:tblLayout w:type="fixed"/>
        <w:tblCellMar>
          <w:top w:w="28" w:type="dxa"/>
          <w:left w:w="28" w:type="dxa"/>
          <w:bottom w:w="28" w:type="dxa"/>
          <w:right w:w="28" w:type="dxa"/>
        </w:tblCellMar>
      </w:tblPr>
      <w:tblGrid>
        <w:gridCol w:w="1135"/>
        <w:gridCol w:w="951"/>
        <w:gridCol w:w="953"/>
        <w:gridCol w:w="375"/>
        <w:gridCol w:w="1409"/>
        <w:gridCol w:w="210"/>
        <w:gridCol w:w="109"/>
        <w:gridCol w:w="109"/>
        <w:gridCol w:w="109"/>
        <w:gridCol w:w="349"/>
        <w:gridCol w:w="994"/>
        <w:gridCol w:w="194"/>
        <w:gridCol w:w="109"/>
        <w:gridCol w:w="109"/>
        <w:gridCol w:w="109"/>
        <w:gridCol w:w="535"/>
        <w:gridCol w:w="2015"/>
        <w:gridCol w:w="431"/>
      </w:tblGrid>
      <w:tr>
        <w:trPr/>
        <w:tc>
          <w:tcPr>
            <w:tcW w:w="113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3039"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6"/>
              </w:rPr>
            </w:pPr>
            <w:r>
              <w:rPr>
                <w:rFonts w:ascii="Times New Roman;serif" w:hAnsi="Times New Roman;serif"/>
                <w:b/>
                <w:color w:val="000000"/>
                <w:sz w:val="16"/>
              </w:rPr>
              <w:t>Types of Investments</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or Amortized Cost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at Which Shown on Balance Sheet</w:t>
            </w:r>
          </w:p>
        </w:tc>
      </w:tr>
      <w:tr>
        <w:trPr/>
        <w:tc>
          <w:tcPr>
            <w:tcW w:w="303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Fixed maturity securities:</w:t>
            </w:r>
          </w:p>
        </w:tc>
        <w:tc>
          <w:tcPr>
            <w:tcW w:w="1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Bonds:</w:t>
            </w:r>
          </w:p>
        </w:tc>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U.S. government and agency</w:t>
            </w:r>
          </w:p>
        </w:tc>
        <w:tc>
          <w:tcPr>
            <w:tcW w:w="375"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409"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6,942 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6,445 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015"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6,445 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State and political subdivision</w:t>
            </w:r>
          </w:p>
        </w:tc>
        <w:tc>
          <w:tcPr>
            <w:tcW w:w="178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3,620 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3,423 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3,423 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Public utilities</w:t>
            </w:r>
          </w:p>
        </w:tc>
        <w:tc>
          <w:tcPr>
            <w:tcW w:w="178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3,888 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3,560 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3,560 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government</w:t>
            </w:r>
          </w:p>
        </w:tc>
        <w:tc>
          <w:tcPr>
            <w:tcW w:w="178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974 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942 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942 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All other corporate bonds</w:t>
            </w:r>
          </w:p>
        </w:tc>
        <w:tc>
          <w:tcPr>
            <w:tcW w:w="178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49,319 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46,147 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46,147 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 bonds</w:t>
            </w:r>
          </w:p>
        </w:tc>
        <w:tc>
          <w:tcPr>
            <w:tcW w:w="17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64,743 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60,517 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60,517 </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Mortgage-backed and asset-backed securities</w:t>
            </w:r>
          </w:p>
        </w:tc>
        <w:tc>
          <w:tcPr>
            <w:tcW w:w="178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21,030 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20,307 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20,307 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Redeemable preferred stock</w:t>
            </w:r>
          </w:p>
        </w:tc>
        <w:tc>
          <w:tcPr>
            <w:tcW w:w="178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 fixed maturity securities</w:t>
            </w:r>
          </w:p>
        </w:tc>
        <w:tc>
          <w:tcPr>
            <w:tcW w:w="17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85,907 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80,960 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80,960 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Trading securities</w:t>
            </w:r>
          </w:p>
        </w:tc>
        <w:tc>
          <w:tcPr>
            <w:tcW w:w="17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512 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506 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506 </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w:t>
            </w:r>
          </w:p>
        </w:tc>
        <w:tc>
          <w:tcPr>
            <w:tcW w:w="1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Non-redeemable preferred stock</w:t>
            </w:r>
          </w:p>
        </w:tc>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r>
      <w:tr>
        <w:trPr/>
        <w:tc>
          <w:tcPr>
            <w:tcW w:w="303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1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Industrial, miscellaneous and all other</w:t>
            </w:r>
          </w:p>
        </w:tc>
        <w:tc>
          <w:tcPr>
            <w:tcW w:w="178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Public utilities</w:t>
            </w:r>
          </w:p>
        </w:tc>
        <w:tc>
          <w:tcPr>
            <w:tcW w:w="178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9"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1" w:type="dxa"/>
            <w:gridSpan w:val="3"/>
            <w:tcBorders/>
            <w:vAlign w:val="center"/>
          </w:tcPr>
          <w:p>
            <w:pPr>
              <w:pStyle w:val="TableContents"/>
              <w:bidi w:val="0"/>
              <w:spacing w:before="0" w:after="283"/>
              <w:jc w:val="left"/>
              <w:rPr>
                <w:sz w:val="4"/>
                <w:szCs w:val="4"/>
              </w:rPr>
            </w:pPr>
            <w:r>
              <w:rPr>
                <w:sz w:val="4"/>
                <w:szCs w:val="4"/>
              </w:rPr>
            </w:r>
          </w:p>
        </w:tc>
      </w:tr>
      <w:tr>
        <w:trPr/>
        <w:tc>
          <w:tcPr>
            <w:tcW w:w="303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 equity securities</w:t>
            </w:r>
          </w:p>
        </w:tc>
        <w:tc>
          <w:tcPr>
            <w:tcW w:w="17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Mortgage loans</w:t>
            </w:r>
          </w:p>
        </w:tc>
        <w:tc>
          <w:tcPr>
            <w:tcW w:w="17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22,726 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22,726 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Policy loans</w:t>
            </w:r>
          </w:p>
        </w:tc>
        <w:tc>
          <w:tcPr>
            <w:tcW w:w="178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1,047 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1,047 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Limited partnerships and LLCs</w:t>
            </w:r>
          </w:p>
        </w:tc>
        <w:tc>
          <w:tcPr>
            <w:tcW w:w="178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4,696 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4,696 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178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668 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668 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Other invested assets</w:t>
            </w:r>
          </w:p>
        </w:tc>
        <w:tc>
          <w:tcPr>
            <w:tcW w:w="178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7,932 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7,932 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 investments</w:t>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123,515 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0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118,558 </w:t>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(1)Cost or amortized cost for fixed maturity and trading securities represents original cost reduced by impairments that are charged to earnings and adjusted for amortization of premiums or accretion of discounts; for mortgage loans, cost represents original cost reduced by repayments and valuation allowances and adjusted for amortization of premiums or accretion of discounts; for equity securities, cost represents original cost; for limited partnerships and LLCs, cost represents original cost adjusted for equity in earnings and distributions.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199515"/>
                <wp:effectExtent l="0" t="0" r="0" b="0"/>
                <wp:wrapNone/>
                <wp:docPr id="154" name="Frame153"/>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152</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Schedule II</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Financial Information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(Parent Company Only)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 millions, except share and per share data)</w:t>
      </w:r>
    </w:p>
    <w:tbl>
      <w:tblPr>
        <w:tblW w:w="10205" w:type="dxa"/>
        <w:jc w:val="left"/>
        <w:tblInd w:w="0" w:type="dxa"/>
        <w:tblLayout w:type="fixed"/>
        <w:tblCellMar>
          <w:top w:w="28" w:type="dxa"/>
          <w:left w:w="28" w:type="dxa"/>
          <w:bottom w:w="28" w:type="dxa"/>
          <w:right w:w="28" w:type="dxa"/>
        </w:tblCellMar>
      </w:tblPr>
      <w:tblGrid>
        <w:gridCol w:w="2766"/>
        <w:gridCol w:w="2325"/>
        <w:gridCol w:w="2332"/>
        <w:gridCol w:w="109"/>
        <w:gridCol w:w="109"/>
        <w:gridCol w:w="109"/>
        <w:gridCol w:w="196"/>
        <w:gridCol w:w="736"/>
        <w:gridCol w:w="109"/>
        <w:gridCol w:w="109"/>
        <w:gridCol w:w="109"/>
        <w:gridCol w:w="109"/>
        <w:gridCol w:w="196"/>
        <w:gridCol w:w="736"/>
        <w:gridCol w:w="155"/>
      </w:tblGrid>
      <w:tr>
        <w:trPr/>
        <w:tc>
          <w:tcPr>
            <w:tcW w:w="2766"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2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Condensed Balance Sheets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Fixed maturity securities available-for-sale, at estimated fair value (amortized cost: $71,076 and $72,741, respectively; allowance for credit losses of $61 and $78, respectively)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67,301 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66,860 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securities, at estimated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 at estimated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Mortgage loans (net of allowance for credit losses of $191 and $172,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21,584 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22,089 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Policy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1,625 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Limited partnerships and limited liability companies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4,288 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investments, principally at estimated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1,120 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in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2,046 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Other invested assets, principally at estimated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14,030 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10,387 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111,352 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108,442 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3,856 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1,139 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Premiums, reinsurance and other receivables (net of allowance for credit losses of $3 and $3,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20,754 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20,298 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 from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11,039 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11,558 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policy acquisition costs and value of business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3,958 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income tax recoverable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3,299 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 risk benefits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993 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Separate account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74,767 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74,966 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231,668 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228,828 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Future policy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31,389 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31,126 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Policyholder account balances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85,958 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85,968 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 risk benefits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8,181 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policy-related balances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3,827 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for collateral under securities loaned and other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3,762 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14,327 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14,053 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Separate account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74,767 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74,966 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223,585 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222,695 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Common stock, par value $25,000 per share; 4,000 shares authorized; 3,000 shares 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17,607 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17,507 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(5,997)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(6,286)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(3,602)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(5,163)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6,133 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231,668 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228,828 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50"/>
        <w:jc w:val="center"/>
        <w:rPr>
          <w:rFonts w:ascii="Times New Roman;serif" w:hAnsi="Times New Roman;serif"/>
          <w:b/>
          <w:color w:val="000000"/>
          <w:sz w:val="20"/>
        </w:rPr>
      </w:pPr>
      <w:r>
        <w:rPr>
          <w:rFonts w:ascii="Times New Roman;serif" w:hAnsi="Times New Roman;serif"/>
          <w:b/>
          <w:color w:val="000000"/>
          <w:sz w:val="20"/>
        </w:rPr>
        <w:t>See accompanying notes to the condensed financial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199515"/>
                <wp:effectExtent l="0" t="0" r="0" b="0"/>
                <wp:wrapNone/>
                <wp:docPr id="155" name="Frame154"/>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153</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Schedule II</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Financial Information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(Parent Company Only)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Years Ended December 31, 2025, 2024 and 2023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 millions)</w:t>
      </w:r>
    </w:p>
    <w:tbl>
      <w:tblPr>
        <w:tblW w:w="10205" w:type="dxa"/>
        <w:jc w:val="left"/>
        <w:tblInd w:w="0" w:type="dxa"/>
        <w:tblLayout w:type="fixed"/>
        <w:tblCellMar>
          <w:top w:w="28" w:type="dxa"/>
          <w:left w:w="28" w:type="dxa"/>
          <w:bottom w:w="28" w:type="dxa"/>
          <w:right w:w="28" w:type="dxa"/>
        </w:tblCellMar>
      </w:tblPr>
      <w:tblGrid>
        <w:gridCol w:w="2445"/>
        <w:gridCol w:w="2099"/>
        <w:gridCol w:w="2112"/>
        <w:gridCol w:w="109"/>
        <w:gridCol w:w="109"/>
        <w:gridCol w:w="109"/>
        <w:gridCol w:w="196"/>
        <w:gridCol w:w="556"/>
        <w:gridCol w:w="109"/>
        <w:gridCol w:w="109"/>
        <w:gridCol w:w="109"/>
        <w:gridCol w:w="109"/>
        <w:gridCol w:w="199"/>
        <w:gridCol w:w="428"/>
        <w:gridCol w:w="109"/>
        <w:gridCol w:w="109"/>
        <w:gridCol w:w="109"/>
        <w:gridCol w:w="109"/>
        <w:gridCol w:w="196"/>
        <w:gridCol w:w="618"/>
        <w:gridCol w:w="157"/>
      </w:tblGrid>
      <w:tr>
        <w:trPr/>
        <w:tc>
          <w:tcPr>
            <w:tcW w:w="2445"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65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Condensed Statements of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599 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Universal life and investment-type product policy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1,527 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Net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3,992 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519 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Net investment gains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(234)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Net derivative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(3,616)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2,787 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Policyholder benefits and claims (including remeasurement gains (losses) of ($53), ($366), ($137),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Interest credited to policyholder account balances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Amortization of deferred policy acquisition costs and value of business acquired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499 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 in market risk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(2,665)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(1,494)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1,817 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5,678 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3,330 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4,155 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provision for income tax and equity in earnings (losses) of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(1,368)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(347)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equity in earnings (losses) of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(1,021)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(losses) of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Brighthouse Life Insurance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(1,124)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1,850 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(307)</w:t>
            </w:r>
          </w:p>
        </w:tc>
        <w:tc>
          <w:tcPr>
            <w:tcW w:w="1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See accompanying notes to the condensed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199515"/>
                <wp:effectExtent l="0" t="0" r="0" b="0"/>
                <wp:wrapNone/>
                <wp:docPr id="156" name="Frame155"/>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154</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Schedule II</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Financial Information (continued)</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(Parent Company Only)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Years Ended December 31, 2025, 2024 and 2023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 millions)</w:t>
      </w:r>
    </w:p>
    <w:tbl>
      <w:tblPr>
        <w:tblW w:w="10205" w:type="dxa"/>
        <w:jc w:val="left"/>
        <w:tblInd w:w="0" w:type="dxa"/>
        <w:tblLayout w:type="fixed"/>
        <w:tblCellMar>
          <w:top w:w="28" w:type="dxa"/>
          <w:left w:w="28" w:type="dxa"/>
          <w:bottom w:w="28" w:type="dxa"/>
          <w:right w:w="28" w:type="dxa"/>
        </w:tblCellMar>
      </w:tblPr>
      <w:tblGrid>
        <w:gridCol w:w="2397"/>
        <w:gridCol w:w="2091"/>
        <w:gridCol w:w="2106"/>
        <w:gridCol w:w="109"/>
        <w:gridCol w:w="109"/>
        <w:gridCol w:w="109"/>
        <w:gridCol w:w="196"/>
        <w:gridCol w:w="556"/>
        <w:gridCol w:w="109"/>
        <w:gridCol w:w="109"/>
        <w:gridCol w:w="109"/>
        <w:gridCol w:w="109"/>
        <w:gridCol w:w="196"/>
        <w:gridCol w:w="556"/>
        <w:gridCol w:w="109"/>
        <w:gridCol w:w="109"/>
        <w:gridCol w:w="109"/>
        <w:gridCol w:w="109"/>
        <w:gridCol w:w="196"/>
        <w:gridCol w:w="556"/>
        <w:gridCol w:w="156"/>
      </w:tblGrid>
      <w:tr>
        <w:trPr/>
        <w:tc>
          <w:tcPr>
            <w:tcW w:w="2397"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2023</w:t>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6"/>
              </w:rPr>
            </w:pPr>
            <w:r>
              <w:rPr>
                <w:rFonts w:ascii="Times New Roman;serif" w:hAnsi="Times New Roman;serif"/>
                <w:b/>
                <w:color w:val="000000"/>
                <w:sz w:val="16"/>
              </w:rPr>
              <w:t>Condensed Statements of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Sales, maturities and repayments of: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Fixed maturity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11,304 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5,561 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Trading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Mortgage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1,180 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Limited partnerships and limited liability companies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Purchases of: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Fixed maturity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(9,820)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(7,587)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Trading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Mortgage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(775)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Limited partnerships and limited liability companies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(449)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Cash received in connection with freestanding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16,754 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12,416 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4,505 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Cash paid in connection with freestanding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(18,208)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(11,794)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(5,207)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Receipts on loans to affiliate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Returns of capital and dividends from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Net change in policy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Net change in 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(261)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Net change in other invested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(4,530)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(2,364)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(7,241)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Policyholder account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19,415 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29,602 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24,917 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Withdrawals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(20,793)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(26,235)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(17,305)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Net change in payables for collateral under securities loaned and other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(737)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6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Dividends paid to parent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(266)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Capital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Financing element on certain derivative instruments and other derivative related transactions,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(857)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3,298 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6,583 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Change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(420)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3,102 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cash equivalents and restricted cash, 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3,856 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2,682 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6"/>
              </w:rPr>
            </w:pPr>
            <w:r>
              <w:rPr>
                <w:rFonts w:ascii="Times New Roman;serif" w:hAnsi="Times New Roman;serif"/>
                <w:b/>
                <w:color w:val="000000"/>
                <w:sz w:val="16"/>
              </w:rPr>
              <w:t>Supplemental disclosures of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Net cash paid (received)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Non-cash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Transfer of fixed maturity securities from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Transfer of fixed maturity securities to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Transfer of mortgage loans to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240" w:after="283"/>
              <w:jc w:val="right"/>
              <w:rPr>
                <w:color w:val="000000"/>
              </w:rPr>
            </w:pPr>
            <w:r>
              <w:rPr>
                <w:color w:val="000000"/>
              </w:rPr>
              <w:t>—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50"/>
        <w:jc w:val="center"/>
        <w:rPr>
          <w:rFonts w:ascii="Times New Roman;serif" w:hAnsi="Times New Roman;serif"/>
          <w:b/>
          <w:color w:val="000000"/>
          <w:sz w:val="20"/>
        </w:rPr>
      </w:pPr>
      <w:r>
        <w:rPr>
          <w:rFonts w:ascii="Times New Roman;serif" w:hAnsi="Times New Roman;serif"/>
          <w:b/>
          <w:color w:val="000000"/>
          <w:sz w:val="20"/>
        </w:rPr>
        <w:t>See accompanying notes to the condensed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199515"/>
                <wp:effectExtent l="0" t="0" r="0" b="0"/>
                <wp:wrapNone/>
                <wp:docPr id="157" name="Frame156"/>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155</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Schedule II</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Condensed Financial Information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(Parent Company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 Basis of Presentation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condensed financial information of Brighthouse Life Insurance Company (the “Parent Company”) should be read in conjunction with the consolidated financial statements of Brighthouse Life Insurance Company and its subsidiaries and the notes thereto (the “Consolidated Financial Statements”). These condensed unconsolidated financial statements reflect the results of operations, financial position and cash flows for the Parent Company. Investments in subsidiaries are accounted for using the equity method of accounting.</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these condensed unconsolidated financial statements in conformity with GAAP requires management to adopt accounting policies and make certain estimates and assumptions. The most important of these estimates and assumptions relate to the fair value measurements, identifiable intangible assets and the provision for potential losses that may arise from litigation and regulatory proceedings and tax audits, which may affect the amounts reported in the condensed unconsolidated financial statements and accompanying notes. Actual results could differ from these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2. Investment in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Brighthouse Life Insurance Company received a cash capital contribution of $100 million from Brighthouse Holdings, LLC. During the year ended December 31, 2023, Brighthouse Life Insurance Company paid a non-cash capital contribution of $100 million to Brighthouse Life Insurance Company of 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199515"/>
                <wp:effectExtent l="0" t="0" r="0" b="0"/>
                <wp:wrapNone/>
                <wp:docPr id="158" name="Frame157"/>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156</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120"/>
        <w:ind w:left="0" w:right="0" w:firstLine="36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Schedule III</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Consolidated Supplementary Insurance Information</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(In millions)</w:t>
      </w:r>
    </w:p>
    <w:tbl>
      <w:tblPr>
        <w:tblW w:w="10205" w:type="dxa"/>
        <w:jc w:val="left"/>
        <w:tblInd w:w="0" w:type="dxa"/>
        <w:tblLayout w:type="fixed"/>
        <w:tblCellMar>
          <w:top w:w="28" w:type="dxa"/>
          <w:left w:w="28" w:type="dxa"/>
          <w:bottom w:w="28" w:type="dxa"/>
          <w:right w:w="28" w:type="dxa"/>
        </w:tblCellMar>
      </w:tblPr>
      <w:tblGrid>
        <w:gridCol w:w="526"/>
        <w:gridCol w:w="461"/>
        <w:gridCol w:w="469"/>
        <w:gridCol w:w="109"/>
        <w:gridCol w:w="109"/>
        <w:gridCol w:w="109"/>
        <w:gridCol w:w="196"/>
        <w:gridCol w:w="556"/>
        <w:gridCol w:w="109"/>
        <w:gridCol w:w="109"/>
        <w:gridCol w:w="109"/>
        <w:gridCol w:w="109"/>
        <w:gridCol w:w="453"/>
        <w:gridCol w:w="1496"/>
        <w:gridCol w:w="253"/>
        <w:gridCol w:w="109"/>
        <w:gridCol w:w="109"/>
        <w:gridCol w:w="109"/>
        <w:gridCol w:w="298"/>
        <w:gridCol w:w="985"/>
        <w:gridCol w:w="167"/>
        <w:gridCol w:w="109"/>
        <w:gridCol w:w="109"/>
        <w:gridCol w:w="109"/>
        <w:gridCol w:w="387"/>
        <w:gridCol w:w="804"/>
        <w:gridCol w:w="217"/>
        <w:gridCol w:w="109"/>
        <w:gridCol w:w="109"/>
        <w:gridCol w:w="109"/>
        <w:gridCol w:w="257"/>
        <w:gridCol w:w="729"/>
        <w:gridCol w:w="207"/>
      </w:tblGrid>
      <w:tr>
        <w:trPr/>
        <w:tc>
          <w:tcPr>
            <w:tcW w:w="52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6"/>
              </w:rPr>
            </w:pPr>
            <w:r>
              <w:rPr>
                <w:rFonts w:ascii="Times New Roman;serif" w:hAnsi="Times New Roman;serif"/>
                <w:b/>
                <w:color w:val="000000"/>
                <w:sz w:val="16"/>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DAC</w:t>
              <w:br/>
              <w:t>and</w:t>
              <w:br/>
              <w:t>VOBA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 xml:space="preserve">Future Policy Benefits and Other Policy-Related Balances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Policyholder Account Balances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Unearned Premiums (1)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Unearned Revenue (1)</w:t>
            </w:r>
          </w:p>
        </w:tc>
      </w:tr>
      <w:tr>
        <w:trPr/>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Annuities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4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4,263 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85"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69,957 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Life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6,256 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2,235 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Run-off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18,900 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5,504 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793 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Corporate &amp;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5,978 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9,478 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4,276 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35,397 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87,174 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1,061 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Annuities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4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4,013 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85"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67,602 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Life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6,083 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2,207 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Run-off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18,672 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6,376 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Corporate &amp;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5,994 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10,977 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4,374 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34,762 </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87,162 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964 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(1)Amounts are included in the future policy benefits and other policy-related balances column.</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(2)Includes premiums received in advance.</w:t>
      </w:r>
    </w:p>
    <w:p>
      <w:pPr>
        <w:pStyle w:val="TextBody"/>
        <w:bidi w:val="0"/>
        <w:spacing w:before="120" w:after="283"/>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199515"/>
                <wp:effectExtent l="0" t="0" r="0" b="0"/>
                <wp:wrapNone/>
                <wp:docPr id="159" name="Frame158"/>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157</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Schedule III</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Consolidated Supplementary Insurance Information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 2024 and 2023</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 millions)</w:t>
      </w:r>
    </w:p>
    <w:tbl>
      <w:tblPr>
        <w:tblW w:w="10205" w:type="dxa"/>
        <w:jc w:val="left"/>
        <w:tblInd w:w="0" w:type="dxa"/>
        <w:tblLayout w:type="fixed"/>
        <w:tblCellMar>
          <w:top w:w="28" w:type="dxa"/>
          <w:left w:w="28" w:type="dxa"/>
          <w:bottom w:w="28" w:type="dxa"/>
          <w:right w:w="28" w:type="dxa"/>
        </w:tblCellMar>
      </w:tblPr>
      <w:tblGrid>
        <w:gridCol w:w="526"/>
        <w:gridCol w:w="461"/>
        <w:gridCol w:w="469"/>
        <w:gridCol w:w="109"/>
        <w:gridCol w:w="109"/>
        <w:gridCol w:w="109"/>
        <w:gridCol w:w="353"/>
        <w:gridCol w:w="1005"/>
        <w:gridCol w:w="198"/>
        <w:gridCol w:w="109"/>
        <w:gridCol w:w="109"/>
        <w:gridCol w:w="109"/>
        <w:gridCol w:w="205"/>
        <w:gridCol w:w="581"/>
        <w:gridCol w:w="115"/>
        <w:gridCol w:w="109"/>
        <w:gridCol w:w="109"/>
        <w:gridCol w:w="109"/>
        <w:gridCol w:w="557"/>
        <w:gridCol w:w="1582"/>
        <w:gridCol w:w="312"/>
        <w:gridCol w:w="109"/>
        <w:gridCol w:w="109"/>
        <w:gridCol w:w="109"/>
        <w:gridCol w:w="350"/>
        <w:gridCol w:w="751"/>
        <w:gridCol w:w="196"/>
        <w:gridCol w:w="109"/>
        <w:gridCol w:w="109"/>
        <w:gridCol w:w="109"/>
        <w:gridCol w:w="196"/>
        <w:gridCol w:w="556"/>
        <w:gridCol w:w="157"/>
      </w:tblGrid>
      <w:tr>
        <w:trPr/>
        <w:tc>
          <w:tcPr>
            <w:tcW w:w="52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6"/>
              </w:rPr>
            </w:pPr>
            <w:r>
              <w:rPr>
                <w:rFonts w:ascii="Times New Roman;serif" w:hAnsi="Times New Roman;serif"/>
                <w:b/>
                <w:color w:val="000000"/>
                <w:sz w:val="16"/>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Premiums and</w:t>
              <w:br/>
              <w:t>Universal Life</w:t>
              <w:br/>
              <w:t>and Investment-Type</w:t>
              <w:br/>
              <w:t>Product Policy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w:t>
              <w:br/>
              <w:t>Investment</w:t>
              <w:br/>
              <w:t>Income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Policyholder Benefits and Claims and</w:t>
              <w:br/>
              <w:t>Interest Credited</w:t>
              <w:br/>
              <w:t>to Policyholder</w:t>
              <w:br/>
              <w:t>Account Balances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Amortization of</w:t>
              <w:br/>
              <w:t>DAC and VOBA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Other</w:t>
              <w:br/>
              <w:t>Expenses</w:t>
            </w:r>
          </w:p>
        </w:tc>
      </w:tr>
      <w:tr>
        <w:trPr/>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Annuities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1,439 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3,043 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82"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1,874 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1,032 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Life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567 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759 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Run-off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869 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Corporate &amp;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565 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409 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2,360 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5,139 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3,911 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564 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1,609 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Annuities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1,531 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2,841 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82"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1,832 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497 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Life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496 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633 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Run-off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1,230 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1,335 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Corporate &amp;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611 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2,360 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5,100 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4,249 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550 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1,601 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Annuities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1,499 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2,536 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82"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1,556 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Life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615 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385 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688 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Run-off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475 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1,115 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2"/>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1,587 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Corporate &amp;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524 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2,589 </w:t>
            </w:r>
          </w:p>
        </w:tc>
        <w:tc>
          <w:tcPr>
            <w:tcW w:w="1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4,560 </w:t>
            </w:r>
          </w:p>
        </w:tc>
        <w:tc>
          <w:tcPr>
            <w:tcW w:w="1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4,219 </w:t>
            </w:r>
          </w:p>
        </w:tc>
        <w:tc>
          <w:tcPr>
            <w:tcW w:w="3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564 </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1,625 </w:t>
            </w:r>
          </w:p>
        </w:tc>
        <w:tc>
          <w:tcPr>
            <w:tcW w:w="1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(1)See Note 2 of the Notes to the Consolidated Financial Statements for the basis of allocation of net investment income.</w:t>
      </w:r>
    </w:p>
    <w:p>
      <w:pPr>
        <w:pStyle w:val="TextBody"/>
        <w:bidi w:val="0"/>
        <w:spacing w:before="12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199515"/>
                <wp:effectExtent l="0" t="0" r="0" b="0"/>
                <wp:wrapNone/>
                <wp:docPr id="160" name="Frame159"/>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158</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Brighthouse Life Insurance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Indirect Wholly-Owned Subsidiary of 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Schedule IV</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Consolidated Reinsurance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 2024 and 2023</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(Dollars in millions)</w:t>
      </w:r>
    </w:p>
    <w:tbl>
      <w:tblPr>
        <w:tblW w:w="9963" w:type="dxa"/>
        <w:jc w:val="left"/>
        <w:tblInd w:w="0" w:type="dxa"/>
        <w:tblLayout w:type="fixed"/>
        <w:tblCellMar>
          <w:top w:w="28" w:type="dxa"/>
          <w:left w:w="28" w:type="dxa"/>
          <w:bottom w:w="28" w:type="dxa"/>
          <w:right w:w="28" w:type="dxa"/>
        </w:tblCellMar>
      </w:tblPr>
      <w:tblGrid>
        <w:gridCol w:w="763"/>
        <w:gridCol w:w="672"/>
        <w:gridCol w:w="680"/>
        <w:gridCol w:w="109"/>
        <w:gridCol w:w="109"/>
        <w:gridCol w:w="109"/>
        <w:gridCol w:w="217"/>
        <w:gridCol w:w="817"/>
        <w:gridCol w:w="122"/>
        <w:gridCol w:w="109"/>
        <w:gridCol w:w="109"/>
        <w:gridCol w:w="109"/>
        <w:gridCol w:w="196"/>
        <w:gridCol w:w="736"/>
        <w:gridCol w:w="109"/>
        <w:gridCol w:w="109"/>
        <w:gridCol w:w="109"/>
        <w:gridCol w:w="109"/>
        <w:gridCol w:w="196"/>
        <w:gridCol w:w="556"/>
        <w:gridCol w:w="109"/>
        <w:gridCol w:w="109"/>
        <w:gridCol w:w="109"/>
        <w:gridCol w:w="109"/>
        <w:gridCol w:w="196"/>
        <w:gridCol w:w="736"/>
        <w:gridCol w:w="109"/>
        <w:gridCol w:w="109"/>
        <w:gridCol w:w="109"/>
        <w:gridCol w:w="109"/>
        <w:gridCol w:w="442"/>
        <w:gridCol w:w="442"/>
        <w:gridCol w:w="1230"/>
      </w:tblGrid>
      <w:tr>
        <w:trPr/>
        <w:tc>
          <w:tcPr>
            <w:tcW w:w="76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Gross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Ceded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Assumed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Net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 Amount Assumed to Net</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Life insurance in-force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420,549 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113,518 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313,317 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230"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Insurance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Life insurance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1,060 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230"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Accident &amp; health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30"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 insurance premium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1,235 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571 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230"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Life insurance in-force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447,395 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121,327 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333,008 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230"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Insurance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Life insurance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1,181 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230"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Accident &amp; health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30"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 insurance premium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1,367 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230"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Life insurance in-force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463,582 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129,016 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7,479 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342,045 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230"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Insurance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Life insurance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1,257 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230"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Accident &amp; health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230"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Total insurance premium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1,458 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667 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230"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life insurance products in the Life, Run-off and Corporate &amp; Other segments.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(2)Includes annuities with life contingencies.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2024 and 2023, reinsurance assumed included related party transactions for life insurance in-force of $1.3 billion, $1.3 billion and $1.4 billion, respectively, and life insurance premiums of $9 million, $8 million and $6 million, respectively. There were no related party transactions for ceded life insurance in-force and life insurance premiums for the years ended December 31, 2025,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199515"/>
                <wp:effectExtent l="0" t="0" r="0" b="0"/>
                <wp:wrapNone/>
                <wp:docPr id="161" name="Frame160"/>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159</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 with the participation of the Chief Executive Officer and the Chief Financial Officer, has evaluated the effectiveness of the design and operation of the Company’s disclosure controls and procedures as defined in Rules 13a-15(e) and 15d-15(e) under the Exchange Act, as of the end of the period covered by this report. Based on that evaluation, the Chief Executive Officer and the Chief Financial Officer have concluded that these disclosure controls and procedures were effective as of December 31, 2025.</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Changes in Internal Control Over Financial Reporting</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MetLife provides certain services to the Company on a transitional basis through services agreements. The Company continues to change business processes, implement systems and establish new third-party arrangements, as a subsidiary of Brighthouse Financial, Inc. We consider these in aggregate to be material changes in our internal control over financial reporting.</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than as noted above, there were no changes to the Company’s internal control over financial reporting (as defined in Rules 13a-15(f) and 15d-15(f) under the Exchange Act) that occurred during the quarter ended December 31, 2025 that have materially affected, or are reasonably likely to materially affect, these internal controls over financial reporting.</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Management’s Annual Report on Internal Control Over Financial Reporting</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 of Brighthouse Life Insurance Company is responsible for establishing and maintaining adequate internal control over financial reporting. In fulfilling this responsibility, estimates and judgments by management are required to assess the expected benefits and related costs of control procedures. The objectives of internal control include providing management with reasonable, but not absolute, assurance that assets are safeguarded against loss from unauthorized use or disposition, and that transactions are executed in accordance with management’s authorization and recorded properly to permit the preparation of consolidated financial statements in conformity with GAAP.</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Due to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Management has completed an assessment of the effectiveness of the Company’s internal control over financial reporting as of December 31, 2025. In making the assessment, management used the criteria set forth in “Internal Control - Integrated Framework” promulgated by the Committee of Sponsoring Organizations of the Treadway Commission.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Based upon the assessment performed under that framework, management has maintained and concluded that the Company’s internal control over financial reporting was effective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Director and Officer Rule 10b5-1 Plans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of Brighthouse Life Insurance Company’s common stock is held by Brighthouse Holdings, LLC. As such, during the year ended December 31, 2025, none of the Company’s directors or officers (as defined in Rule 16a-1(f) of the Exchange Act) adopted or terminated a Rule 10b5-1 trading arrangement or non-Rule 10b5-1 trading arrangement (as such terms are defined in Item 408 of Regulation S-K of the Securities Act of 1933,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199515"/>
                <wp:effectExtent l="0" t="0" r="0" b="0"/>
                <wp:wrapNone/>
                <wp:docPr id="162" name="Frame161"/>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160</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Omitted pursuant to General Instruction I(2)(c) of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Omitted pursuant to General Instruction I(2)(c) of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Omitted pursuant to General Instruction I(2)(c) of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13. Certain Relationships, Related Person Transactions and Director Independence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Omitted pursuant to General Instruction I(2)(c) of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Deloitte &amp; Touche LLP (PCAOB ID No. 34) (“Deloitte”), the independent auditor of Brighthouse Financial, Inc., has served as the independent auditor of the Company since 2005, and as auditor of current and former affiliates of the Company for more than 75 years. Deloitte is a registered public accounting firm with the Public Company Accounting Oversight Board (United States) (“PCAOB”) as required by the Sarbanes-Oxley Act of 2002 (“Sarbanes-Oxley”) and the Rules of the PCAOB.</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Audit Committee of Brighthouse Financial, Inc. (the “BHF Audit Committee”) ensures that the engagement of the audit team partners is limited to no more than five consecutive years (in accordance with SEC rules).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Independent Auditor’s Fees for 2025 and 2024</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 below presents fees for professional services rendered by Deloitte for the audit of the Company’s annual financial statements, audit-related services, tax services and all other services for the years ended December 31, 2025 and 2024. All fees shown were related to services that were approved by the BHF Audit Committee.</w:t>
      </w:r>
    </w:p>
    <w:tbl>
      <w:tblPr>
        <w:tblW w:w="3429" w:type="dxa"/>
        <w:jc w:val="left"/>
        <w:tblInd w:w="0" w:type="dxa"/>
        <w:tblLayout w:type="fixed"/>
        <w:tblCellMar>
          <w:top w:w="28" w:type="dxa"/>
          <w:left w:w="28" w:type="dxa"/>
          <w:bottom w:w="28" w:type="dxa"/>
          <w:right w:w="28" w:type="dxa"/>
        </w:tblCellMar>
      </w:tblPr>
      <w:tblGrid>
        <w:gridCol w:w="591"/>
        <w:gridCol w:w="519"/>
        <w:gridCol w:w="525"/>
        <w:gridCol w:w="196"/>
        <w:gridCol w:w="406"/>
        <w:gridCol w:w="109"/>
        <w:gridCol w:w="109"/>
        <w:gridCol w:w="109"/>
        <w:gridCol w:w="109"/>
        <w:gridCol w:w="196"/>
        <w:gridCol w:w="406"/>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9"/>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Audit fees (1)</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Audit-related fees (2)</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Tax fees (3)</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All other fees (4)</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(1)Audit Fees. Fees and related expenses billed for professional services for the audit of the consolidated financial statements of the Company and its subsidiaries (as required), including the annual financial statement audit, the reviews of the interim financial statements included in quarterly reports on Form 10-Q for the Company and its subsidiaries (as required), statutory audits or other financial statement audits of subsidiaries, assistance with and review of documents filed with the SEC and other services that enable the independent auditor to form an opinion of the consolidated financial statements of the Company and its subsidiaries (as required).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(2)Audit-Related Fees. Fees and related expenses billed for assurance and related services that are reasonably related to the audit or review of the financial statements of the Company and its subsidiaries (as required) and for other services that are traditionally performed by the independent auditor. Such services consist of fees for comfort letters, accounting advisory services and accounting consultations not directly associated with the annual audit or quarterly reviews.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(3)Tax Fees. Fees billed for permitted tax services, including tax compliance, tax advice and tax planning.</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(4)All Other Fees. Fees billed for this category primarily represent accounting research subscription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199515"/>
                <wp:effectExtent l="0" t="0" r="0" b="0"/>
                <wp:wrapNone/>
                <wp:docPr id="163" name="Frame162"/>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161</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Approval of Services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BHF Audit Committee has established a policy requiring its pre-approval of all audit and non-audit services provided by Deloitte to BHF and its subsidiaries, as required under Sarbanes-Oxley and SEC rules, and this policy is designed to ensure that Deloitte’s independence is not impaired. In considering whether to pre-approve the provision of non-audit services by Deloitte, the BHF Audit Committee will consider whether the services are compatible with the maintenance of Deloitte’s independence. At the beginning of each fiscal year, the BHF Audit Committee appoints its independent auditor to perform certain audit, audit-related and permissible non-audit services, as approved by the BHF Audit Committee.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BHF Audit Committee provides a general pre-approval, on an annual basis, of audit, audit-related and permissible non-audit services up to amounts reasonably determined by the BHF Audit Committee to be appropriate. The BHF Audit Committee must specifically pre-approve (i) any proposed services that exceed such general pre-approval limits, (ii) tax services and (iii) any additional services that have not been generally pre-approved by the BHF Audit Committee. Deloitte is required to periodically report to the BHF Audit Committee the extent of the services that it has provided to the Company and the fees for the services performed to date. The BHF Audit Committee annually reviews the policy to ensure its continued appropriateness and compliance with applicable laws and listing standards.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pre-approval policy delegates to the BHF Audit Committee Chair the authority to pre-approve audit, audit-related or non-audit services between meetings for individual projects up to certain specified amounts if management deems it reasonably necessary to begin the services before the next scheduled meeting of the BHF Audit Committee. The BHF Audit Committee Chair must report any pre-approval decisions to the BHF Audit Committee at its next scheduled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lineRule="auto" w:line="288" w:before="180" w:after="283"/>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The following documents are filed as part of this report:</w:t>
      </w:r>
    </w:p>
    <w:p>
      <w:pPr>
        <w:pStyle w:val="TextBody"/>
        <w:bidi w:val="0"/>
        <w:spacing w:lineRule="auto" w:line="288" w:before="18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1.Financial Statements: See “Index to Consolidated Financial Statements, Notes and Schedules.”</w:t>
      </w:r>
    </w:p>
    <w:p>
      <w:pPr>
        <w:pStyle w:val="TextBody"/>
        <w:bidi w:val="0"/>
        <w:spacing w:lineRule="auto" w:line="288" w:before="18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2. Financial Statement Schedules: See “Index to Consolidated Financial Statements, Notes and Schedules.”</w:t>
      </w:r>
    </w:p>
    <w:p>
      <w:pPr>
        <w:pStyle w:val="TextBody"/>
        <w:bidi w:val="0"/>
        <w:spacing w:lineRule="auto" w:line="288" w:before="18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3. Exhibits: See “Exhibit Index.”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199515"/>
                <wp:effectExtent l="0" t="0" r="0" b="0"/>
                <wp:wrapNone/>
                <wp:docPr id="164" name="Frame163"/>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162</w:t>
                      </w:r>
                    </w:p>
                  </w:txbxContent>
                </v:textbox>
                <w10:wrap type="none"/>
              </v:rect>
            </w:pict>
          </mc:Fallback>
        </mc:AlternateContent>
      </w:r>
    </w:p>
    <w:p>
      <w:pPr>
        <w:pStyle w:val="TextBody"/>
        <w:bidi w:val="0"/>
        <w:spacing w:lineRule="auto" w:line="288" w:before="0" w:after="0"/>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w:t>
      </w:r>
      <w:r>
        <w:rPr>
          <w:rFonts w:ascii="Times New Roman;serif" w:hAnsi="Times New Roman;serif"/>
          <w:b/>
          <w:i/>
          <w:color w:val="000000"/>
          <w:sz w:val="20"/>
        </w:rPr>
        <w:t>Note Regarding Reliance on Statements in Our Contracts:</w:t>
      </w:r>
      <w:r>
        <w:rPr>
          <w:color w:val="000000"/>
        </w:rPr>
        <w:t xml:space="preserve"> </w:t>
      </w:r>
      <w:r>
        <w:rPr>
          <w:rFonts w:ascii="Times New Roman;serif" w:hAnsi="Times New Roman;serif"/>
          <w:b w:val="false"/>
          <w:i/>
          <w:color w:val="000000"/>
          <w:sz w:val="20"/>
        </w:rPr>
        <w:t>In reviewing the agreements included as exhibits to this Annual Report on Form 10-K, please remember that they are included to provide you with information regarding their terms and are not intended to provide any other factual or disclosure information about Brighthouse Life Insurance Company, its subsidiaries or affiliates or the other parties to the agreements. The agreements contain representations and warranties by each of the parties to the applicable agreement. These representations and warranties have been made solely for the benefit of the other parties to the applicable agreement and (i) should not in all instances be treated as categorical statements of fact, but rather as a way of allocating the risk to one of the parties if those statements prove to be inaccurate; (ii) have been qualified by disclosures that were made to the other party in connection with the negotiation of the applicable agreement, which disclosures are not necessarily reflected in the agreement; (iii) may apply standards of materiality in a way that is different from what may be viewed as material to investors; and (iv) were made only as of the date of the applicable agreement or such other date or dates as may be specified in the agreement and are subject to more recent developments. Accordingly, these representations and warranties may not describe the actual state of affairs as of the date they were made or at any other time. Additional information about Brighthouse Life Insurance Company, its subsidiaries and affiliates may be found elsewhere in this Annual Report on Form 10-K and Brighthouse Life Insurance Company’s other public filings, which are available without charge through the U.S. Securities and Exchange Commission website at www.sec.gov.)</w: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2757"/>
        <w:gridCol w:w="2624"/>
        <w:gridCol w:w="374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c>
          <w:tcPr>
            <w:tcW w:w="374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w:t>
            </w:r>
          </w:p>
        </w:tc>
      </w:tr>
      <w:tr>
        <w:trPr/>
        <w:tc>
          <w:tcPr>
            <w:tcW w:w="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Certificate of Incorporation of MetLife Insurance Company of Connecticut (now Brighthouse Life Insurance Company), as effective November 14, 2014 (Incorporated by reference to Exhibit 3.1 to the MetLife Insurance Company USA Annual Report on Form 10-K for the year ended December 31, 2014 (the “2014 Annual Report”).</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Certificate of Amendment of Certificate of Incorporation of MetLife Insurance Company of Connecticut (now Brighthouse Life Insurance Company), as effective November 14, 2014 (Incorporated by reference to Exhibit 3.2 to the 2014 Annual Report).</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Certificate of Amendment of Certificate of Incorporation of MetLife Insurance Company USA (now Brighthouse Life Insurance Company), as effective March 6, 2017 (Incorporated by reference to Exhibit 3.3 to the Brighthouse Life Insurance Company’s Annual Report on Form 10-K for the year ended December 31, 2016 (the “2016 Annual Report”)).</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Amended and Restated Bylaws of Brighthouse Life Insurance Company, as effective March 6, 2017 (Incorporated by reference to Exhibit 3.4 to the 2016 Annual Report).</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Service Agreement and Indemnity Combination Coinsurance and Modified Coinsurance Agreement of Certain Life Insurance Policies, between MetLife Insurance Company of Connecticut (now Brighthouse Life Insurance Company) and Metropolitan Life Insurance Company (Treaty #20132), as effective January 1, 2014 (Incorporated by reference to Exhibit 4.1 to MetLife Insurance Company of Connecticut’s Annual Report on Form 10-K for the year ended December 31, 2013 (the “2013 Annual Report”)).</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80"/>
                  <w:sz w:val="20"/>
                  <w:u w:val="single"/>
                </w:rPr>
                <w:t xml:space="preserve">Service Agreement and Indemnity Combination Coinsurance and Modified Coinsurance Agreement of Certain Annuity Contracts, between MetLife Insurance Company of Connecticut </w:t>
              </w:r>
            </w:hyperlink>
            <w:hyperlink r:id="rId9">
              <w:r>
                <w:rPr>
                  <w:rStyle w:val="InternetLink"/>
                  <w:rFonts w:ascii="Times New Roman;serif" w:hAnsi="Times New Roman;serif"/>
                  <w:b w:val="false"/>
                  <w:color w:val="000080"/>
                  <w:sz w:val="20"/>
                  <w:u w:val="single"/>
                </w:rPr>
                <w:t>(now Brighthouse Life Insurance Company)</w:t>
              </w:r>
            </w:hyperlink>
            <w:hyperlink r:id="rId10">
              <w:r>
                <w:rPr>
                  <w:rStyle w:val="InternetLink"/>
                  <w:rFonts w:ascii="Times New Roman;serif" w:hAnsi="Times New Roman;serif"/>
                  <w:b w:val="false"/>
                  <w:color w:val="000080"/>
                  <w:sz w:val="20"/>
                  <w:u w:val="single"/>
                </w:rPr>
                <w:t xml:space="preserve"> </w:t>
              </w:r>
            </w:hyperlink>
            <w:hyperlink r:id="rId11">
              <w:r>
                <w:rPr>
                  <w:rStyle w:val="InternetLink"/>
                  <w:rFonts w:ascii="Times New Roman;serif" w:hAnsi="Times New Roman;serif"/>
                  <w:b w:val="false"/>
                  <w:color w:val="000080"/>
                  <w:sz w:val="20"/>
                  <w:u w:val="single"/>
                </w:rPr>
                <w:t>and Metropolitan Life Insurance Company (Treaty #20176), as effective January 1, 2014 (Incorporated by reference to Exhibit 4.2 to the 2013 Annual Report).</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lic-12312025xex231.htm">
              <w:r>
                <w:rPr>
                  <w:rStyle w:val="InternetLink"/>
                  <w:rFonts w:ascii="Times New Roman;serif" w:hAnsi="Times New Roman;serif"/>
                  <w:b w:val="false"/>
                  <w:color w:val="0000FF"/>
                  <w:sz w:val="20"/>
                  <w:u w:val="single"/>
                </w:rPr>
                <w:t>Consent of Deloitte &amp; Touche LLP.</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lic-12312025xex311.htm">
              <w:r>
                <w:rPr>
                  <w:rStyle w:val="InternetLink"/>
                  <w:rFonts w:ascii="Times New Roman;serif" w:hAnsi="Times New Roman;serif"/>
                  <w:b w:val="false"/>
                  <w:color w:val="0000FF"/>
                  <w:sz w:val="20"/>
                  <w:u w:val="single"/>
                </w:rPr>
                <w:t>Certification of Chief Executive Officer pursuant to Section 302 of the Sarbanes-Oxley Act of 2002.</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lic-12312025xex312.htm">
              <w:r>
                <w:rPr>
                  <w:rStyle w:val="InternetLink"/>
                  <w:rFonts w:ascii="Times New Roman;serif" w:hAnsi="Times New Roman;serif"/>
                  <w:b w:val="false"/>
                  <w:color w:val="0000FF"/>
                  <w:sz w:val="20"/>
                  <w:u w:val="single"/>
                </w:rPr>
                <w:t>Certification of Chief Financial Officer pursuant to Section 302 of the Sarbanes-Oxley Act of 2002.</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lic-12312025xex321.htm">
              <w:r>
                <w:rPr>
                  <w:rStyle w:val="InternetLink"/>
                  <w:rFonts w:ascii="Times New Roman;serif" w:hAnsi="Times New Roman;serif"/>
                  <w:b w:val="false"/>
                  <w:color w:val="0000FF"/>
                  <w:sz w:val="20"/>
                  <w:u w:val="single"/>
                </w:rPr>
                <w:t>Certification of Chief Executive Officer pursuant to Section 906 of the Sarbanes-Oxley Act of 2002.</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lic-12312025xex322.htm">
              <w:r>
                <w:rPr>
                  <w:rStyle w:val="InternetLink"/>
                  <w:rFonts w:ascii="Times New Roman;serif" w:hAnsi="Times New Roman;serif"/>
                  <w:b w:val="false"/>
                  <w:color w:val="0000FF"/>
                  <w:sz w:val="20"/>
                  <w:u w:val="single"/>
                </w:rPr>
                <w:t>Certification of Chief Financial Officer pursuant to Section 906 of the Sarbanes-Oxley Act of 2002.</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cover page of Brighthouse Life Insurance Company’s Annual Report on Form 10-K for the year ended December 31, 2025, formatted in Inline XBRL (included within the Exhibit 101 attachments).</w:t>
            </w:r>
          </w:p>
        </w:tc>
      </w:tr>
    </w:tbl>
    <w:p>
      <w:pPr>
        <w:pStyle w:val="TextBody"/>
        <w:bidi w:val="0"/>
        <w:spacing w:lineRule="auto" w:line="288" w:before="20" w:after="283"/>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085215"/>
                <wp:effectExtent l="0" t="0" r="0" b="0"/>
                <wp:wrapNone/>
                <wp:docPr id="165" name="Frame164"/>
                <a:graphic xmlns:a="http://schemas.openxmlformats.org/drawingml/2006/main">
                  <a:graphicData uri="http://schemas.microsoft.com/office/word/2010/wordprocessingShape">
                    <wps:wsp>
                      <wps:cNvSpPr txBox="1"/>
                      <wps:spPr>
                        <a:xfrm>
                          <a:off x="0" y="0"/>
                          <a:ext cx="6480175" cy="10852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163</w:t>
                      </w:r>
                    </w:p>
                  </w:txbxContent>
                </v:textbox>
                <w10:wrap type="none"/>
              </v:rect>
            </w:pict>
          </mc:Fallback>
        </mc:AlternateContent>
      </w:r>
    </w:p>
    <w:p>
      <w:pPr>
        <w:pStyle w:val="TextBody"/>
        <w:bidi w:val="0"/>
        <w:spacing w:lineRule="auto" w:line="288" w:before="120" w:after="283"/>
        <w:jc w:val="left"/>
        <w:rPr/>
      </w:pPr>
      <w:hyperlink w:anchor="i3c4b9e6b138e4c15b462f76456fc5e4b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firstLine="504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7592" w:type="dxa"/>
        <w:jc w:val="center"/>
        <w:tblInd w:w="0" w:type="dxa"/>
        <w:tblLayout w:type="fixed"/>
        <w:tblCellMar>
          <w:top w:w="28" w:type="dxa"/>
          <w:left w:w="28" w:type="dxa"/>
          <w:bottom w:w="28" w:type="dxa"/>
          <w:right w:w="28" w:type="dxa"/>
        </w:tblCellMar>
      </w:tblPr>
      <w:tblGrid>
        <w:gridCol w:w="488"/>
        <w:gridCol w:w="428"/>
        <w:gridCol w:w="428"/>
        <w:gridCol w:w="428"/>
        <w:gridCol w:w="428"/>
        <w:gridCol w:w="428"/>
        <w:gridCol w:w="1436"/>
        <w:gridCol w:w="1436"/>
        <w:gridCol w:w="2092"/>
      </w:tblGrid>
      <w:tr>
        <w:trPr/>
        <w:tc>
          <w:tcPr>
            <w:tcW w:w="48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759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BRIGHTHOUSE LIFE INSURANCE COMPANY</w:t>
            </w:r>
          </w:p>
        </w:tc>
      </w:tr>
      <w:tr>
        <w:trPr/>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Melissa B. Pavlovich</w:t>
            </w:r>
          </w:p>
        </w:tc>
      </w:tr>
      <w:tr>
        <w:trPr/>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4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Melissa B. Pavlovich</w:t>
            </w:r>
          </w:p>
        </w:tc>
      </w:tr>
      <w:tr>
        <w:trPr/>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496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Vice President and Chief Accounting Officer</w:t>
            </w:r>
          </w:p>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(Duly Authorized Officer and Principal Accounting Officer)</w:t>
            </w:r>
          </w:p>
        </w:tc>
      </w:tr>
      <w:tr>
        <w:trPr/>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w:t>
            </w:r>
          </w:p>
        </w:tc>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February 27, 2026</w:t>
            </w:r>
          </w:p>
        </w:tc>
      </w:tr>
    </w:tbl>
    <w:p>
      <w:pPr>
        <w:pStyle w:val="TextBody"/>
        <w:bidi w:val="0"/>
        <w:spacing w:before="180" w:after="283"/>
        <w:ind w:left="0" w:right="0" w:firstLine="360"/>
        <w:jc w:val="both"/>
        <w:rPr/>
      </w:pPr>
      <w:r>
        <w:rPr/>
      </w:r>
    </w:p>
    <w:p>
      <w:pPr>
        <w:pStyle w:val="TextBody"/>
        <w:bidi w:val="0"/>
        <w:spacing w:lineRule="auto" w:line="288" w:before="180" w:after="283"/>
        <w:ind w:left="0" w:right="0" w:firstLine="360"/>
        <w:jc w:val="both"/>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w:t>
      </w:r>
      <w:r>
        <w:rPr>
          <w:color w:val="000000"/>
        </w:rPr>
        <w:t xml:space="preserve"> </w:t>
      </w:r>
      <w:r>
        <w:rPr>
          <w:rFonts w:ascii="Times New Roman;serif" w:hAnsi="Times New Roman;serif"/>
          <w:b w:val="false"/>
          <w:color w:val="000000"/>
          <w:sz w:val="20"/>
        </w:rPr>
        <w:t>the dates indicated.</w:t>
      </w:r>
    </w:p>
    <w:tbl>
      <w:tblPr>
        <w:tblW w:w="8648" w:type="dxa"/>
        <w:jc w:val="left"/>
        <w:tblInd w:w="0" w:type="dxa"/>
        <w:tblLayout w:type="fixed"/>
        <w:tblCellMar>
          <w:top w:w="28" w:type="dxa"/>
          <w:left w:w="28" w:type="dxa"/>
          <w:bottom w:w="28" w:type="dxa"/>
          <w:right w:w="28" w:type="dxa"/>
        </w:tblCellMar>
      </w:tblPr>
      <w:tblGrid>
        <w:gridCol w:w="752"/>
        <w:gridCol w:w="662"/>
        <w:gridCol w:w="671"/>
        <w:gridCol w:w="109"/>
        <w:gridCol w:w="109"/>
        <w:gridCol w:w="109"/>
        <w:gridCol w:w="1418"/>
        <w:gridCol w:w="1418"/>
        <w:gridCol w:w="1438"/>
        <w:gridCol w:w="109"/>
        <w:gridCol w:w="109"/>
        <w:gridCol w:w="109"/>
        <w:gridCol w:w="477"/>
        <w:gridCol w:w="477"/>
        <w:gridCol w:w="681"/>
      </w:tblGrid>
      <w:tr>
        <w:trPr/>
        <w:tc>
          <w:tcPr>
            <w:tcW w:w="75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20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Eric T. Steigerwalt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Chairman of the Board, President and</w:t>
              <w:br/>
              <w:t>Chief Executive Officer</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27, 2026</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Eric T. Steigerwalt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Edward A. Spehar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 Vice President and Chief Financial Officer</w:t>
              <w:b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27, 2026</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Edward A. Spehar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Melissa B. Pavlovich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Vice President and Chief Accounting Officer</w:t>
              <w:b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27, 2026</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Melissa B. Pavlovich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Myles J. Lambert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27, 2026</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Myles J. Lambert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A. Rosenbaum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Director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27, 2026</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David A. Rosenbaum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John L. Rosenthal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27, 2026</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John L. Rosenthal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360"/>
        <w:jc w:val="both"/>
        <w:rPr/>
      </w:pPr>
      <w:r>
        <w:rPr>
          <w:rFonts w:ascii="Times New Roman;serif" w:hAnsi="Times New Roman;serif"/>
          <w:b/>
          <w:color w:val="000000"/>
          <w:sz w:val="20"/>
        </w:rPr>
        <w:t>Supplemental Information to be Furnished with Reports Filed Pursuant to Section 15(d) of the Act by Registrants Which Have Not Registered Securities Pursuant to Section 12 of the Act:</w:t>
      </w:r>
      <w:r>
        <w:rPr>
          <w:color w:val="000000"/>
        </w:rPr>
        <w:t xml:space="preserve"> </w:t>
      </w:r>
      <w:r>
        <w:rPr>
          <w:rFonts w:ascii="Times New Roman;serif" w:hAnsi="Times New Roman;serif"/>
          <w:b w:val="false"/>
          <w:color w:val="000000"/>
          <w:sz w:val="20"/>
        </w:rPr>
        <w:t>None.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 annual report to security holders covering the registrant’s last fiscal year or proxy material with respect to any meeting of security holders has been sent, or will be sent, to security holders.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283"/>
        <w:ind w:left="0" w:right="0" w:firstLine="360"/>
        <w:jc w:val="righ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199515"/>
                <wp:effectExtent l="0" t="0" r="0" b="0"/>
                <wp:wrapNone/>
                <wp:docPr id="166" name="Frame165"/>
                <a:graphic xmlns:a="http://schemas.openxmlformats.org/drawingml/2006/main">
                  <a:graphicData uri="http://schemas.microsoft.com/office/word/2010/wordprocessingShape">
                    <wps:wsp>
                      <wps:cNvSpPr txBox="1"/>
                      <wps:spPr>
                        <a:xfrm>
                          <a:off x="0" y="0"/>
                          <a:ext cx="6480175" cy="1199515"/>
                        </a:xfrm>
                        <a:prstGeom prst="rect"/>
                        <a:solidFill>
                          <a:srgbClr val="FFFFFF"/>
                        </a:solidFill>
                      </wps:spPr>
                      <wps:txb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180" w:after="283"/>
                        <w:ind w:left="0" w:right="0" w:firstLine="360"/>
                        <w:jc w:val="center"/>
                        <w:rPr/>
                      </w:pPr>
                      <w:r>
                        <w:rPr/>
                      </w:r>
                    </w:p>
                    <w:p>
                      <w:pPr>
                        <w:pStyle w:val="TextBody"/>
                        <w:bidi w:val="0"/>
                        <w:spacing w:before="180" w:after="283"/>
                        <w:ind w:left="0" w:right="0" w:firstLine="360"/>
                        <w:jc w:val="center"/>
                        <w:rPr/>
                      </w:pPr>
                      <w:r>
                        <w:rPr/>
                      </w:r>
                    </w:p>
                    <w:p>
                      <w:pPr>
                        <w:pStyle w:val="TextBody"/>
                        <w:bidi w:val="0"/>
                        <w:spacing w:lineRule="auto" w:line="288" w:before="1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164</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4"/>
        </w:rPr>
        <w:t>CONSENT OF INDEPENDENT REGISTERED PUBLIC ACCOUNTING FIRM</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We consent to the incorporation by reference in the below listed registration statements of our report dated February 27, 2026, relating to the financial statements of Brighthouse Life Insurance Company appearing in this Annual Report on Form 10-K for the year ended December 31,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Form S-3:</w:t>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No. 333-268427</w:t>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No. 333-268618</w:t>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No. 333-276468</w:t>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No. 333-276469</w:t>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No. 333-276470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 DELOITTE &amp; TOUCHE LLP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Charlotte, North Carolina</w:t>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February 27,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CERTIFICATIONS</w:t>
      </w:r>
    </w:p>
    <w:p>
      <w:pPr>
        <w:pStyle w:val="TextBody"/>
        <w:bidi w:val="0"/>
        <w:spacing w:before="0" w:after="0"/>
        <w:jc w:val="center"/>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 Eric T. Steigerwalt, certify that:</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10-K of Brighthouse Life Insurance Company;</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Date: February 27, 2026</w:t>
      </w:r>
    </w:p>
    <w:tbl>
      <w:tblPr>
        <w:tblW w:w="5486" w:type="dxa"/>
        <w:jc w:val="center"/>
        <w:tblInd w:w="0" w:type="dxa"/>
        <w:tblLayout w:type="fixed"/>
        <w:tblCellMar>
          <w:top w:w="28" w:type="dxa"/>
          <w:left w:w="28" w:type="dxa"/>
          <w:bottom w:w="28" w:type="dxa"/>
          <w:right w:w="28" w:type="dxa"/>
        </w:tblCellMar>
      </w:tblPr>
      <w:tblGrid>
        <w:gridCol w:w="124"/>
        <w:gridCol w:w="109"/>
        <w:gridCol w:w="109"/>
        <w:gridCol w:w="1505"/>
        <w:gridCol w:w="1505"/>
        <w:gridCol w:w="21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Eric T. Steigerwalt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Eric T. Steigerwalt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Chairman of the Board, 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CERTIFICATIONS</w:t>
      </w:r>
    </w:p>
    <w:p>
      <w:pPr>
        <w:pStyle w:val="TextBody"/>
        <w:bidi w:val="0"/>
        <w:spacing w:before="0" w:after="0"/>
        <w:jc w:val="center"/>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 Edward A. Spehar, certify that:</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10-K of Brighthouse Life Insurance Company;</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Date: February 27, 2026</w:t>
      </w:r>
    </w:p>
    <w:tbl>
      <w:tblPr>
        <w:tblW w:w="3912" w:type="dxa"/>
        <w:jc w:val="center"/>
        <w:tblInd w:w="0" w:type="dxa"/>
        <w:tblLayout w:type="fixed"/>
        <w:tblCellMar>
          <w:top w:w="28" w:type="dxa"/>
          <w:left w:w="28" w:type="dxa"/>
          <w:bottom w:w="28" w:type="dxa"/>
          <w:right w:w="28" w:type="dxa"/>
        </w:tblCellMar>
      </w:tblPr>
      <w:tblGrid>
        <w:gridCol w:w="124"/>
        <w:gridCol w:w="109"/>
        <w:gridCol w:w="109"/>
        <w:gridCol w:w="1042"/>
        <w:gridCol w:w="1042"/>
        <w:gridCol w:w="14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Edward A. Spehar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Edward A. Spehar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CERTIFICATION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 SECTION 1350 OF CHAPTER 63 OF TITLE 18 OF THE UNITED STATES CODE</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Eric T. Steigerwalt, certify that, to my knowledge, (i) Brighthouse Life Insurance Company’s Annual Report on Form 10-K for the year ended December 31, 2025 (the “Form 10-K”) fully complies with the requirements of Section 13(a) or 15(d) of the Securities Exchange Act of 1934, and (ii) the information contained in the Form 10-K fairly presents, in all material respects, the financial condition and results of operations of Brighthouse Life Insurance Company.</w:t>
      </w:r>
    </w:p>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Date: February 27, 2026    </w:t>
      </w:r>
    </w:p>
    <w:p>
      <w:pPr>
        <w:pStyle w:val="TextBody"/>
        <w:bidi w:val="0"/>
        <w:spacing w:before="0" w:after="60"/>
        <w:jc w:val="both"/>
        <w:rPr/>
      </w:pPr>
      <w:r>
        <w:rPr/>
      </w:r>
    </w:p>
    <w:tbl>
      <w:tblPr>
        <w:tblW w:w="5486" w:type="dxa"/>
        <w:jc w:val="right"/>
        <w:tblInd w:w="0" w:type="dxa"/>
        <w:tblLayout w:type="fixed"/>
        <w:tblCellMar>
          <w:top w:w="28" w:type="dxa"/>
          <w:left w:w="28" w:type="dxa"/>
          <w:bottom w:w="28" w:type="dxa"/>
          <w:right w:w="28" w:type="dxa"/>
        </w:tblCellMar>
      </w:tblPr>
      <w:tblGrid>
        <w:gridCol w:w="124"/>
        <w:gridCol w:w="109"/>
        <w:gridCol w:w="109"/>
        <w:gridCol w:w="1505"/>
        <w:gridCol w:w="1505"/>
        <w:gridCol w:w="21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Eric T. Steigerwalt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Eric T. Steigerwalt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Chairman of the Board, President and Chief Executive Officer</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certification accompanies this Annual Report on Form 10-K pursuant to Section 906 of the Sarbanes-Oxley Act of 2002 and shall not, except to the extent required by such Act, be deemed filed by Brighthouse Life Insurance Company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pStyle w:val="TextBody"/>
        <w:bidi w:val="0"/>
        <w:spacing w:before="0" w:after="0"/>
        <w:jc w:val="both"/>
        <w:rPr/>
      </w:pPr>
      <w:r>
        <w:rPr/>
      </w:r>
    </w:p>
    <w:p>
      <w:pPr>
        <w:pStyle w:val="TextBody"/>
        <w:bidi w:val="0"/>
        <w:spacing w:before="0" w:after="0"/>
        <w:jc w:val="both"/>
        <w:rPr/>
      </w:pPr>
      <w:r>
        <w:rPr/>
      </w:r>
    </w:p>
    <w:p>
      <w:pPr>
        <w:pStyle w:val="TextBody"/>
        <w:bidi w:val="0"/>
        <w:spacing w:before="100" w:after="100"/>
        <w:ind w:left="0" w:right="0" w:firstLine="360"/>
        <w:jc w:val="both"/>
        <w:rPr/>
      </w:pPr>
      <w:r>
        <w:rPr/>
      </w:r>
    </w:p>
    <w:p>
      <w:pPr>
        <w:pStyle w:val="TextBody"/>
        <w:bidi w:val="0"/>
        <w:spacing w:before="0" w:after="0"/>
        <w:jc w:val="left"/>
        <w:rPr/>
      </w:pPr>
      <w:r>
        <w:rPr/>
      </w:r>
    </w:p>
    <w:p>
      <w:pPr>
        <w:pStyle w:val="TextBody"/>
        <w:bidi w:val="0"/>
        <w:spacing w:before="0" w:after="6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CERTIFICATION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 SECTION 1350 OF CHAPTER 63 OF TITLE 18 OF THE UNITED STATES CODE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 Edward A. Spehar, certify that, to my knowledge, (i) Brighthouse Life Insurance Company’s Annual Report on Form 10-K for the year ended December 31, 2025 (the “Form 10-K”) fully complies with the requirements of Section 13(a) or 15(d) of the Securities Exchange Act of 1934, and (ii) the information contained in the Form 10-K fairly presents, in all material respects, the financial condition and results of operations of Brighthouse Life Insurance Company.</w:t>
      </w:r>
    </w:p>
    <w:p>
      <w:pPr>
        <w:pStyle w:val="TextBody"/>
        <w:bidi w:val="0"/>
        <w:spacing w:before="0" w:after="0"/>
        <w:jc w:val="both"/>
        <w:rPr/>
      </w:pPr>
      <w:r>
        <w:rPr/>
      </w:r>
    </w:p>
    <w:p>
      <w:pPr>
        <w:pStyle w:val="TextBody"/>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Date: February 27, 2026</w:t>
      </w:r>
    </w:p>
    <w:p>
      <w:pPr>
        <w:pStyle w:val="TextBody"/>
        <w:bidi w:val="0"/>
        <w:spacing w:before="0" w:after="100"/>
        <w:jc w:val="both"/>
        <w:rPr/>
      </w:pPr>
      <w:r>
        <w:rPr/>
      </w:r>
    </w:p>
    <w:tbl>
      <w:tblPr>
        <w:tblW w:w="3912" w:type="dxa"/>
        <w:jc w:val="right"/>
        <w:tblInd w:w="0" w:type="dxa"/>
        <w:tblLayout w:type="fixed"/>
        <w:tblCellMar>
          <w:top w:w="28" w:type="dxa"/>
          <w:left w:w="28" w:type="dxa"/>
          <w:bottom w:w="28" w:type="dxa"/>
          <w:right w:w="28" w:type="dxa"/>
        </w:tblCellMar>
      </w:tblPr>
      <w:tblGrid>
        <w:gridCol w:w="124"/>
        <w:gridCol w:w="109"/>
        <w:gridCol w:w="109"/>
        <w:gridCol w:w="1042"/>
        <w:gridCol w:w="1042"/>
        <w:gridCol w:w="14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Edward A. Spehar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Edward A. Spehar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Vice President and Chief Financial Officer</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certification accompanies this Annual Report on Form 10-K pursuant to Section 906 of the Sarbanes-Oxley Act of 2002 and shall not, except to the extent required by such Act, be deemed filed by Brighthouse Life Insurance Company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733076/000093783415000022/metlifeusa-12312014xex31.htm" TargetMode="External"/><Relationship Id="rId4" Type="http://schemas.openxmlformats.org/officeDocument/2006/relationships/hyperlink" Target="https://www.sec.gov/Archives/edgar/data/733076/000093783415000022/metlifeusa-12312014xex32.htm" TargetMode="External"/><Relationship Id="rId5" Type="http://schemas.openxmlformats.org/officeDocument/2006/relationships/hyperlink" Target="https://www.sec.gov/Archives/edgar/data/733076/000116760917000013/bhinsurance-12312016xex33.htm" TargetMode="External"/><Relationship Id="rId6" Type="http://schemas.openxmlformats.org/officeDocument/2006/relationships/hyperlink" Target="https://www.sec.gov/Archives/edgar/data/733076/000116760917000013/bhinsurance-12312016xex34.htm" TargetMode="External"/><Relationship Id="rId7" Type="http://schemas.openxmlformats.org/officeDocument/2006/relationships/hyperlink" Target="https://www.sec.gov/Archives/edgar/data/733076/000093783414000023/micc-12312013xex41.htm" TargetMode="External"/><Relationship Id="rId8" Type="http://schemas.openxmlformats.org/officeDocument/2006/relationships/hyperlink" Target="https://www.sec.gov/Archives/edgar/data/733076/000093783414000023/micc-12312013xex42.htm" TargetMode="External"/><Relationship Id="rId9" Type="http://schemas.openxmlformats.org/officeDocument/2006/relationships/hyperlink" Target="https://www.sec.gov/Archives/edgar/data/733076/000093783414000023/micc-12312013xex42.htm" TargetMode="External"/><Relationship Id="rId10" Type="http://schemas.openxmlformats.org/officeDocument/2006/relationships/hyperlink" Target="https://www.sec.gov/Archives/edgar/data/733076/000093783414000023/micc-12312013xex42.htm" TargetMode="External"/><Relationship Id="rId11" Type="http://schemas.openxmlformats.org/officeDocument/2006/relationships/hyperlink" Target="https://www.sec.gov/Archives/edgar/data/733076/000093783414000023/micc-12312013xex42.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86755</Words>
  <Characters>494050</Characters>
  <CharactersWithSpaces>575134</CharactersWithSpaces>
  <Paragraphs>10470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