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500"/>
        <w:spacing w:after="0"/>
        <w:rPr>
          <w:sz w:val="20"/>
          <w:szCs w:val="20"/>
          <w:color w:val="auto"/>
        </w:rPr>
      </w:pPr>
      <w:r>
        <w:rPr>
          <w:rFonts w:ascii="Arial" w:cs="Arial" w:eastAsia="Arial" w:hAnsi="Arial"/>
          <w:sz w:val="13"/>
          <w:szCs w:val="13"/>
          <w:b w:val="1"/>
          <w:bCs w:val="1"/>
          <w:color w:val="auto"/>
        </w:rPr>
        <w:t>REGISTRATION STATEMENT FILE NO. 333-_________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12700</wp:posOffset>
            </wp:positionV>
            <wp:extent cx="4479925" cy="971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479925" cy="97155"/>
                    </a:xfrm>
                    <a:prstGeom prst="rect">
                      <a:avLst/>
                    </a:prstGeom>
                    <a:noFill/>
                  </pic:spPr>
                </pic:pic>
              </a:graphicData>
            </a:graphic>
          </wp:anchor>
        </w:drawing>
      </w:r>
    </w:p>
    <w:p>
      <w:pPr>
        <w:spacing w:after="0" w:line="187" w:lineRule="exact"/>
        <w:rPr>
          <w:sz w:val="24"/>
          <w:szCs w:val="24"/>
          <w:color w:val="auto"/>
        </w:rPr>
      </w:pPr>
    </w:p>
    <w:p>
      <w:pPr>
        <w:jc w:val="center"/>
        <w:ind w:right="2619"/>
        <w:spacing w:after="0"/>
        <w:rPr>
          <w:sz w:val="20"/>
          <w:szCs w:val="20"/>
          <w:color w:val="auto"/>
        </w:rPr>
      </w:pPr>
      <w:r>
        <w:rPr>
          <w:rFonts w:ascii="Arial" w:cs="Arial" w:eastAsia="Arial" w:hAnsi="Arial"/>
          <w:sz w:val="18"/>
          <w:szCs w:val="18"/>
          <w:b w:val="1"/>
          <w:bCs w:val="1"/>
          <w:color w:val="auto"/>
        </w:rPr>
        <w:t>UNITED STATES</w:t>
      </w:r>
    </w:p>
    <w:p>
      <w:pPr>
        <w:jc w:val="center"/>
        <w:ind w:right="2579"/>
        <w:spacing w:after="0"/>
        <w:rPr>
          <w:sz w:val="20"/>
          <w:szCs w:val="20"/>
          <w:color w:val="auto"/>
        </w:rPr>
      </w:pPr>
      <w:r>
        <w:rPr>
          <w:rFonts w:ascii="Arial" w:cs="Arial" w:eastAsia="Arial" w:hAnsi="Arial"/>
          <w:sz w:val="18"/>
          <w:szCs w:val="18"/>
          <w:b w:val="1"/>
          <w:bCs w:val="1"/>
          <w:color w:val="auto"/>
        </w:rPr>
        <w:t>SECURITIES AND EXCHANGE COMMISSION</w:t>
      </w:r>
    </w:p>
    <w:p>
      <w:pPr>
        <w:spacing w:after="0" w:line="71" w:lineRule="exact"/>
        <w:rPr>
          <w:sz w:val="24"/>
          <w:szCs w:val="24"/>
          <w:color w:val="auto"/>
        </w:rPr>
      </w:pPr>
    </w:p>
    <w:p>
      <w:pPr>
        <w:jc w:val="center"/>
        <w:ind w:right="2579"/>
        <w:spacing w:after="0"/>
        <w:rPr>
          <w:sz w:val="20"/>
          <w:szCs w:val="20"/>
          <w:color w:val="auto"/>
        </w:rPr>
      </w:pPr>
      <w:r>
        <w:rPr>
          <w:rFonts w:ascii="Arial" w:cs="Arial" w:eastAsia="Arial" w:hAnsi="Arial"/>
          <w:sz w:val="15"/>
          <w:szCs w:val="15"/>
          <w:b w:val="1"/>
          <w:bCs w:val="1"/>
          <w:color w:val="auto"/>
        </w:rPr>
        <w:t>WASHINGTON, D.C. 20549</w:t>
      </w:r>
    </w:p>
    <w:p>
      <w:pPr>
        <w:spacing w:after="0" w:line="117" w:lineRule="exact"/>
        <w:rPr>
          <w:sz w:val="24"/>
          <w:szCs w:val="24"/>
          <w:color w:val="auto"/>
        </w:rPr>
      </w:pPr>
    </w:p>
    <w:p>
      <w:pPr>
        <w:ind w:left="2980"/>
        <w:spacing w:after="0"/>
        <w:rPr>
          <w:sz w:val="20"/>
          <w:szCs w:val="20"/>
          <w:color w:val="auto"/>
        </w:rPr>
      </w:pPr>
      <w:r>
        <w:rPr>
          <w:rFonts w:ascii="Arial" w:cs="Arial" w:eastAsia="Arial" w:hAnsi="Arial"/>
          <w:sz w:val="22"/>
          <w:szCs w:val="22"/>
          <w:b w:val="1"/>
          <w:bCs w:val="1"/>
          <w:color w:val="auto"/>
        </w:rPr>
        <w:t>FORM S-3</w:t>
      </w:r>
    </w:p>
    <w:p>
      <w:pPr>
        <w:spacing w:after="0" w:line="107" w:lineRule="exact"/>
        <w:rPr>
          <w:sz w:val="24"/>
          <w:szCs w:val="24"/>
          <w:color w:val="auto"/>
        </w:rPr>
      </w:pPr>
    </w:p>
    <w:p>
      <w:pPr>
        <w:ind w:left="1960"/>
        <w:spacing w:after="0"/>
        <w:rPr>
          <w:sz w:val="20"/>
          <w:szCs w:val="20"/>
          <w:color w:val="auto"/>
        </w:rPr>
      </w:pPr>
      <w:r>
        <w:rPr>
          <w:rFonts w:ascii="Arial" w:cs="Arial" w:eastAsia="Arial" w:hAnsi="Arial"/>
          <w:sz w:val="22"/>
          <w:szCs w:val="22"/>
          <w:b w:val="1"/>
          <w:bCs w:val="1"/>
          <w:color w:val="auto"/>
        </w:rPr>
        <w:t>REGISTRATION STATEMENT</w:t>
      </w:r>
    </w:p>
    <w:p>
      <w:pPr>
        <w:spacing w:after="0" w:line="36" w:lineRule="exact"/>
        <w:rPr>
          <w:sz w:val="24"/>
          <w:szCs w:val="24"/>
          <w:color w:val="auto"/>
        </w:rPr>
      </w:pPr>
    </w:p>
    <w:p>
      <w:pPr>
        <w:jc w:val="center"/>
        <w:ind w:right="2579"/>
        <w:spacing w:after="0"/>
        <w:rPr>
          <w:sz w:val="20"/>
          <w:szCs w:val="20"/>
          <w:color w:val="auto"/>
        </w:rPr>
      </w:pPr>
      <w:r>
        <w:rPr>
          <w:rFonts w:ascii="Arial" w:cs="Arial" w:eastAsia="Arial" w:hAnsi="Arial"/>
          <w:sz w:val="22"/>
          <w:szCs w:val="22"/>
          <w:b w:val="1"/>
          <w:bCs w:val="1"/>
          <w:color w:val="auto"/>
        </w:rPr>
        <w:t>UNDER THE SECURITIES ACT OF 1933</w:t>
      </w:r>
    </w:p>
    <w:p>
      <w:pPr>
        <w:spacing w:after="0" w:line="95" w:lineRule="exact"/>
        <w:rPr>
          <w:sz w:val="24"/>
          <w:szCs w:val="24"/>
          <w:color w:val="auto"/>
        </w:rPr>
      </w:pPr>
    </w:p>
    <w:p>
      <w:pPr>
        <w:jc w:val="center"/>
        <w:ind w:right="2579"/>
        <w:spacing w:after="0"/>
        <w:rPr>
          <w:sz w:val="20"/>
          <w:szCs w:val="20"/>
          <w:color w:val="auto"/>
        </w:rPr>
      </w:pPr>
      <w:r>
        <w:rPr>
          <w:rFonts w:ascii="Arial" w:cs="Arial" w:eastAsia="Arial" w:hAnsi="Arial"/>
          <w:sz w:val="22"/>
          <w:szCs w:val="22"/>
          <w:b w:val="1"/>
          <w:bCs w:val="1"/>
          <w:color w:val="auto"/>
        </w:rPr>
        <w:t>BRIGHTHOUSE LIFE INSURANCE COMPANY</w:t>
      </w:r>
    </w:p>
    <w:p>
      <w:pPr>
        <w:spacing w:after="0" w:line="29" w:lineRule="exact"/>
        <w:rPr>
          <w:sz w:val="24"/>
          <w:szCs w:val="24"/>
          <w:color w:val="auto"/>
        </w:rPr>
      </w:pPr>
    </w:p>
    <w:p>
      <w:pPr>
        <w:ind w:left="1940"/>
        <w:spacing w:after="0"/>
        <w:rPr>
          <w:sz w:val="20"/>
          <w:szCs w:val="20"/>
          <w:color w:val="auto"/>
        </w:rPr>
      </w:pPr>
      <w:r>
        <w:rPr>
          <w:rFonts w:ascii="Arial" w:cs="Arial" w:eastAsia="Arial" w:hAnsi="Arial"/>
          <w:sz w:val="14"/>
          <w:szCs w:val="14"/>
          <w:color w:val="auto"/>
        </w:rPr>
        <w:t>(Exact name of registrant as specified in its charter)</w:t>
      </w:r>
    </w:p>
    <w:p>
      <w:pPr>
        <w:spacing w:after="0" w:line="72" w:lineRule="exact"/>
        <w:rPr>
          <w:sz w:val="24"/>
          <w:szCs w:val="24"/>
          <w:color w:val="auto"/>
        </w:rPr>
      </w:pPr>
    </w:p>
    <w:p>
      <w:pPr>
        <w:ind w:left="3200"/>
        <w:spacing w:after="0"/>
        <w:rPr>
          <w:sz w:val="20"/>
          <w:szCs w:val="20"/>
          <w:color w:val="auto"/>
        </w:rPr>
      </w:pPr>
      <w:r>
        <w:rPr>
          <w:rFonts w:ascii="Arial" w:cs="Arial" w:eastAsia="Arial" w:hAnsi="Arial"/>
          <w:sz w:val="14"/>
          <w:szCs w:val="14"/>
          <w:b w:val="1"/>
          <w:bCs w:val="1"/>
          <w:color w:val="auto"/>
        </w:rPr>
        <w:t>Delaware</w:t>
      </w:r>
    </w:p>
    <w:p>
      <w:pPr>
        <w:spacing w:after="0" w:line="18" w:lineRule="exact"/>
        <w:rPr>
          <w:sz w:val="24"/>
          <w:szCs w:val="24"/>
          <w:color w:val="auto"/>
        </w:rPr>
      </w:pPr>
    </w:p>
    <w:p>
      <w:pPr>
        <w:ind w:left="1720"/>
        <w:spacing w:after="0"/>
        <w:rPr>
          <w:sz w:val="20"/>
          <w:szCs w:val="20"/>
          <w:color w:val="auto"/>
        </w:rPr>
      </w:pPr>
      <w:r>
        <w:rPr>
          <w:rFonts w:ascii="Arial" w:cs="Arial" w:eastAsia="Arial" w:hAnsi="Arial"/>
          <w:sz w:val="14"/>
          <w:szCs w:val="14"/>
          <w:color w:val="auto"/>
        </w:rPr>
        <w:t>(State or other jurisdiction of incorporation or organization)</w:t>
      </w:r>
    </w:p>
    <w:p>
      <w:pPr>
        <w:spacing w:after="0" w:line="72" w:lineRule="exact"/>
        <w:rPr>
          <w:sz w:val="24"/>
          <w:szCs w:val="24"/>
          <w:color w:val="auto"/>
        </w:rPr>
      </w:pPr>
    </w:p>
    <w:p>
      <w:pPr>
        <w:ind w:left="3120"/>
        <w:spacing w:after="0"/>
        <w:rPr>
          <w:sz w:val="20"/>
          <w:szCs w:val="20"/>
          <w:color w:val="auto"/>
        </w:rPr>
      </w:pPr>
      <w:r>
        <w:rPr>
          <w:rFonts w:ascii="Arial" w:cs="Arial" w:eastAsia="Arial" w:hAnsi="Arial"/>
          <w:sz w:val="14"/>
          <w:szCs w:val="14"/>
          <w:b w:val="1"/>
          <w:bCs w:val="1"/>
          <w:color w:val="auto"/>
        </w:rPr>
        <w:t>06-0566090</w:t>
      </w:r>
    </w:p>
    <w:p>
      <w:pPr>
        <w:spacing w:after="0" w:line="18" w:lineRule="exact"/>
        <w:rPr>
          <w:sz w:val="24"/>
          <w:szCs w:val="24"/>
          <w:color w:val="auto"/>
        </w:rPr>
      </w:pPr>
    </w:p>
    <w:p>
      <w:pPr>
        <w:ind w:left="2300"/>
        <w:spacing w:after="0"/>
        <w:rPr>
          <w:sz w:val="20"/>
          <w:szCs w:val="20"/>
          <w:color w:val="auto"/>
        </w:rPr>
      </w:pPr>
      <w:r>
        <w:rPr>
          <w:rFonts w:ascii="Arial" w:cs="Arial" w:eastAsia="Arial" w:hAnsi="Arial"/>
          <w:sz w:val="14"/>
          <w:szCs w:val="14"/>
          <w:color w:val="auto"/>
        </w:rPr>
        <w:t>(I.R.S. Employer Identification Number)</w:t>
      </w:r>
    </w:p>
    <w:p>
      <w:pPr>
        <w:spacing w:after="0" w:line="79" w:lineRule="exact"/>
        <w:rPr>
          <w:sz w:val="24"/>
          <w:szCs w:val="24"/>
          <w:color w:val="auto"/>
        </w:rPr>
      </w:pPr>
    </w:p>
    <w:p>
      <w:pPr>
        <w:ind w:left="1580"/>
        <w:spacing w:after="0"/>
        <w:rPr>
          <w:sz w:val="20"/>
          <w:szCs w:val="20"/>
          <w:color w:val="auto"/>
        </w:rPr>
      </w:pPr>
      <w:r>
        <w:rPr>
          <w:rFonts w:ascii="Arial" w:cs="Arial" w:eastAsia="Arial" w:hAnsi="Arial"/>
          <w:sz w:val="14"/>
          <w:szCs w:val="14"/>
          <w:b w:val="1"/>
          <w:bCs w:val="1"/>
          <w:color w:val="auto"/>
        </w:rPr>
        <w:t>11225 North Community House Road, Charlotte, NC 28277</w:t>
      </w:r>
    </w:p>
    <w:p>
      <w:pPr>
        <w:ind w:left="3020"/>
        <w:spacing w:after="0"/>
        <w:rPr>
          <w:sz w:val="20"/>
          <w:szCs w:val="20"/>
          <w:color w:val="auto"/>
        </w:rPr>
      </w:pPr>
      <w:r>
        <w:rPr>
          <w:rFonts w:ascii="Arial" w:cs="Arial" w:eastAsia="Arial" w:hAnsi="Arial"/>
          <w:sz w:val="14"/>
          <w:szCs w:val="14"/>
          <w:b w:val="1"/>
          <w:bCs w:val="1"/>
          <w:color w:val="auto"/>
        </w:rPr>
        <w:t>(980) 365-7100</w:t>
      </w:r>
    </w:p>
    <w:p>
      <w:pPr>
        <w:ind w:left="1240"/>
        <w:spacing w:after="0" w:line="204" w:lineRule="auto"/>
        <w:rPr>
          <w:sz w:val="20"/>
          <w:szCs w:val="20"/>
          <w:color w:val="auto"/>
        </w:rPr>
      </w:pPr>
      <w:r>
        <w:rPr>
          <w:rFonts w:ascii="Arial" w:cs="Arial" w:eastAsia="Arial" w:hAnsi="Arial"/>
          <w:sz w:val="14"/>
          <w:szCs w:val="14"/>
          <w:color w:val="auto"/>
        </w:rPr>
        <w:t>(Address, including zip code, and telephone number, including area code,</w:t>
      </w:r>
    </w:p>
    <w:p>
      <w:pPr>
        <w:ind w:left="2260"/>
        <w:spacing w:after="0"/>
        <w:rPr>
          <w:sz w:val="20"/>
          <w:szCs w:val="20"/>
          <w:color w:val="auto"/>
        </w:rPr>
      </w:pPr>
      <w:r>
        <w:rPr>
          <w:rFonts w:ascii="Arial" w:cs="Arial" w:eastAsia="Arial" w:hAnsi="Arial"/>
          <w:sz w:val="14"/>
          <w:szCs w:val="14"/>
          <w:color w:val="auto"/>
        </w:rPr>
        <w:t>of registrant’s principal executive offices)</w:t>
      </w:r>
    </w:p>
    <w:p>
      <w:pPr>
        <w:spacing w:after="0" w:line="89" w:lineRule="exact"/>
        <w:rPr>
          <w:sz w:val="24"/>
          <w:szCs w:val="24"/>
          <w:color w:val="auto"/>
        </w:rPr>
      </w:pPr>
    </w:p>
    <w:p>
      <w:pPr>
        <w:ind w:left="2260"/>
        <w:spacing w:after="0"/>
        <w:rPr>
          <w:sz w:val="20"/>
          <w:szCs w:val="20"/>
          <w:color w:val="auto"/>
        </w:rPr>
      </w:pPr>
      <w:r>
        <w:rPr>
          <w:rFonts w:ascii="Arial" w:cs="Arial" w:eastAsia="Arial" w:hAnsi="Arial"/>
          <w:sz w:val="14"/>
          <w:szCs w:val="14"/>
          <w:b w:val="1"/>
          <w:bCs w:val="1"/>
          <w:color w:val="auto"/>
        </w:rPr>
        <w:t>Brighthouse Life Insurance Company</w:t>
      </w:r>
    </w:p>
    <w:p>
      <w:pPr>
        <w:jc w:val="center"/>
        <w:ind w:right="2619"/>
        <w:spacing w:after="0" w:line="214" w:lineRule="auto"/>
        <w:rPr>
          <w:sz w:val="20"/>
          <w:szCs w:val="20"/>
          <w:color w:val="auto"/>
        </w:rPr>
      </w:pPr>
      <w:r>
        <w:rPr>
          <w:rFonts w:ascii="Arial" w:cs="Arial" w:eastAsia="Arial" w:hAnsi="Arial"/>
          <w:sz w:val="14"/>
          <w:szCs w:val="14"/>
          <w:b w:val="1"/>
          <w:bCs w:val="1"/>
          <w:color w:val="auto"/>
        </w:rPr>
        <w:t>c/o The Corporation Trust Company</w:t>
      </w:r>
    </w:p>
    <w:p>
      <w:pPr>
        <w:jc w:val="center"/>
        <w:ind w:right="2619"/>
        <w:spacing w:after="0" w:line="230" w:lineRule="auto"/>
        <w:rPr>
          <w:sz w:val="20"/>
          <w:szCs w:val="20"/>
          <w:color w:val="auto"/>
        </w:rPr>
      </w:pPr>
      <w:r>
        <w:rPr>
          <w:rFonts w:ascii="Arial" w:cs="Arial" w:eastAsia="Arial" w:hAnsi="Arial"/>
          <w:sz w:val="14"/>
          <w:szCs w:val="14"/>
          <w:b w:val="1"/>
          <w:bCs w:val="1"/>
          <w:color w:val="auto"/>
        </w:rPr>
        <w:t>1209 Orange Street</w:t>
      </w:r>
    </w:p>
    <w:p>
      <w:pPr>
        <w:ind w:left="2660"/>
        <w:spacing w:after="0" w:line="215" w:lineRule="auto"/>
        <w:rPr>
          <w:sz w:val="20"/>
          <w:szCs w:val="20"/>
          <w:color w:val="auto"/>
        </w:rPr>
      </w:pPr>
      <w:r>
        <w:rPr>
          <w:rFonts w:ascii="Arial" w:cs="Arial" w:eastAsia="Arial" w:hAnsi="Arial"/>
          <w:sz w:val="14"/>
          <w:szCs w:val="14"/>
          <w:b w:val="1"/>
          <w:bCs w:val="1"/>
          <w:color w:val="auto"/>
        </w:rPr>
        <w:t>Corporation Trust Center</w:t>
      </w:r>
    </w:p>
    <w:p>
      <w:pPr>
        <w:ind w:left="2760"/>
        <w:spacing w:after="0" w:line="199" w:lineRule="auto"/>
        <w:rPr>
          <w:sz w:val="20"/>
          <w:szCs w:val="20"/>
          <w:color w:val="auto"/>
        </w:rPr>
      </w:pPr>
      <w:r>
        <w:rPr>
          <w:rFonts w:ascii="Arial" w:cs="Arial" w:eastAsia="Arial" w:hAnsi="Arial"/>
          <w:sz w:val="14"/>
          <w:szCs w:val="14"/>
          <w:b w:val="1"/>
          <w:bCs w:val="1"/>
          <w:color w:val="auto"/>
        </w:rPr>
        <w:t>Wilmington, DE 19801</w:t>
      </w:r>
    </w:p>
    <w:p>
      <w:pPr>
        <w:jc w:val="center"/>
        <w:ind w:right="2579"/>
        <w:spacing w:after="0"/>
        <w:rPr>
          <w:sz w:val="20"/>
          <w:szCs w:val="20"/>
          <w:color w:val="auto"/>
        </w:rPr>
      </w:pPr>
      <w:r>
        <w:rPr>
          <w:rFonts w:ascii="Arial" w:cs="Arial" w:eastAsia="Arial" w:hAnsi="Arial"/>
          <w:sz w:val="14"/>
          <w:szCs w:val="14"/>
          <w:b w:val="1"/>
          <w:bCs w:val="1"/>
          <w:color w:val="auto"/>
        </w:rPr>
        <w:t>(302) 658-7581</w:t>
      </w:r>
    </w:p>
    <w:p>
      <w:pPr>
        <w:jc w:val="center"/>
        <w:ind w:right="2619"/>
        <w:spacing w:after="0" w:line="220" w:lineRule="auto"/>
        <w:rPr>
          <w:sz w:val="20"/>
          <w:szCs w:val="20"/>
          <w:color w:val="auto"/>
        </w:rPr>
      </w:pPr>
      <w:r>
        <w:rPr>
          <w:rFonts w:ascii="Arial" w:cs="Arial" w:eastAsia="Arial" w:hAnsi="Arial"/>
          <w:sz w:val="14"/>
          <w:szCs w:val="14"/>
          <w:color w:val="auto"/>
        </w:rPr>
        <w:t>(Name, address, including zip code, and telephone number,</w:t>
      </w:r>
    </w:p>
    <w:p>
      <w:pPr>
        <w:jc w:val="center"/>
        <w:ind w:right="2579"/>
        <w:spacing w:after="0"/>
        <w:rPr>
          <w:sz w:val="20"/>
          <w:szCs w:val="20"/>
          <w:color w:val="auto"/>
        </w:rPr>
      </w:pPr>
      <w:r>
        <w:rPr>
          <w:rFonts w:ascii="Arial" w:cs="Arial" w:eastAsia="Arial" w:hAnsi="Arial"/>
          <w:sz w:val="14"/>
          <w:szCs w:val="14"/>
          <w:color w:val="auto"/>
        </w:rPr>
        <w:t>including area code, of agent for service)</w:t>
      </w:r>
    </w:p>
    <w:p>
      <w:pPr>
        <w:spacing w:after="0" w:line="84" w:lineRule="exact"/>
        <w:rPr>
          <w:sz w:val="24"/>
          <w:szCs w:val="24"/>
          <w:color w:val="auto"/>
        </w:rPr>
      </w:pPr>
    </w:p>
    <w:p>
      <w:pPr>
        <w:ind w:left="3180"/>
        <w:spacing w:after="0"/>
        <w:rPr>
          <w:sz w:val="20"/>
          <w:szCs w:val="20"/>
          <w:color w:val="auto"/>
        </w:rPr>
      </w:pPr>
      <w:r>
        <w:rPr>
          <w:rFonts w:ascii="Arial" w:cs="Arial" w:eastAsia="Arial" w:hAnsi="Arial"/>
          <w:sz w:val="14"/>
          <w:szCs w:val="14"/>
          <w:i w:val="1"/>
          <w:iCs w:val="1"/>
          <w:color w:val="auto"/>
        </w:rPr>
        <w:t>Copies to:</w:t>
      </w:r>
    </w:p>
    <w:p>
      <w:pPr>
        <w:jc w:val="center"/>
        <w:ind w:right="2619"/>
        <w:spacing w:after="0" w:line="237" w:lineRule="auto"/>
        <w:rPr>
          <w:sz w:val="20"/>
          <w:szCs w:val="20"/>
          <w:color w:val="auto"/>
        </w:rPr>
      </w:pPr>
      <w:r>
        <w:rPr>
          <w:rFonts w:ascii="Arial" w:cs="Arial" w:eastAsia="Arial" w:hAnsi="Arial"/>
          <w:sz w:val="14"/>
          <w:szCs w:val="14"/>
          <w:color w:val="auto"/>
        </w:rPr>
        <w:t>Dodie C. Kent</w:t>
      </w:r>
    </w:p>
    <w:p>
      <w:pPr>
        <w:jc w:val="center"/>
        <w:ind w:right="2619"/>
        <w:spacing w:after="0" w:line="230" w:lineRule="auto"/>
        <w:rPr>
          <w:sz w:val="20"/>
          <w:szCs w:val="20"/>
          <w:color w:val="auto"/>
        </w:rPr>
      </w:pPr>
      <w:r>
        <w:rPr>
          <w:rFonts w:ascii="Arial" w:cs="Arial" w:eastAsia="Arial" w:hAnsi="Arial"/>
          <w:sz w:val="14"/>
          <w:szCs w:val="14"/>
          <w:color w:val="auto"/>
        </w:rPr>
        <w:t>Eversheds Sutherland (US) LLP</w:t>
      </w:r>
    </w:p>
    <w:p>
      <w:pPr>
        <w:ind w:left="2540"/>
        <w:spacing w:after="0" w:line="215" w:lineRule="auto"/>
        <w:rPr>
          <w:sz w:val="20"/>
          <w:szCs w:val="20"/>
          <w:color w:val="auto"/>
        </w:rPr>
      </w:pPr>
      <w:r>
        <w:rPr>
          <w:rFonts w:ascii="Arial" w:cs="Arial" w:eastAsia="Arial" w:hAnsi="Arial"/>
          <w:sz w:val="14"/>
          <w:szCs w:val="14"/>
          <w:color w:val="auto"/>
        </w:rPr>
        <w:t>The Grace Building, 40th Floor</w:t>
      </w:r>
    </w:p>
    <w:p>
      <w:pPr>
        <w:ind w:left="2580"/>
        <w:spacing w:after="0" w:line="199" w:lineRule="auto"/>
        <w:rPr>
          <w:sz w:val="20"/>
          <w:szCs w:val="20"/>
          <w:color w:val="auto"/>
        </w:rPr>
      </w:pPr>
      <w:r>
        <w:rPr>
          <w:rFonts w:ascii="Arial" w:cs="Arial" w:eastAsia="Arial" w:hAnsi="Arial"/>
          <w:sz w:val="14"/>
          <w:szCs w:val="14"/>
          <w:color w:val="auto"/>
        </w:rPr>
        <w:t>1114 Avenue of the Americas</w:t>
      </w:r>
    </w:p>
    <w:p>
      <w:pPr>
        <w:spacing w:after="0" w:line="1" w:lineRule="exact"/>
        <w:rPr>
          <w:sz w:val="24"/>
          <w:szCs w:val="24"/>
          <w:color w:val="auto"/>
        </w:rPr>
      </w:pPr>
    </w:p>
    <w:p>
      <w:pPr>
        <w:ind w:left="2680"/>
        <w:spacing w:after="0"/>
        <w:rPr>
          <w:sz w:val="20"/>
          <w:szCs w:val="20"/>
          <w:color w:val="auto"/>
        </w:rPr>
      </w:pPr>
      <w:r>
        <w:rPr>
          <w:rFonts w:ascii="Arial" w:cs="Arial" w:eastAsia="Arial" w:hAnsi="Arial"/>
          <w:sz w:val="14"/>
          <w:szCs w:val="14"/>
          <w:color w:val="auto"/>
        </w:rPr>
        <w:t>New York, NY 10036-7703</w:t>
      </w:r>
    </w:p>
    <w:p>
      <w:pPr>
        <w:spacing w:after="0" w:line="64" w:lineRule="exact"/>
        <w:rPr>
          <w:sz w:val="24"/>
          <w:szCs w:val="24"/>
          <w:color w:val="auto"/>
        </w:rPr>
      </w:pPr>
    </w:p>
    <w:p>
      <w:pPr>
        <w:ind w:right="3259"/>
        <w:spacing w:after="0" w:line="273" w:lineRule="auto"/>
        <w:rPr>
          <w:sz w:val="20"/>
          <w:szCs w:val="20"/>
          <w:color w:val="auto"/>
        </w:rPr>
      </w:pPr>
      <w:r>
        <w:rPr>
          <w:rFonts w:ascii="Arial" w:cs="Arial" w:eastAsia="Arial" w:hAnsi="Arial"/>
          <w:sz w:val="14"/>
          <w:szCs w:val="14"/>
          <w:color w:val="auto"/>
        </w:rPr>
        <w:t>Approximate date of commencement of proposed sale to the public: As soon as practicable following the effectiveness of the registration statement.</w:t>
      </w:r>
    </w:p>
    <w:p>
      <w:pPr>
        <w:spacing w:after="0" w:line="55" w:lineRule="exact"/>
        <w:rPr>
          <w:sz w:val="24"/>
          <w:szCs w:val="24"/>
          <w:color w:val="auto"/>
        </w:rPr>
      </w:pPr>
    </w:p>
    <w:p>
      <w:pPr>
        <w:ind w:right="2739"/>
        <w:spacing w:after="0" w:line="182" w:lineRule="exact"/>
        <w:rPr>
          <w:sz w:val="20"/>
          <w:szCs w:val="20"/>
          <w:color w:val="auto"/>
        </w:rPr>
      </w:pPr>
      <w:r>
        <w:rPr>
          <w:rFonts w:ascii="Arial" w:cs="Arial" w:eastAsia="Arial" w:hAnsi="Arial"/>
          <w:sz w:val="14"/>
          <w:szCs w:val="14"/>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4"/>
          <w:szCs w:val="14"/>
          <w:color w:val="auto"/>
        </w:rPr>
        <w:t>☐</w:t>
      </w:r>
    </w:p>
    <w:p>
      <w:pPr>
        <w:spacing w:after="0" w:line="59" w:lineRule="exact"/>
        <w:rPr>
          <w:sz w:val="24"/>
          <w:szCs w:val="24"/>
          <w:color w:val="auto"/>
        </w:rPr>
      </w:pPr>
    </w:p>
    <w:p>
      <w:pPr>
        <w:ind w:right="2619"/>
        <w:spacing w:after="0" w:line="176"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other than offered only in connection with dividend or interest reinvestment plans, check the following box: </w:t>
      </w:r>
      <w:r>
        <w:rPr>
          <w:rFonts w:ascii="MS PGothic" w:cs="MS PGothic" w:eastAsia="MS PGothic" w:hAnsi="MS PGothic"/>
          <w:sz w:val="14"/>
          <w:szCs w:val="14"/>
          <w:color w:val="auto"/>
        </w:rPr>
        <w:t>☒</w:t>
      </w:r>
    </w:p>
    <w:p>
      <w:pPr>
        <w:spacing w:after="0" w:line="61" w:lineRule="exact"/>
        <w:rPr>
          <w:sz w:val="24"/>
          <w:szCs w:val="24"/>
          <w:color w:val="auto"/>
        </w:rPr>
      </w:pPr>
    </w:p>
    <w:p>
      <w:pPr>
        <w:ind w:right="2679"/>
        <w:spacing w:after="0" w:line="176"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61" w:lineRule="exact"/>
        <w:rPr>
          <w:sz w:val="24"/>
          <w:szCs w:val="24"/>
          <w:color w:val="auto"/>
        </w:rPr>
      </w:pPr>
    </w:p>
    <w:p>
      <w:pPr>
        <w:ind w:right="2659"/>
        <w:spacing w:after="0" w:line="176"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51" w:lineRule="exact"/>
        <w:rPr>
          <w:sz w:val="24"/>
          <w:szCs w:val="24"/>
          <w:color w:val="auto"/>
        </w:rPr>
      </w:pPr>
    </w:p>
    <w:p>
      <w:pPr>
        <w:ind w:right="2579"/>
        <w:spacing w:after="0" w:line="176" w:lineRule="exact"/>
        <w:rPr>
          <w:sz w:val="20"/>
          <w:szCs w:val="20"/>
          <w:color w:val="auto"/>
        </w:rPr>
      </w:pPr>
      <w:r>
        <w:rPr>
          <w:rFonts w:ascii="Arial" w:cs="Arial" w:eastAsia="Arial" w:hAnsi="Arial"/>
          <w:sz w:val="14"/>
          <w:szCs w:val="14"/>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4"/>
          <w:szCs w:val="14"/>
          <w:color w:val="auto"/>
        </w:rPr>
        <w:t>☐</w:t>
      </w:r>
    </w:p>
    <w:p>
      <w:pPr>
        <w:sectPr>
          <w:pgSz w:w="11900" w:h="16838" w:orient="portrait"/>
          <w:cols w:equalWidth="0" w:num="1">
            <w:col w:w="9579"/>
          </w:cols>
          <w:pgMar w:left="880" w:top="711" w:right="1440" w:bottom="1440" w:gutter="0" w:footer="0" w:header="0"/>
        </w:sectPr>
      </w:pPr>
    </w:p>
    <w:bookmarkStart w:id="1" w:name="page2"/>
    <w:bookmarkEnd w:id="1"/>
    <w:p>
      <w:pPr>
        <w:jc w:val="both"/>
        <w:ind w:right="2659"/>
        <w:spacing w:after="0" w:line="176" w:lineRule="exact"/>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179070</wp:posOffset>
            </wp:positionH>
            <wp:positionV relativeFrom="page">
              <wp:posOffset>121920</wp:posOffset>
            </wp:positionV>
            <wp:extent cx="719010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90105" cy="38735"/>
                    </a:xfrm>
                    <a:prstGeom prst="rect">
                      <a:avLst/>
                    </a:prstGeom>
                    <a:noFill/>
                  </pic:spPr>
                </pic:pic>
              </a:graphicData>
            </a:graphic>
          </wp:anchor>
        </w:drawing>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4"/>
          <w:szCs w:val="14"/>
          <w:color w:val="auto"/>
        </w:rPr>
        <w:t>☐</w:t>
      </w:r>
    </w:p>
    <w:p>
      <w:pPr>
        <w:spacing w:after="0" w:line="51" w:lineRule="exact"/>
        <w:rPr>
          <w:sz w:val="20"/>
          <w:szCs w:val="20"/>
          <w:color w:val="auto"/>
        </w:rPr>
      </w:pPr>
    </w:p>
    <w:p>
      <w:pPr>
        <w:ind w:right="2719"/>
        <w:spacing w:after="0" w:line="254"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8" w:lineRule="exact"/>
        <w:rPr>
          <w:sz w:val="20"/>
          <w:szCs w:val="20"/>
          <w:color w:val="auto"/>
        </w:rPr>
      </w:pPr>
    </w:p>
    <w:tbl>
      <w:tblPr>
        <w:tblLayout w:type="fixed"/>
        <w:tblInd w:w="1620" w:type="dxa"/>
        <w:tblCellMar>
          <w:top w:w="0" w:type="dxa"/>
          <w:left w:w="0" w:type="dxa"/>
          <w:bottom w:w="0" w:type="dxa"/>
          <w:right w:w="0" w:type="dxa"/>
        </w:tblCellMar>
      </w:tblPr>
      <w:tr>
        <w:trPr>
          <w:trHeight w:val="229"/>
        </w:trPr>
        <w:tc>
          <w:tcPr>
            <w:tcW w:w="1780" w:type="dxa"/>
            <w:vAlign w:val="bottom"/>
          </w:tcPr>
          <w:p>
            <w:pPr>
              <w:ind w:left="40"/>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tc>
        <w:tc>
          <w:tcPr>
            <w:tcW w:w="2080" w:type="dxa"/>
            <w:vAlign w:val="bottom"/>
          </w:tcPr>
          <w:p>
            <w:pPr>
              <w:ind w:left="220"/>
              <w:spacing w:after="0" w:line="161" w:lineRule="exact"/>
              <w:rPr>
                <w:sz w:val="20"/>
                <w:szCs w:val="20"/>
                <w:color w:val="auto"/>
              </w:rPr>
            </w:pP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p>
        </w:tc>
      </w:tr>
      <w:tr>
        <w:trPr>
          <w:trHeight w:val="20"/>
        </w:trPr>
        <w:tc>
          <w:tcPr>
            <w:tcW w:w="17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247"/>
        </w:trPr>
        <w:tc>
          <w:tcPr>
            <w:tcW w:w="1780" w:type="dxa"/>
            <w:vAlign w:val="bottom"/>
            <w:shd w:val="clear" w:color="auto" w:fill="F0FFFF"/>
          </w:tcPr>
          <w:p>
            <w:pPr>
              <w:ind w:left="40"/>
              <w:spacing w:after="0" w:line="161" w:lineRule="exact"/>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p>
        </w:tc>
        <w:tc>
          <w:tcPr>
            <w:tcW w:w="2080" w:type="dxa"/>
            <w:vAlign w:val="bottom"/>
            <w:shd w:val="clear" w:color="auto" w:fill="F0FFFF"/>
          </w:tcPr>
          <w:p>
            <w:pPr>
              <w:ind w:left="220"/>
              <w:spacing w:after="0" w:line="161" w:lineRule="exact"/>
              <w:rPr>
                <w:sz w:val="20"/>
                <w:szCs w:val="20"/>
                <w:color w:val="auto"/>
              </w:rPr>
            </w:pPr>
            <w:r>
              <w:rPr>
                <w:rFonts w:ascii="Arial" w:cs="Arial" w:eastAsia="Arial" w:hAnsi="Arial"/>
                <w:sz w:val="14"/>
                <w:szCs w:val="14"/>
                <w:color w:val="auto"/>
                <w:w w:val="99"/>
              </w:rPr>
              <w:t xml:space="preserve">Smaller reporting company </w:t>
            </w:r>
            <w:r>
              <w:rPr>
                <w:rFonts w:ascii="MS PGothic" w:cs="MS PGothic" w:eastAsia="MS PGothic" w:hAnsi="MS PGothic"/>
                <w:sz w:val="14"/>
                <w:szCs w:val="14"/>
                <w:color w:val="auto"/>
                <w:w w:val="99"/>
              </w:rPr>
              <w:t>☐</w:t>
            </w:r>
          </w:p>
        </w:tc>
      </w:tr>
      <w:tr>
        <w:trPr>
          <w:trHeight w:val="229"/>
        </w:trPr>
        <w:tc>
          <w:tcPr>
            <w:tcW w:w="1780" w:type="dxa"/>
            <w:vAlign w:val="bottom"/>
          </w:tcPr>
          <w:p>
            <w:pPr>
              <w:spacing w:after="0"/>
              <w:rPr>
                <w:sz w:val="19"/>
                <w:szCs w:val="19"/>
                <w:color w:val="auto"/>
              </w:rPr>
            </w:pPr>
          </w:p>
        </w:tc>
        <w:tc>
          <w:tcPr>
            <w:tcW w:w="2080" w:type="dxa"/>
            <w:vAlign w:val="bottom"/>
          </w:tcPr>
          <w:p>
            <w:pPr>
              <w:ind w:left="220"/>
              <w:spacing w:after="0" w:line="161" w:lineRule="exact"/>
              <w:rPr>
                <w:sz w:val="20"/>
                <w:szCs w:val="20"/>
                <w:color w:val="auto"/>
              </w:rPr>
            </w:pPr>
            <w:r>
              <w:rPr>
                <w:rFonts w:ascii="Arial" w:cs="Arial" w:eastAsia="Arial" w:hAnsi="Arial"/>
                <w:sz w:val="14"/>
                <w:szCs w:val="14"/>
                <w:color w:val="auto"/>
                <w:w w:val="99"/>
              </w:rPr>
              <w:t xml:space="preserve">Emerging growth company </w:t>
            </w:r>
            <w:r>
              <w:rPr>
                <w:rFonts w:ascii="MS PGothic" w:cs="MS PGothic" w:eastAsia="MS PGothic" w:hAnsi="MS PGothic"/>
                <w:sz w:val="14"/>
                <w:szCs w:val="14"/>
                <w:color w:val="auto"/>
                <w:w w:val="99"/>
              </w:rPr>
              <w:t>☐</w:t>
            </w:r>
          </w:p>
        </w:tc>
      </w:tr>
    </w:tbl>
    <w:p>
      <w:pPr>
        <w:spacing w:after="0" w:line="67" w:lineRule="exact"/>
        <w:rPr>
          <w:sz w:val="20"/>
          <w:szCs w:val="20"/>
          <w:color w:val="auto"/>
        </w:rPr>
      </w:pPr>
    </w:p>
    <w:p>
      <w:pPr>
        <w:ind w:right="2619"/>
        <w:spacing w:after="0" w:line="17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51" w:lineRule="exact"/>
        <w:rPr>
          <w:sz w:val="20"/>
          <w:szCs w:val="20"/>
          <w:color w:val="auto"/>
        </w:rPr>
      </w:pPr>
    </w:p>
    <w:p>
      <w:pPr>
        <w:ind w:right="2639"/>
        <w:spacing w:after="0" w:line="252" w:lineRule="auto"/>
        <w:rPr>
          <w:sz w:val="20"/>
          <w:szCs w:val="20"/>
          <w:color w:val="auto"/>
        </w:rPr>
      </w:pPr>
      <w:r>
        <w:rPr>
          <w:rFonts w:ascii="Arial" w:cs="Arial" w:eastAsia="Arial" w:hAnsi="Arial"/>
          <w:sz w:val="14"/>
          <w:szCs w:val="14"/>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6985</wp:posOffset>
            </wp:positionV>
            <wp:extent cx="4479925" cy="774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479925" cy="77470"/>
                    </a:xfrm>
                    <a:prstGeom prst="rect">
                      <a:avLst/>
                    </a:prstGeom>
                    <a:noFill/>
                  </pic:spPr>
                </pic:pic>
              </a:graphicData>
            </a:graphic>
          </wp:anchor>
        </w:drawing>
      </w:r>
    </w:p>
    <w:p>
      <w:pPr>
        <w:sectPr>
          <w:pgSz w:w="11900" w:h="16838" w:orient="portrait"/>
          <w:cols w:equalWidth="0" w:num="1">
            <w:col w:w="9579"/>
          </w:cols>
          <w:pgMar w:left="880" w:top="723" w:right="1440" w:bottom="1440"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179070</wp:posOffset>
            </wp:positionH>
            <wp:positionV relativeFrom="page">
              <wp:posOffset>121920</wp:posOffset>
            </wp:positionV>
            <wp:extent cx="719010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jc w:val="both"/>
        <w:ind w:left="5" w:right="2939"/>
        <w:spacing w:after="0" w:line="254" w:lineRule="auto"/>
        <w:rPr>
          <w:sz w:val="20"/>
          <w:szCs w:val="20"/>
          <w:color w:val="auto"/>
        </w:rPr>
      </w:pPr>
      <w:r>
        <w:rPr>
          <w:rFonts w:ascii="Times New Roman" w:cs="Times New Roman" w:eastAsia="Times New Roman" w:hAnsi="Times New Roman"/>
          <w:sz w:val="14"/>
          <w:szCs w:val="14"/>
          <w:b w:val="1"/>
          <w:bCs w:val="1"/>
          <w:color w:val="FF0000"/>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200" w:lineRule="exact"/>
        <w:rPr>
          <w:sz w:val="20"/>
          <w:szCs w:val="20"/>
          <w:color w:val="auto"/>
        </w:rPr>
      </w:pPr>
    </w:p>
    <w:p>
      <w:pPr>
        <w:spacing w:after="0" w:line="250" w:lineRule="exact"/>
        <w:rPr>
          <w:sz w:val="20"/>
          <w:szCs w:val="20"/>
          <w:color w:val="auto"/>
        </w:rPr>
      </w:pPr>
    </w:p>
    <w:p>
      <w:pPr>
        <w:ind w:left="825"/>
        <w:spacing w:after="0"/>
        <w:rPr>
          <w:sz w:val="20"/>
          <w:szCs w:val="20"/>
          <w:color w:val="auto"/>
        </w:rPr>
      </w:pPr>
      <w:r>
        <w:rPr>
          <w:rFonts w:ascii="Times New Roman" w:cs="Times New Roman" w:eastAsia="Times New Roman" w:hAnsi="Times New Roman"/>
          <w:sz w:val="25"/>
          <w:szCs w:val="25"/>
          <w:b w:val="1"/>
          <w:bCs w:val="1"/>
          <w:color w:val="auto"/>
        </w:rPr>
        <w:t>BRIGHTHOUSE SMARTGUARD PLUS</w:t>
      </w:r>
      <w:r>
        <w:rPr>
          <w:rFonts w:ascii="Times New Roman" w:cs="Times New Roman" w:eastAsia="Times New Roman" w:hAnsi="Times New Roman"/>
          <w:sz w:val="31"/>
          <w:szCs w:val="31"/>
          <w:b w:val="1"/>
          <w:bCs w:val="1"/>
          <w:color w:val="auto"/>
          <w:vertAlign w:val="superscript"/>
        </w:rPr>
        <w:t>SM</w:t>
      </w:r>
    </w:p>
    <w:p>
      <w:pPr>
        <w:spacing w:after="0" w:line="147" w:lineRule="exact"/>
        <w:rPr>
          <w:sz w:val="20"/>
          <w:szCs w:val="20"/>
          <w:color w:val="auto"/>
        </w:rPr>
      </w:pPr>
    </w:p>
    <w:p>
      <w:pPr>
        <w:jc w:val="both"/>
        <w:ind w:left="5" w:right="2939" w:firstLine="274"/>
        <w:spacing w:after="0" w:line="275" w:lineRule="auto"/>
        <w:rPr>
          <w:sz w:val="20"/>
          <w:szCs w:val="20"/>
          <w:color w:val="auto"/>
        </w:rPr>
      </w:pPr>
      <w:r>
        <w:rPr>
          <w:rFonts w:ascii="Times New Roman" w:cs="Times New Roman" w:eastAsia="Times New Roman" w:hAnsi="Times New Roman"/>
          <w:sz w:val="13"/>
          <w:szCs w:val="13"/>
          <w:color w:val="auto"/>
        </w:rPr>
        <w:t>Brighthouse SmartGuard Plus</w:t>
      </w:r>
      <w:r>
        <w:rPr>
          <w:rFonts w:ascii="Times New Roman" w:cs="Times New Roman" w:eastAsia="Times New Roman" w:hAnsi="Times New Roman"/>
          <w:sz w:val="16"/>
          <w:szCs w:val="16"/>
          <w:color w:val="auto"/>
          <w:vertAlign w:val="superscript"/>
        </w:rPr>
        <w:t>SM</w:t>
      </w:r>
      <w:r>
        <w:rPr>
          <w:rFonts w:ascii="Times New Roman" w:cs="Times New Roman" w:eastAsia="Times New Roman" w:hAnsi="Times New Roman"/>
          <w:sz w:val="13"/>
          <w:szCs w:val="13"/>
          <w:color w:val="auto"/>
        </w:rPr>
        <w:t xml:space="preserve"> is a flexible premium adjustable life insurance policy (the “Policy”) issued by Brighthouse Life Insurance Company (“BLIC”, “we”, “our” or “us”) that provides life insurance protection.</w:t>
      </w:r>
    </w:p>
    <w:p>
      <w:pPr>
        <w:spacing w:after="0" w:line="137" w:lineRule="exact"/>
        <w:rPr>
          <w:sz w:val="20"/>
          <w:szCs w:val="20"/>
          <w:color w:val="auto"/>
        </w:rPr>
      </w:pPr>
    </w:p>
    <w:p>
      <w:pPr>
        <w:ind w:left="265"/>
        <w:spacing w:after="0"/>
        <w:rPr>
          <w:sz w:val="20"/>
          <w:szCs w:val="20"/>
          <w:color w:val="auto"/>
        </w:rPr>
      </w:pPr>
      <w:r>
        <w:rPr>
          <w:rFonts w:ascii="Times New Roman" w:cs="Times New Roman" w:eastAsia="Times New Roman" w:hAnsi="Times New Roman"/>
          <w:sz w:val="14"/>
          <w:szCs w:val="14"/>
          <w:color w:val="auto"/>
        </w:rPr>
        <w:t>BLIC is located at 11225 North Community House Road, Charlotte, NC 28277. The telephone number is</w:t>
      </w:r>
    </w:p>
    <w:p>
      <w:pPr>
        <w:spacing w:after="0" w:line="15" w:lineRule="exact"/>
        <w:rPr>
          <w:sz w:val="20"/>
          <w:szCs w:val="20"/>
          <w:color w:val="auto"/>
        </w:rPr>
      </w:pPr>
    </w:p>
    <w:p>
      <w:pPr>
        <w:ind w:left="5" w:right="2939" w:hanging="5"/>
        <w:spacing w:after="0" w:line="250" w:lineRule="auto"/>
        <w:tabs>
          <w:tab w:leader="none" w:pos="336"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882-1292. Brighthouse Securities, LLC, 11225 North Community House Road, Charlotte, NC 28277, is the principal underwriter and distributor of the Policies.</w:t>
      </w:r>
    </w:p>
    <w:p>
      <w:pPr>
        <w:spacing w:after="0" w:line="153" w:lineRule="exact"/>
        <w:rPr>
          <w:sz w:val="20"/>
          <w:szCs w:val="20"/>
          <w:color w:val="auto"/>
        </w:rPr>
      </w:pPr>
    </w:p>
    <w:p>
      <w:pPr>
        <w:jc w:val="both"/>
        <w:ind w:left="5" w:right="2939" w:firstLine="274"/>
        <w:spacing w:after="0" w:line="248" w:lineRule="auto"/>
        <w:rPr>
          <w:sz w:val="20"/>
          <w:szCs w:val="20"/>
          <w:color w:val="auto"/>
        </w:rPr>
      </w:pPr>
      <w:r>
        <w:rPr>
          <w:rFonts w:ascii="Times New Roman" w:cs="Times New Roman" w:eastAsia="Times New Roman" w:hAnsi="Times New Roman"/>
          <w:sz w:val="14"/>
          <w:szCs w:val="14"/>
          <w:b w:val="1"/>
          <w:bCs w:val="1"/>
          <w:color w:val="auto"/>
        </w:rPr>
        <w:t>The Risk Factors for this Policy appear on Page 18. Please read the prospectus carefully before investing and keep it for future reference. This prospectus includes important information, including a description of all material features, rights, and obligations of the Policy. BLIC’s obligations under the Policy are subject to our financial strength and claims-paying ability. Index-linked Policies are complex insurance and investment vehicles. Before you invest, be sure to ask your financial representative about the Policy’s features, benefits, risks, and charges, and whether the Policy is appropriate for you based upon your financial situation and objectives. The availability of investment options, Policy benefits, or other Policy features described in this prospectus may vary depending on the state</w:t>
      </w:r>
    </w:p>
    <w:p>
      <w:pPr>
        <w:spacing w:after="0" w:line="1" w:lineRule="exact"/>
        <w:rPr>
          <w:sz w:val="20"/>
          <w:szCs w:val="20"/>
          <w:color w:val="auto"/>
        </w:rPr>
      </w:pPr>
    </w:p>
    <w:p>
      <w:pPr>
        <w:jc w:val="both"/>
        <w:ind w:left="5" w:right="2939"/>
        <w:spacing w:after="0" w:line="247" w:lineRule="auto"/>
        <w:rPr>
          <w:sz w:val="20"/>
          <w:szCs w:val="20"/>
          <w:color w:val="auto"/>
        </w:rPr>
      </w:pPr>
      <w:r>
        <w:rPr>
          <w:rFonts w:ascii="Times New Roman" w:cs="Times New Roman" w:eastAsia="Times New Roman" w:hAnsi="Times New Roman"/>
          <w:sz w:val="14"/>
          <w:szCs w:val="14"/>
          <w:b w:val="1"/>
          <w:bCs w:val="1"/>
          <w:color w:val="auto"/>
        </w:rPr>
        <w:t xml:space="preserve">through which your Policy is issued. </w:t>
      </w:r>
      <w:r>
        <w:rPr>
          <w:rFonts w:ascii="Times New Roman" w:cs="Times New Roman" w:eastAsia="Times New Roman" w:hAnsi="Times New Roman"/>
          <w:sz w:val="14"/>
          <w:szCs w:val="14"/>
          <w:color w:val="auto"/>
        </w:rPr>
        <w:t>Also, you should note that your Policy features and charges may vary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depending on the date on which you purchased your Policy. For more information about the particular features, charges, and options applicable to you, please contact your financial representative or refer to Appendix F to this prospectus or your Policy for Policy variation information.</w:t>
      </w:r>
    </w:p>
    <w:p>
      <w:pPr>
        <w:spacing w:after="0" w:line="149" w:lineRule="exact"/>
        <w:rPr>
          <w:sz w:val="20"/>
          <w:szCs w:val="20"/>
          <w:color w:val="auto"/>
        </w:rPr>
      </w:pPr>
    </w:p>
    <w:p>
      <w:pPr>
        <w:jc w:val="both"/>
        <w:ind w:left="5" w:right="2939" w:firstLine="274"/>
        <w:spacing w:after="0" w:line="247" w:lineRule="auto"/>
        <w:rPr>
          <w:sz w:val="20"/>
          <w:szCs w:val="20"/>
          <w:color w:val="auto"/>
        </w:rPr>
      </w:pPr>
      <w:r>
        <w:rPr>
          <w:rFonts w:ascii="Times New Roman" w:cs="Times New Roman" w:eastAsia="Times New Roman" w:hAnsi="Times New Roman"/>
          <w:sz w:val="14"/>
          <w:szCs w:val="14"/>
          <w:color w:val="auto"/>
        </w:rPr>
        <w:t>The Policy provides Owners the opportunity to participate in index-linked (through Indexed Accounts) and fixed interest investment returns. We are not obligated to offer any one particular Indexed Account, but after your Policy is issued, there will always be one Indexed Account available with a minimum of 5% downside protection. If we were to offer only one Indexed Account, you would be limited to investing in that one Indexed Account. If that Indexed Account does not meet your investment objectives or financial goals, you could transfer to the Fixed Account (subject to applicable conditions described in the “TRANSFERS” section, including the requirement to remain invested in the Fixed Account until the next Policy Anniversary), Surrender your Policy and/or invest in another investment vehicle. If you Surrender your Policy, you might incur Surrender charges, taxes, tax penalties or other adjustments. If you invest in another investment vehicle, that investment may have different features, fees and risks than your Policy.</w:t>
      </w:r>
    </w:p>
    <w:p>
      <w:pPr>
        <w:spacing w:after="0" w:line="153" w:lineRule="exact"/>
        <w:rPr>
          <w:sz w:val="20"/>
          <w:szCs w:val="20"/>
          <w:color w:val="auto"/>
        </w:rPr>
      </w:pPr>
    </w:p>
    <w:p>
      <w:pPr>
        <w:jc w:val="both"/>
        <w:ind w:left="5" w:right="2939" w:firstLine="274"/>
        <w:spacing w:after="0" w:line="270" w:lineRule="auto"/>
        <w:rPr>
          <w:sz w:val="20"/>
          <w:szCs w:val="20"/>
          <w:color w:val="auto"/>
        </w:rPr>
      </w:pPr>
      <w:r>
        <w:rPr>
          <w:rFonts w:ascii="Times New Roman" w:cs="Times New Roman" w:eastAsia="Times New Roman" w:hAnsi="Times New Roman"/>
          <w:sz w:val="13"/>
          <w:szCs w:val="13"/>
          <w:color w:val="auto"/>
        </w:rPr>
        <w:t xml:space="preserve">Each Indexed Account has a Segment Term of one year in length, a Buffer Rate (10%, 15%, 20% or 100%) and a Cap Rate. For each Indexed Account, you select the Buffer Rate and the Index you want your investment performance to be based on. </w:t>
      </w:r>
      <w:r>
        <w:rPr>
          <w:rFonts w:ascii="Times New Roman" w:cs="Times New Roman" w:eastAsia="Times New Roman" w:hAnsi="Times New Roman"/>
          <w:sz w:val="13"/>
          <w:szCs w:val="13"/>
          <w:b w:val="1"/>
          <w:bCs w:val="1"/>
          <w:color w:val="auto"/>
        </w:rPr>
        <w:t>We limit the amount you can earn on an Indexed Account through the Cap</w:t>
      </w:r>
    </w:p>
    <w:p>
      <w:pPr>
        <w:spacing w:after="0" w:line="1" w:lineRule="exact"/>
        <w:rPr>
          <w:sz w:val="20"/>
          <w:szCs w:val="20"/>
          <w:color w:val="auto"/>
        </w:rPr>
      </w:pPr>
    </w:p>
    <w:p>
      <w:pPr>
        <w:jc w:val="both"/>
        <w:ind w:left="5" w:right="2939"/>
        <w:spacing w:after="0" w:line="250" w:lineRule="auto"/>
        <w:rPr>
          <w:sz w:val="20"/>
          <w:szCs w:val="20"/>
          <w:color w:val="auto"/>
        </w:rPr>
      </w:pPr>
      <w:r>
        <w:rPr>
          <w:rFonts w:ascii="Times New Roman" w:cs="Times New Roman" w:eastAsia="Times New Roman" w:hAnsi="Times New Roman"/>
          <w:sz w:val="14"/>
          <w:szCs w:val="14"/>
          <w:b w:val="1"/>
          <w:bCs w:val="1"/>
          <w:color w:val="auto"/>
        </w:rPr>
        <w:t>Rate. The Cap Rates will not be less than the Guaranteed Minimum Cap Rate stated in your Policy, which will not be less than 3%.</w:t>
      </w:r>
    </w:p>
    <w:p>
      <w:pPr>
        <w:spacing w:after="0" w:line="147" w:lineRule="exact"/>
        <w:rPr>
          <w:sz w:val="20"/>
          <w:szCs w:val="20"/>
          <w:color w:val="auto"/>
        </w:rPr>
      </w:pPr>
    </w:p>
    <w:p>
      <w:pPr>
        <w:jc w:val="both"/>
        <w:ind w:left="5" w:right="2939" w:firstLine="274"/>
        <w:spacing w:after="0" w:line="248" w:lineRule="auto"/>
        <w:rPr>
          <w:sz w:val="20"/>
          <w:szCs w:val="20"/>
          <w:color w:val="auto"/>
        </w:rPr>
      </w:pPr>
      <w:r>
        <w:rPr>
          <w:rFonts w:ascii="Times New Roman" w:cs="Times New Roman" w:eastAsia="Times New Roman" w:hAnsi="Times New Roman"/>
          <w:sz w:val="14"/>
          <w:szCs w:val="14"/>
          <w:color w:val="auto"/>
        </w:rPr>
        <w:t>The Policy also offers the option to receive Distribution Payments through the Guaranteed Distribution Rider (“GDR”), which is automatically included in the Policy at an additional cost. Each Distribution Payment cannot exceed a specified amount and a minimum amount of premium must be paid to avoid terminating the GDR. Distribution Payments are treated as loans and reduce the Cash Value and the death benefit amount. Such reductions could potentially deplete the Policy’s Cash Value and significantly reduce the death benefit. The GDR includes a Lifetime Lapse Prevention Benefit, and, if necessary, we will increase your Cash Value in order for the Distribution Payments to continue. In addition, the GDR guarantees a minimum death benefit amount ($10,000) upon the Insured’s death.</w:t>
      </w:r>
    </w:p>
    <w:p>
      <w:pPr>
        <w:spacing w:after="0" w:line="150" w:lineRule="exact"/>
        <w:rPr>
          <w:sz w:val="20"/>
          <w:szCs w:val="20"/>
          <w:color w:val="auto"/>
        </w:rPr>
      </w:pPr>
    </w:p>
    <w:p>
      <w:pPr>
        <w:jc w:val="both"/>
        <w:ind w:left="5" w:right="2939" w:firstLine="274"/>
        <w:spacing w:after="0" w:line="248" w:lineRule="auto"/>
        <w:rPr>
          <w:sz w:val="20"/>
          <w:szCs w:val="20"/>
          <w:color w:val="auto"/>
        </w:rPr>
      </w:pPr>
      <w:r>
        <w:rPr>
          <w:rFonts w:ascii="Times New Roman" w:cs="Times New Roman" w:eastAsia="Times New Roman" w:hAnsi="Times New Roman"/>
          <w:sz w:val="14"/>
          <w:szCs w:val="14"/>
          <w:color w:val="auto"/>
        </w:rPr>
        <w:t>The Policy is a complex investment and involves risks, including potential loss of principal. The Policy is not a short-term investment and is not appropriate for an investor who needs ready access to cash. There are risks associated with investing in Indexed Accounts. You may lose money, up to all or a significant amount of any Net Premium allocations, as well as earnings from prior Indexed Account allocations. You should not buy this Policy if you are not willing to assume these investment risks. Surrenders and loans, if taken from the Indexed Accounts before the end of a Segment Term, will be based on an Interim Segment Value calculation. In extreme circumstances, you could lose all or a significant portion of the value of an Indexed Account if you Surrender or take a loan from the Indexed Account before the Segment Maturity Date. Partial withdrawals are not permitted under the Policy.</w:t>
      </w:r>
    </w:p>
    <w:p>
      <w:pPr>
        <w:sectPr>
          <w:pgSz w:w="11900" w:h="16838" w:orient="portrait"/>
          <w:cols w:equalWidth="0" w:num="1">
            <w:col w:w="9224"/>
          </w:cols>
          <w:pgMar w:left="1235" w:top="616" w:right="1440" w:bottom="1440" w:gutter="0" w:footer="0" w:header="0"/>
        </w:sectPr>
      </w:pPr>
    </w:p>
    <w:bookmarkStart w:id="4" w:name="page5"/>
    <w:bookmarkEnd w:id="4"/>
    <w:p>
      <w:pPr>
        <w:jc w:val="both"/>
        <w:ind w:right="2939" w:firstLine="274"/>
        <w:spacing w:after="0" w:line="249"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121920</wp:posOffset>
            </wp:positionV>
            <wp:extent cx="719010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90105" cy="38735"/>
                    </a:xfrm>
                    <a:prstGeom prst="rect">
                      <a:avLst/>
                    </a:prstGeom>
                    <a:noFill/>
                  </pic:spPr>
                </pic:pic>
              </a:graphicData>
            </a:graphic>
          </wp:anchor>
        </w:drawing>
        <w:t>If you are a new investor in the Policy, you may cancel your Policy within 10 days of receiving it without paying fees or penalties. In some states, this cancellation period may be longer. If you cancel the Policy, depending on state law, we refund either: (a) premiums paid, less any loan amount; or (b) the Policy’s Cash Value as of the date we receive the returned Policy, plus any charges we deducted, less the outstanding loan amounts plus accrued interest. You should review this prospectus or consult with your financial professional, for additional information about the specific cancellation terms that apply.</w:t>
      </w:r>
    </w:p>
    <w:p>
      <w:pPr>
        <w:spacing w:after="0" w:line="146" w:lineRule="exact"/>
        <w:rPr>
          <w:sz w:val="20"/>
          <w:szCs w:val="20"/>
          <w:color w:val="auto"/>
        </w:rPr>
      </w:pPr>
    </w:p>
    <w:p>
      <w:pPr>
        <w:jc w:val="both"/>
        <w:ind w:right="2939" w:firstLine="274"/>
        <w:spacing w:after="0" w:line="252" w:lineRule="auto"/>
        <w:rPr>
          <w:sz w:val="20"/>
          <w:szCs w:val="20"/>
          <w:color w:val="auto"/>
        </w:rPr>
      </w:pPr>
      <w:r>
        <w:rPr>
          <w:rFonts w:ascii="Times New Roman" w:cs="Times New Roman" w:eastAsia="Times New Roman" w:hAnsi="Times New Roman"/>
          <w:sz w:val="14"/>
          <w:szCs w:val="14"/>
          <w:b w:val="1"/>
          <w:bCs w:val="1"/>
          <w:color w:val="auto"/>
        </w:rPr>
        <w:t>Neither the Securities and Exchange Commission (the “SEC”) nor any state securities commission has approved or disapproved these securities or the adequacy of this prospectus. Any representation to the contrary is a criminal offense. Insurance products, including this one, are not deposits of any bank and are not insured or guaranteed by the Federal Deposit Insurance Corporation (the “FDIC”) or any other government agency. You may lose money invested in the Policy.</w:t>
      </w:r>
    </w:p>
    <w:p>
      <w:pPr>
        <w:spacing w:after="0" w:line="142" w:lineRule="exact"/>
        <w:rPr>
          <w:sz w:val="20"/>
          <w:szCs w:val="20"/>
          <w:color w:val="auto"/>
        </w:rPr>
      </w:pPr>
    </w:p>
    <w:p>
      <w:pPr>
        <w:jc w:val="both"/>
        <w:ind w:right="2939" w:firstLine="274"/>
        <w:spacing w:after="0" w:line="254" w:lineRule="auto"/>
        <w:rPr>
          <w:sz w:val="20"/>
          <w:szCs w:val="20"/>
          <w:color w:val="auto"/>
        </w:rPr>
      </w:pPr>
      <w:r>
        <w:rPr>
          <w:rFonts w:ascii="Times New Roman" w:cs="Times New Roman" w:eastAsia="Times New Roman" w:hAnsi="Times New Roman"/>
          <w:sz w:val="14"/>
          <w:szCs w:val="14"/>
          <w:b w:val="1"/>
          <w:bCs w:val="1"/>
          <w:color w:val="auto"/>
        </w:rPr>
        <w:t>The Policies may be distributed through broker-dealers that have relationships with banks or other financial institutions or by employees of such banks. However, the Policies are not deposits or obligations of, or guaranteed by such institutions or any Federal regulatory agency. Investment in the Policy involves investment risks, including possible loss of principal.</w:t>
      </w:r>
    </w:p>
    <w:p>
      <w:pPr>
        <w:spacing w:after="0" w:line="141" w:lineRule="exact"/>
        <w:rPr>
          <w:sz w:val="20"/>
          <w:szCs w:val="20"/>
          <w:color w:val="auto"/>
        </w:rPr>
      </w:pPr>
    </w:p>
    <w:p>
      <w:pPr>
        <w:jc w:val="both"/>
        <w:ind w:right="2939" w:firstLine="274"/>
        <w:spacing w:after="0" w:line="273" w:lineRule="auto"/>
        <w:rPr>
          <w:sz w:val="20"/>
          <w:szCs w:val="20"/>
          <w:color w:val="auto"/>
        </w:rPr>
      </w:pPr>
      <w:r>
        <w:rPr>
          <w:rFonts w:ascii="Times New Roman" w:cs="Times New Roman" w:eastAsia="Times New Roman" w:hAnsi="Times New Roman"/>
          <w:sz w:val="14"/>
          <w:szCs w:val="14"/>
          <w:b w:val="1"/>
          <w:bCs w:val="1"/>
          <w:color w:val="auto"/>
        </w:rPr>
        <w:t>The principal underwriter of the Policy is Brighthouse Securities, LLC. The offering of the Policy is intended to be continuous.</w:t>
      </w:r>
    </w:p>
    <w:p>
      <w:pPr>
        <w:spacing w:after="0" w:line="131"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4"/>
          <w:szCs w:val="14"/>
          <w:color w:val="auto"/>
        </w:rPr>
        <w:t>Prospectus dated [_______________]</w:t>
      </w:r>
    </w:p>
    <w:p>
      <w:pPr>
        <w:sectPr>
          <w:pgSz w:w="11900" w:h="16838" w:orient="portrait"/>
          <w:cols w:equalWidth="0" w:num="1">
            <w:col w:w="9219"/>
          </w:cols>
          <w:pgMar w:left="1240" w:top="600" w:right="14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60" w:type="dxa"/>
            <w:vAlign w:val="bottom"/>
            <w:gridSpan w:val="12"/>
          </w:tcPr>
          <w:p>
            <w:pPr>
              <w:jc w:val="center"/>
              <w:ind w:right="1580"/>
              <w:spacing w:after="0"/>
              <w:rPr>
                <w:sz w:val="20"/>
                <w:szCs w:val="20"/>
                <w:color w:val="auto"/>
              </w:rPr>
            </w:pPr>
            <w:r>
              <w:rPr>
                <w:rFonts w:ascii="Times New Roman" w:cs="Times New Roman" w:eastAsia="Times New Roman" w:hAnsi="Times New Roman"/>
                <w:sz w:val="14"/>
                <w:szCs w:val="14"/>
                <w:b w:val="1"/>
                <w:bCs w:val="1"/>
                <w:color w:val="auto"/>
                <w:w w:val="98"/>
              </w:rPr>
              <w:t>TABLE OF CONTENTS</w:t>
            </w: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5440" w:type="dxa"/>
            <w:vAlign w:val="bottom"/>
            <w:gridSpan w:val="44"/>
          </w:tcPr>
          <w:p>
            <w:pPr>
              <w:spacing w:after="0"/>
              <w:rPr>
                <w:sz w:val="20"/>
                <w:szCs w:val="20"/>
                <w:color w:val="auto"/>
              </w:rPr>
            </w:pPr>
            <w:r>
              <w:rPr>
                <w:rFonts w:ascii="Times New Roman" w:cs="Times New Roman" w:eastAsia="Times New Roman" w:hAnsi="Times New Roman"/>
                <w:sz w:val="14"/>
                <w:szCs w:val="14"/>
                <w:color w:val="0000EE"/>
              </w:rPr>
              <w:t>SPECIAL TERMS</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24"/>
        </w:trPr>
        <w:tc>
          <w:tcPr>
            <w:tcW w:w="20" w:type="dxa"/>
            <w:vAlign w:val="bottom"/>
            <w:tcBorders>
              <w:top w:val="single" w:sz="8" w:color="0000EE"/>
            </w:tcBorders>
          </w:tcPr>
          <w:p>
            <w:pPr>
              <w:spacing w:after="0"/>
              <w:rPr>
                <w:sz w:val="10"/>
                <w:szCs w:val="10"/>
                <w:color w:val="auto"/>
              </w:rPr>
            </w:pPr>
          </w:p>
        </w:tc>
        <w:tc>
          <w:tcPr>
            <w:tcW w:w="1020" w:type="dxa"/>
            <w:vAlign w:val="bottom"/>
            <w:tcBorders>
              <w:top w:val="single" w:sz="8" w:color="0000EE"/>
            </w:tcBorders>
            <w:gridSpan w:val="14"/>
            <w:shd w:val="clear" w:color="auto" w:fill="F0FFFF"/>
          </w:tcPr>
          <w:p>
            <w:pPr>
              <w:spacing w:after="0" w:line="124" w:lineRule="exact"/>
              <w:rPr>
                <w:sz w:val="20"/>
                <w:szCs w:val="20"/>
                <w:color w:val="auto"/>
              </w:rPr>
            </w:pPr>
            <w:r>
              <w:rPr>
                <w:rFonts w:ascii="Times New Roman" w:cs="Times New Roman" w:eastAsia="Times New Roman" w:hAnsi="Times New Roman"/>
                <w:sz w:val="14"/>
                <w:szCs w:val="14"/>
                <w:color w:val="0000EE"/>
              </w:rPr>
              <w:t>SUMMARY</w:t>
            </w:r>
          </w:p>
        </w:tc>
        <w:tc>
          <w:tcPr>
            <w:tcW w:w="4400" w:type="dxa"/>
            <w:vAlign w:val="bottom"/>
            <w:gridSpan w:val="29"/>
            <w:shd w:val="clear" w:color="auto" w:fill="F0FFFF"/>
          </w:tcPr>
          <w:p>
            <w:pPr>
              <w:spacing w:after="0"/>
              <w:rPr>
                <w:sz w:val="10"/>
                <w:szCs w:val="10"/>
                <w:color w:val="auto"/>
              </w:rPr>
            </w:pPr>
          </w:p>
        </w:tc>
        <w:tc>
          <w:tcPr>
            <w:tcW w:w="86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42"/>
        </w:trPr>
        <w:tc>
          <w:tcPr>
            <w:tcW w:w="20" w:type="dxa"/>
            <w:vAlign w:val="bottom"/>
            <w:tcBorders>
              <w:top w:val="single" w:sz="8" w:color="0000EE"/>
            </w:tcBorders>
          </w:tcPr>
          <w:p>
            <w:pPr>
              <w:spacing w:after="0"/>
              <w:rPr>
                <w:sz w:val="3"/>
                <w:szCs w:val="3"/>
                <w:color w:val="auto"/>
              </w:rPr>
            </w:pPr>
          </w:p>
        </w:tc>
        <w:tc>
          <w:tcPr>
            <w:tcW w:w="240" w:type="dxa"/>
            <w:vAlign w:val="bottom"/>
            <w:tcBorders>
              <w:top w:val="single" w:sz="8" w:color="0000EE"/>
              <w:bottom w:val="single" w:sz="8" w:color="F0FFFF"/>
            </w:tcBorders>
            <w:shd w:val="clear" w:color="auto" w:fill="F0FFFF"/>
          </w:tcPr>
          <w:p>
            <w:pPr>
              <w:spacing w:after="0"/>
              <w:rPr>
                <w:sz w:val="3"/>
                <w:szCs w:val="3"/>
                <w:color w:val="auto"/>
              </w:rPr>
            </w:pPr>
          </w:p>
        </w:tc>
        <w:tc>
          <w:tcPr>
            <w:tcW w:w="200" w:type="dxa"/>
            <w:vAlign w:val="bottom"/>
            <w:tcBorders>
              <w:top w:val="single" w:sz="8" w:color="0000EE"/>
              <w:bottom w:val="single" w:sz="8" w:color="F0FFFF"/>
            </w:tcBorders>
            <w:shd w:val="clear" w:color="auto" w:fill="F0FFFF"/>
          </w:tcPr>
          <w:p>
            <w:pPr>
              <w:spacing w:after="0"/>
              <w:rPr>
                <w:sz w:val="3"/>
                <w:szCs w:val="3"/>
                <w:color w:val="auto"/>
              </w:rPr>
            </w:pPr>
          </w:p>
        </w:tc>
        <w:tc>
          <w:tcPr>
            <w:tcW w:w="80" w:type="dxa"/>
            <w:vAlign w:val="bottom"/>
            <w:tcBorders>
              <w:top w:val="single" w:sz="8" w:color="0000EE"/>
              <w:bottom w:val="single" w:sz="8" w:color="F0FFFF"/>
            </w:tcBorders>
            <w:shd w:val="clear" w:color="auto" w:fill="F0FFFF"/>
          </w:tcPr>
          <w:p>
            <w:pPr>
              <w:spacing w:after="0"/>
              <w:rPr>
                <w:sz w:val="3"/>
                <w:szCs w:val="3"/>
                <w:color w:val="auto"/>
              </w:rPr>
            </w:pPr>
          </w:p>
        </w:tc>
        <w:tc>
          <w:tcPr>
            <w:tcW w:w="100" w:type="dxa"/>
            <w:vAlign w:val="bottom"/>
            <w:tcBorders>
              <w:top w:val="single" w:sz="8" w:color="0000EE"/>
              <w:bottom w:val="single" w:sz="8" w:color="F0FFFF"/>
            </w:tcBorders>
            <w:shd w:val="clear" w:color="auto" w:fill="F0FFFF"/>
          </w:tcPr>
          <w:p>
            <w:pPr>
              <w:spacing w:after="0"/>
              <w:rPr>
                <w:sz w:val="3"/>
                <w:szCs w:val="3"/>
                <w:color w:val="auto"/>
              </w:rPr>
            </w:pPr>
          </w:p>
        </w:tc>
        <w:tc>
          <w:tcPr>
            <w:tcW w:w="4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60" w:type="dxa"/>
            <w:vAlign w:val="bottom"/>
            <w:tcBorders>
              <w:top w:val="single" w:sz="8" w:color="F0FFFF"/>
              <w:bottom w:val="single" w:sz="8" w:color="F0FFFF"/>
            </w:tcBorders>
            <w:shd w:val="clear" w:color="auto" w:fill="F0FFFF"/>
          </w:tcPr>
          <w:p>
            <w:pPr>
              <w:spacing w:after="0"/>
              <w:rPr>
                <w:sz w:val="3"/>
                <w:szCs w:val="3"/>
                <w:color w:val="auto"/>
              </w:rPr>
            </w:pPr>
          </w:p>
        </w:tc>
        <w:tc>
          <w:tcPr>
            <w:tcW w:w="60" w:type="dxa"/>
            <w:vAlign w:val="bottom"/>
            <w:tcBorders>
              <w:top w:val="single" w:sz="8" w:color="F0FFFF"/>
              <w:bottom w:val="single" w:sz="8" w:color="F0FFFF"/>
            </w:tcBorders>
            <w:shd w:val="clear" w:color="auto" w:fill="F0FFFF"/>
          </w:tcPr>
          <w:p>
            <w:pPr>
              <w:spacing w:after="0"/>
              <w:rPr>
                <w:sz w:val="3"/>
                <w:szCs w:val="3"/>
                <w:color w:val="auto"/>
              </w:rPr>
            </w:pPr>
          </w:p>
        </w:tc>
        <w:tc>
          <w:tcPr>
            <w:tcW w:w="40" w:type="dxa"/>
            <w:vAlign w:val="bottom"/>
            <w:tcBorders>
              <w:top w:val="single" w:sz="8" w:color="F0FFFF"/>
              <w:bottom w:val="single" w:sz="8" w:color="F0FFFF"/>
            </w:tcBorders>
            <w:shd w:val="clear" w:color="auto" w:fill="F0FFFF"/>
          </w:tcPr>
          <w:p>
            <w:pPr>
              <w:spacing w:after="0"/>
              <w:rPr>
                <w:sz w:val="3"/>
                <w:szCs w:val="3"/>
                <w:color w:val="auto"/>
              </w:rPr>
            </w:pPr>
          </w:p>
        </w:tc>
        <w:tc>
          <w:tcPr>
            <w:tcW w:w="6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6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60" w:type="dxa"/>
            <w:vAlign w:val="bottom"/>
            <w:tcBorders>
              <w:top w:val="single" w:sz="8" w:color="F0FFFF"/>
              <w:bottom w:val="single" w:sz="8" w:color="F0FFFF"/>
            </w:tcBorders>
            <w:shd w:val="clear" w:color="auto" w:fill="F0FFFF"/>
          </w:tcPr>
          <w:p>
            <w:pPr>
              <w:spacing w:after="0"/>
              <w:rPr>
                <w:sz w:val="3"/>
                <w:szCs w:val="3"/>
                <w:color w:val="auto"/>
              </w:rPr>
            </w:pPr>
          </w:p>
        </w:tc>
        <w:tc>
          <w:tcPr>
            <w:tcW w:w="80" w:type="dxa"/>
            <w:vAlign w:val="bottom"/>
            <w:tcBorders>
              <w:top w:val="single" w:sz="8" w:color="F0FFFF"/>
              <w:bottom w:val="single" w:sz="8" w:color="F0FFFF"/>
            </w:tcBorders>
            <w:shd w:val="clear" w:color="auto" w:fill="F0FFFF"/>
          </w:tcPr>
          <w:p>
            <w:pPr>
              <w:spacing w:after="0"/>
              <w:rPr>
                <w:sz w:val="3"/>
                <w:szCs w:val="3"/>
                <w:color w:val="auto"/>
              </w:rPr>
            </w:pPr>
          </w:p>
        </w:tc>
        <w:tc>
          <w:tcPr>
            <w:tcW w:w="80" w:type="dxa"/>
            <w:vAlign w:val="bottom"/>
            <w:tcBorders>
              <w:top w:val="single" w:sz="8" w:color="F0FFFF"/>
              <w:bottom w:val="single" w:sz="8" w:color="F0FFFF"/>
            </w:tcBorders>
            <w:shd w:val="clear" w:color="auto" w:fill="F0FFFF"/>
          </w:tcPr>
          <w:p>
            <w:pPr>
              <w:spacing w:after="0"/>
              <w:rPr>
                <w:sz w:val="3"/>
                <w:szCs w:val="3"/>
                <w:color w:val="auto"/>
              </w:rPr>
            </w:pPr>
          </w:p>
        </w:tc>
        <w:tc>
          <w:tcPr>
            <w:tcW w:w="60" w:type="dxa"/>
            <w:vAlign w:val="bottom"/>
            <w:tcBorders>
              <w:top w:val="single" w:sz="8" w:color="F0FFFF"/>
              <w:bottom w:val="single" w:sz="8" w:color="F0FFFF"/>
            </w:tcBorders>
            <w:shd w:val="clear" w:color="auto" w:fill="F0FFFF"/>
          </w:tcPr>
          <w:p>
            <w:pPr>
              <w:spacing w:after="0"/>
              <w:rPr>
                <w:sz w:val="3"/>
                <w:szCs w:val="3"/>
                <w:color w:val="auto"/>
              </w:rPr>
            </w:pPr>
          </w:p>
        </w:tc>
        <w:tc>
          <w:tcPr>
            <w:tcW w:w="4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8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60" w:type="dxa"/>
            <w:vAlign w:val="bottom"/>
            <w:tcBorders>
              <w:top w:val="single" w:sz="8" w:color="F0FFFF"/>
              <w:bottom w:val="single" w:sz="8" w:color="F0FFFF"/>
            </w:tcBorders>
            <w:shd w:val="clear" w:color="auto" w:fill="F0FFFF"/>
          </w:tcPr>
          <w:p>
            <w:pPr>
              <w:spacing w:after="0"/>
              <w:rPr>
                <w:sz w:val="3"/>
                <w:szCs w:val="3"/>
                <w:color w:val="auto"/>
              </w:rPr>
            </w:pPr>
          </w:p>
        </w:tc>
        <w:tc>
          <w:tcPr>
            <w:tcW w:w="40" w:type="dxa"/>
            <w:vAlign w:val="bottom"/>
            <w:tcBorders>
              <w:top w:val="single" w:sz="8" w:color="F0FFFF"/>
              <w:bottom w:val="single" w:sz="8" w:color="F0FFFF"/>
            </w:tcBorders>
            <w:shd w:val="clear" w:color="auto" w:fill="F0FFFF"/>
          </w:tcPr>
          <w:p>
            <w:pPr>
              <w:spacing w:after="0"/>
              <w:rPr>
                <w:sz w:val="3"/>
                <w:szCs w:val="3"/>
                <w:color w:val="auto"/>
              </w:rPr>
            </w:pPr>
          </w:p>
        </w:tc>
        <w:tc>
          <w:tcPr>
            <w:tcW w:w="12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80" w:type="dxa"/>
            <w:vAlign w:val="bottom"/>
            <w:tcBorders>
              <w:top w:val="single" w:sz="8" w:color="F0FFFF"/>
              <w:bottom w:val="single" w:sz="8" w:color="F0FFFF"/>
            </w:tcBorders>
            <w:shd w:val="clear" w:color="auto" w:fill="F0FFFF"/>
          </w:tcPr>
          <w:p>
            <w:pPr>
              <w:spacing w:after="0"/>
              <w:rPr>
                <w:sz w:val="3"/>
                <w:szCs w:val="3"/>
                <w:color w:val="auto"/>
              </w:rPr>
            </w:pPr>
          </w:p>
        </w:tc>
        <w:tc>
          <w:tcPr>
            <w:tcW w:w="300" w:type="dxa"/>
            <w:vAlign w:val="bottom"/>
            <w:tcBorders>
              <w:top w:val="single" w:sz="8" w:color="F0FFFF"/>
              <w:bottom w:val="single" w:sz="8" w:color="F0FFFF"/>
            </w:tcBorders>
            <w:shd w:val="clear" w:color="auto" w:fill="F0FFFF"/>
          </w:tcPr>
          <w:p>
            <w:pPr>
              <w:spacing w:after="0"/>
              <w:rPr>
                <w:sz w:val="3"/>
                <w:szCs w:val="3"/>
                <w:color w:val="auto"/>
              </w:rPr>
            </w:pPr>
          </w:p>
        </w:tc>
        <w:tc>
          <w:tcPr>
            <w:tcW w:w="200" w:type="dxa"/>
            <w:vAlign w:val="bottom"/>
            <w:tcBorders>
              <w:top w:val="single" w:sz="8" w:color="F0FFFF"/>
              <w:bottom w:val="single" w:sz="8" w:color="F0FFFF"/>
            </w:tcBorders>
            <w:shd w:val="clear" w:color="auto" w:fill="F0FFFF"/>
          </w:tcPr>
          <w:p>
            <w:pPr>
              <w:spacing w:after="0"/>
              <w:rPr>
                <w:sz w:val="3"/>
                <w:szCs w:val="3"/>
                <w:color w:val="auto"/>
              </w:rPr>
            </w:pPr>
          </w:p>
        </w:tc>
        <w:tc>
          <w:tcPr>
            <w:tcW w:w="60" w:type="dxa"/>
            <w:vAlign w:val="bottom"/>
            <w:tcBorders>
              <w:top w:val="single" w:sz="8" w:color="F0FFFF"/>
              <w:bottom w:val="single" w:sz="8" w:color="F0FFFF"/>
            </w:tcBorders>
            <w:shd w:val="clear" w:color="auto" w:fill="F0FFFF"/>
          </w:tcPr>
          <w:p>
            <w:pPr>
              <w:spacing w:after="0"/>
              <w:rPr>
                <w:sz w:val="3"/>
                <w:szCs w:val="3"/>
                <w:color w:val="auto"/>
              </w:rPr>
            </w:pPr>
          </w:p>
        </w:tc>
        <w:tc>
          <w:tcPr>
            <w:tcW w:w="80" w:type="dxa"/>
            <w:vAlign w:val="bottom"/>
            <w:tcBorders>
              <w:top w:val="single" w:sz="8" w:color="F0FFFF"/>
              <w:bottom w:val="single" w:sz="8" w:color="F0FFFF"/>
            </w:tcBorders>
            <w:shd w:val="clear" w:color="auto" w:fill="F0FFFF"/>
          </w:tcPr>
          <w:p>
            <w:pPr>
              <w:spacing w:after="0"/>
              <w:rPr>
                <w:sz w:val="3"/>
                <w:szCs w:val="3"/>
                <w:color w:val="auto"/>
              </w:rPr>
            </w:pPr>
          </w:p>
        </w:tc>
        <w:tc>
          <w:tcPr>
            <w:tcW w:w="260" w:type="dxa"/>
            <w:vAlign w:val="bottom"/>
            <w:tcBorders>
              <w:top w:val="single" w:sz="8" w:color="F0FFFF"/>
              <w:bottom w:val="single" w:sz="8" w:color="F0FFFF"/>
            </w:tcBorders>
            <w:shd w:val="clear" w:color="auto" w:fill="F0FFFF"/>
          </w:tcPr>
          <w:p>
            <w:pPr>
              <w:spacing w:after="0"/>
              <w:rPr>
                <w:sz w:val="3"/>
                <w:szCs w:val="3"/>
                <w:color w:val="auto"/>
              </w:rPr>
            </w:pPr>
          </w:p>
        </w:tc>
        <w:tc>
          <w:tcPr>
            <w:tcW w:w="200" w:type="dxa"/>
            <w:vAlign w:val="bottom"/>
            <w:tcBorders>
              <w:top w:val="single" w:sz="8" w:color="F0FFFF"/>
              <w:bottom w:val="single" w:sz="8" w:color="F0FFFF"/>
            </w:tcBorders>
            <w:shd w:val="clear" w:color="auto" w:fill="F0FFFF"/>
          </w:tcPr>
          <w:p>
            <w:pPr>
              <w:spacing w:after="0"/>
              <w:rPr>
                <w:sz w:val="3"/>
                <w:szCs w:val="3"/>
                <w:color w:val="auto"/>
              </w:rPr>
            </w:pPr>
          </w:p>
        </w:tc>
        <w:tc>
          <w:tcPr>
            <w:tcW w:w="16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28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52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300" w:type="dxa"/>
            <w:vAlign w:val="bottom"/>
            <w:tcBorders>
              <w:top w:val="single" w:sz="8" w:color="F0FFFF"/>
              <w:bottom w:val="single" w:sz="8" w:color="F0FFFF"/>
            </w:tcBorders>
            <w:shd w:val="clear" w:color="auto" w:fill="F0FFFF"/>
          </w:tcPr>
          <w:p>
            <w:pPr>
              <w:spacing w:after="0"/>
              <w:rPr>
                <w:sz w:val="3"/>
                <w:szCs w:val="3"/>
                <w:color w:val="auto"/>
              </w:rPr>
            </w:pPr>
          </w:p>
        </w:tc>
        <w:tc>
          <w:tcPr>
            <w:tcW w:w="480" w:type="dxa"/>
            <w:vAlign w:val="bottom"/>
            <w:tcBorders>
              <w:top w:val="single" w:sz="8" w:color="F0FFFF"/>
              <w:bottom w:val="single" w:sz="8" w:color="F0FFFF"/>
            </w:tcBorders>
            <w:shd w:val="clear" w:color="auto" w:fill="F0FFFF"/>
          </w:tcPr>
          <w:p>
            <w:pPr>
              <w:spacing w:after="0"/>
              <w:rPr>
                <w:sz w:val="3"/>
                <w:szCs w:val="3"/>
                <w:color w:val="auto"/>
              </w:rPr>
            </w:pPr>
          </w:p>
        </w:tc>
        <w:tc>
          <w:tcPr>
            <w:tcW w:w="720" w:type="dxa"/>
            <w:vAlign w:val="bottom"/>
            <w:tcBorders>
              <w:top w:val="single" w:sz="8" w:color="F0FFFF"/>
              <w:bottom w:val="single" w:sz="8" w:color="F0FFFF"/>
            </w:tcBorders>
            <w:shd w:val="clear" w:color="auto" w:fill="F0FFFF"/>
          </w:tcPr>
          <w:p>
            <w:pPr>
              <w:spacing w:after="0"/>
              <w:rPr>
                <w:sz w:val="3"/>
                <w:szCs w:val="3"/>
                <w:color w:val="auto"/>
              </w:rPr>
            </w:pPr>
          </w:p>
        </w:tc>
        <w:tc>
          <w:tcPr>
            <w:tcW w:w="860" w:type="dxa"/>
            <w:vAlign w:val="bottom"/>
            <w:tcBorders>
              <w:top w:val="single" w:sz="8" w:color="F0FFFF"/>
              <w:bottom w:val="single" w:sz="8" w:color="F0FFFF"/>
            </w:tcBorders>
            <w:vMerge w:val="continue"/>
            <w:shd w:val="clear" w:color="auto" w:fill="F0FFFF"/>
          </w:tcPr>
          <w:p>
            <w:pPr>
              <w:spacing w:after="0"/>
              <w:rPr>
                <w:sz w:val="3"/>
                <w:szCs w:val="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180" w:type="dxa"/>
            <w:vAlign w:val="bottom"/>
            <w:gridSpan w:val="42"/>
          </w:tcPr>
          <w:p>
            <w:pPr>
              <w:spacing w:after="0" w:line="104" w:lineRule="exact"/>
              <w:rPr>
                <w:sz w:val="20"/>
                <w:szCs w:val="20"/>
                <w:color w:val="auto"/>
              </w:rPr>
            </w:pPr>
            <w:r>
              <w:rPr>
                <w:rFonts w:ascii="Times New Roman" w:cs="Times New Roman" w:eastAsia="Times New Roman" w:hAnsi="Times New Roman"/>
                <w:sz w:val="11"/>
                <w:szCs w:val="11"/>
                <w:color w:val="0000EE"/>
              </w:rPr>
              <w:t>Key Features of the Policy</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420" w:type="dxa"/>
            <w:vAlign w:val="bottom"/>
            <w:gridSpan w:val="43"/>
            <w:shd w:val="clear" w:color="auto" w:fill="F0FFFF"/>
          </w:tcPr>
          <w:p>
            <w:pPr>
              <w:spacing w:after="0" w:line="124" w:lineRule="exact"/>
              <w:rPr>
                <w:sz w:val="20"/>
                <w:szCs w:val="20"/>
                <w:color w:val="auto"/>
              </w:rPr>
            </w:pPr>
            <w:r>
              <w:rPr>
                <w:rFonts w:ascii="Times New Roman" w:cs="Times New Roman" w:eastAsia="Times New Roman" w:hAnsi="Times New Roman"/>
                <w:sz w:val="14"/>
                <w:szCs w:val="14"/>
                <w:color w:val="0000EE"/>
              </w:rPr>
              <w:t>FEE TABLES</w:t>
            </w:r>
          </w:p>
        </w:tc>
        <w:tc>
          <w:tcPr>
            <w:tcW w:w="86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42"/>
        </w:trPr>
        <w:tc>
          <w:tcPr>
            <w:tcW w:w="20" w:type="dxa"/>
            <w:vAlign w:val="bottom"/>
            <w:tcBorders>
              <w:top w:val="single" w:sz="8" w:color="0000EE"/>
            </w:tcBorders>
          </w:tcPr>
          <w:p>
            <w:pPr>
              <w:spacing w:after="0"/>
              <w:rPr>
                <w:sz w:val="3"/>
                <w:szCs w:val="3"/>
                <w:color w:val="auto"/>
              </w:rPr>
            </w:pPr>
          </w:p>
        </w:tc>
        <w:tc>
          <w:tcPr>
            <w:tcW w:w="240" w:type="dxa"/>
            <w:vAlign w:val="bottom"/>
            <w:tcBorders>
              <w:top w:val="single" w:sz="8" w:color="0000EE"/>
              <w:bottom w:val="single" w:sz="8" w:color="F0FFFF"/>
            </w:tcBorders>
            <w:shd w:val="clear" w:color="auto" w:fill="F0FFFF"/>
          </w:tcPr>
          <w:p>
            <w:pPr>
              <w:spacing w:after="0"/>
              <w:rPr>
                <w:sz w:val="3"/>
                <w:szCs w:val="3"/>
                <w:color w:val="auto"/>
              </w:rPr>
            </w:pPr>
          </w:p>
        </w:tc>
        <w:tc>
          <w:tcPr>
            <w:tcW w:w="200" w:type="dxa"/>
            <w:vAlign w:val="bottom"/>
            <w:tcBorders>
              <w:top w:val="single" w:sz="8" w:color="0000EE"/>
              <w:bottom w:val="single" w:sz="8" w:color="F0FFFF"/>
            </w:tcBorders>
            <w:shd w:val="clear" w:color="auto" w:fill="F0FFFF"/>
          </w:tcPr>
          <w:p>
            <w:pPr>
              <w:spacing w:after="0"/>
              <w:rPr>
                <w:sz w:val="3"/>
                <w:szCs w:val="3"/>
                <w:color w:val="auto"/>
              </w:rPr>
            </w:pPr>
          </w:p>
        </w:tc>
        <w:tc>
          <w:tcPr>
            <w:tcW w:w="80" w:type="dxa"/>
            <w:vAlign w:val="bottom"/>
            <w:tcBorders>
              <w:top w:val="single" w:sz="8" w:color="0000EE"/>
              <w:bottom w:val="single" w:sz="8" w:color="F0FFFF"/>
            </w:tcBorders>
            <w:shd w:val="clear" w:color="auto" w:fill="F0FFFF"/>
          </w:tcPr>
          <w:p>
            <w:pPr>
              <w:spacing w:after="0"/>
              <w:rPr>
                <w:sz w:val="3"/>
                <w:szCs w:val="3"/>
                <w:color w:val="auto"/>
              </w:rPr>
            </w:pPr>
          </w:p>
        </w:tc>
        <w:tc>
          <w:tcPr>
            <w:tcW w:w="100" w:type="dxa"/>
            <w:vAlign w:val="bottom"/>
            <w:tcBorders>
              <w:top w:val="single" w:sz="8" w:color="0000EE"/>
              <w:bottom w:val="single" w:sz="8" w:color="F0FFFF"/>
            </w:tcBorders>
            <w:shd w:val="clear" w:color="auto" w:fill="F0FFFF"/>
          </w:tcPr>
          <w:p>
            <w:pPr>
              <w:spacing w:after="0"/>
              <w:rPr>
                <w:sz w:val="3"/>
                <w:szCs w:val="3"/>
                <w:color w:val="auto"/>
              </w:rPr>
            </w:pPr>
          </w:p>
        </w:tc>
        <w:tc>
          <w:tcPr>
            <w:tcW w:w="4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60" w:type="dxa"/>
            <w:vAlign w:val="bottom"/>
            <w:tcBorders>
              <w:top w:val="single" w:sz="8" w:color="0000EE"/>
              <w:bottom w:val="single" w:sz="8" w:color="F0FFFF"/>
            </w:tcBorders>
            <w:shd w:val="clear" w:color="auto" w:fill="F0FFFF"/>
          </w:tcPr>
          <w:p>
            <w:pPr>
              <w:spacing w:after="0"/>
              <w:rPr>
                <w:sz w:val="3"/>
                <w:szCs w:val="3"/>
                <w:color w:val="auto"/>
              </w:rPr>
            </w:pPr>
          </w:p>
        </w:tc>
        <w:tc>
          <w:tcPr>
            <w:tcW w:w="60" w:type="dxa"/>
            <w:vAlign w:val="bottom"/>
            <w:tcBorders>
              <w:top w:val="single" w:sz="8" w:color="F0FFFF"/>
              <w:bottom w:val="single" w:sz="8" w:color="F0FFFF"/>
            </w:tcBorders>
            <w:shd w:val="clear" w:color="auto" w:fill="F0FFFF"/>
          </w:tcPr>
          <w:p>
            <w:pPr>
              <w:spacing w:after="0"/>
              <w:rPr>
                <w:sz w:val="3"/>
                <w:szCs w:val="3"/>
                <w:color w:val="auto"/>
              </w:rPr>
            </w:pPr>
          </w:p>
        </w:tc>
        <w:tc>
          <w:tcPr>
            <w:tcW w:w="40" w:type="dxa"/>
            <w:vAlign w:val="bottom"/>
            <w:tcBorders>
              <w:top w:val="single" w:sz="8" w:color="F0FFFF"/>
              <w:bottom w:val="single" w:sz="8" w:color="F0FFFF"/>
            </w:tcBorders>
            <w:shd w:val="clear" w:color="auto" w:fill="F0FFFF"/>
          </w:tcPr>
          <w:p>
            <w:pPr>
              <w:spacing w:after="0"/>
              <w:rPr>
                <w:sz w:val="3"/>
                <w:szCs w:val="3"/>
                <w:color w:val="auto"/>
              </w:rPr>
            </w:pPr>
          </w:p>
        </w:tc>
        <w:tc>
          <w:tcPr>
            <w:tcW w:w="6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6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60" w:type="dxa"/>
            <w:vAlign w:val="bottom"/>
            <w:tcBorders>
              <w:top w:val="single" w:sz="8" w:color="F0FFFF"/>
              <w:bottom w:val="single" w:sz="8" w:color="F0FFFF"/>
            </w:tcBorders>
            <w:shd w:val="clear" w:color="auto" w:fill="F0FFFF"/>
          </w:tcPr>
          <w:p>
            <w:pPr>
              <w:spacing w:after="0"/>
              <w:rPr>
                <w:sz w:val="3"/>
                <w:szCs w:val="3"/>
                <w:color w:val="auto"/>
              </w:rPr>
            </w:pPr>
          </w:p>
        </w:tc>
        <w:tc>
          <w:tcPr>
            <w:tcW w:w="80" w:type="dxa"/>
            <w:vAlign w:val="bottom"/>
            <w:tcBorders>
              <w:top w:val="single" w:sz="8" w:color="F0FFFF"/>
              <w:bottom w:val="single" w:sz="8" w:color="F0FFFF"/>
            </w:tcBorders>
            <w:shd w:val="clear" w:color="auto" w:fill="F0FFFF"/>
          </w:tcPr>
          <w:p>
            <w:pPr>
              <w:spacing w:after="0"/>
              <w:rPr>
                <w:sz w:val="3"/>
                <w:szCs w:val="3"/>
                <w:color w:val="auto"/>
              </w:rPr>
            </w:pPr>
          </w:p>
        </w:tc>
        <w:tc>
          <w:tcPr>
            <w:tcW w:w="80" w:type="dxa"/>
            <w:vAlign w:val="bottom"/>
            <w:tcBorders>
              <w:top w:val="single" w:sz="8" w:color="F0FFFF"/>
              <w:bottom w:val="single" w:sz="8" w:color="F0FFFF"/>
            </w:tcBorders>
            <w:shd w:val="clear" w:color="auto" w:fill="F0FFFF"/>
          </w:tcPr>
          <w:p>
            <w:pPr>
              <w:spacing w:after="0"/>
              <w:rPr>
                <w:sz w:val="3"/>
                <w:szCs w:val="3"/>
                <w:color w:val="auto"/>
              </w:rPr>
            </w:pPr>
          </w:p>
        </w:tc>
        <w:tc>
          <w:tcPr>
            <w:tcW w:w="60" w:type="dxa"/>
            <w:vAlign w:val="bottom"/>
            <w:tcBorders>
              <w:top w:val="single" w:sz="8" w:color="F0FFFF"/>
              <w:bottom w:val="single" w:sz="8" w:color="F0FFFF"/>
            </w:tcBorders>
            <w:shd w:val="clear" w:color="auto" w:fill="F0FFFF"/>
          </w:tcPr>
          <w:p>
            <w:pPr>
              <w:spacing w:after="0"/>
              <w:rPr>
                <w:sz w:val="3"/>
                <w:szCs w:val="3"/>
                <w:color w:val="auto"/>
              </w:rPr>
            </w:pPr>
          </w:p>
        </w:tc>
        <w:tc>
          <w:tcPr>
            <w:tcW w:w="4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8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60" w:type="dxa"/>
            <w:vAlign w:val="bottom"/>
            <w:tcBorders>
              <w:top w:val="single" w:sz="8" w:color="F0FFFF"/>
              <w:bottom w:val="single" w:sz="8" w:color="F0FFFF"/>
            </w:tcBorders>
            <w:shd w:val="clear" w:color="auto" w:fill="F0FFFF"/>
          </w:tcPr>
          <w:p>
            <w:pPr>
              <w:spacing w:after="0"/>
              <w:rPr>
                <w:sz w:val="3"/>
                <w:szCs w:val="3"/>
                <w:color w:val="auto"/>
              </w:rPr>
            </w:pPr>
          </w:p>
        </w:tc>
        <w:tc>
          <w:tcPr>
            <w:tcW w:w="40" w:type="dxa"/>
            <w:vAlign w:val="bottom"/>
            <w:tcBorders>
              <w:top w:val="single" w:sz="8" w:color="F0FFFF"/>
              <w:bottom w:val="single" w:sz="8" w:color="F0FFFF"/>
            </w:tcBorders>
            <w:shd w:val="clear" w:color="auto" w:fill="F0FFFF"/>
          </w:tcPr>
          <w:p>
            <w:pPr>
              <w:spacing w:after="0"/>
              <w:rPr>
                <w:sz w:val="3"/>
                <w:szCs w:val="3"/>
                <w:color w:val="auto"/>
              </w:rPr>
            </w:pPr>
          </w:p>
        </w:tc>
        <w:tc>
          <w:tcPr>
            <w:tcW w:w="12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80" w:type="dxa"/>
            <w:vAlign w:val="bottom"/>
            <w:tcBorders>
              <w:top w:val="single" w:sz="8" w:color="F0FFFF"/>
              <w:bottom w:val="single" w:sz="8" w:color="F0FFFF"/>
            </w:tcBorders>
            <w:shd w:val="clear" w:color="auto" w:fill="F0FFFF"/>
          </w:tcPr>
          <w:p>
            <w:pPr>
              <w:spacing w:after="0"/>
              <w:rPr>
                <w:sz w:val="3"/>
                <w:szCs w:val="3"/>
                <w:color w:val="auto"/>
              </w:rPr>
            </w:pPr>
          </w:p>
        </w:tc>
        <w:tc>
          <w:tcPr>
            <w:tcW w:w="300" w:type="dxa"/>
            <w:vAlign w:val="bottom"/>
            <w:tcBorders>
              <w:top w:val="single" w:sz="8" w:color="F0FFFF"/>
              <w:bottom w:val="single" w:sz="8" w:color="F0FFFF"/>
            </w:tcBorders>
            <w:shd w:val="clear" w:color="auto" w:fill="F0FFFF"/>
          </w:tcPr>
          <w:p>
            <w:pPr>
              <w:spacing w:after="0"/>
              <w:rPr>
                <w:sz w:val="3"/>
                <w:szCs w:val="3"/>
                <w:color w:val="auto"/>
              </w:rPr>
            </w:pPr>
          </w:p>
        </w:tc>
        <w:tc>
          <w:tcPr>
            <w:tcW w:w="200" w:type="dxa"/>
            <w:vAlign w:val="bottom"/>
            <w:tcBorders>
              <w:top w:val="single" w:sz="8" w:color="F0FFFF"/>
              <w:bottom w:val="single" w:sz="8" w:color="F0FFFF"/>
            </w:tcBorders>
            <w:shd w:val="clear" w:color="auto" w:fill="F0FFFF"/>
          </w:tcPr>
          <w:p>
            <w:pPr>
              <w:spacing w:after="0"/>
              <w:rPr>
                <w:sz w:val="3"/>
                <w:szCs w:val="3"/>
                <w:color w:val="auto"/>
              </w:rPr>
            </w:pPr>
          </w:p>
        </w:tc>
        <w:tc>
          <w:tcPr>
            <w:tcW w:w="60" w:type="dxa"/>
            <w:vAlign w:val="bottom"/>
            <w:tcBorders>
              <w:top w:val="single" w:sz="8" w:color="F0FFFF"/>
              <w:bottom w:val="single" w:sz="8" w:color="F0FFFF"/>
            </w:tcBorders>
            <w:shd w:val="clear" w:color="auto" w:fill="F0FFFF"/>
          </w:tcPr>
          <w:p>
            <w:pPr>
              <w:spacing w:after="0"/>
              <w:rPr>
                <w:sz w:val="3"/>
                <w:szCs w:val="3"/>
                <w:color w:val="auto"/>
              </w:rPr>
            </w:pPr>
          </w:p>
        </w:tc>
        <w:tc>
          <w:tcPr>
            <w:tcW w:w="80" w:type="dxa"/>
            <w:vAlign w:val="bottom"/>
            <w:tcBorders>
              <w:top w:val="single" w:sz="8" w:color="F0FFFF"/>
              <w:bottom w:val="single" w:sz="8" w:color="F0FFFF"/>
            </w:tcBorders>
            <w:shd w:val="clear" w:color="auto" w:fill="F0FFFF"/>
          </w:tcPr>
          <w:p>
            <w:pPr>
              <w:spacing w:after="0"/>
              <w:rPr>
                <w:sz w:val="3"/>
                <w:szCs w:val="3"/>
                <w:color w:val="auto"/>
              </w:rPr>
            </w:pPr>
          </w:p>
        </w:tc>
        <w:tc>
          <w:tcPr>
            <w:tcW w:w="260" w:type="dxa"/>
            <w:vAlign w:val="bottom"/>
            <w:tcBorders>
              <w:top w:val="single" w:sz="8" w:color="F0FFFF"/>
              <w:bottom w:val="single" w:sz="8" w:color="F0FFFF"/>
            </w:tcBorders>
            <w:shd w:val="clear" w:color="auto" w:fill="F0FFFF"/>
          </w:tcPr>
          <w:p>
            <w:pPr>
              <w:spacing w:after="0"/>
              <w:rPr>
                <w:sz w:val="3"/>
                <w:szCs w:val="3"/>
                <w:color w:val="auto"/>
              </w:rPr>
            </w:pPr>
          </w:p>
        </w:tc>
        <w:tc>
          <w:tcPr>
            <w:tcW w:w="200" w:type="dxa"/>
            <w:vAlign w:val="bottom"/>
            <w:tcBorders>
              <w:top w:val="single" w:sz="8" w:color="F0FFFF"/>
              <w:bottom w:val="single" w:sz="8" w:color="F0FFFF"/>
            </w:tcBorders>
            <w:shd w:val="clear" w:color="auto" w:fill="F0FFFF"/>
          </w:tcPr>
          <w:p>
            <w:pPr>
              <w:spacing w:after="0"/>
              <w:rPr>
                <w:sz w:val="3"/>
                <w:szCs w:val="3"/>
                <w:color w:val="auto"/>
              </w:rPr>
            </w:pPr>
          </w:p>
        </w:tc>
        <w:tc>
          <w:tcPr>
            <w:tcW w:w="16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28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52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300" w:type="dxa"/>
            <w:vAlign w:val="bottom"/>
            <w:tcBorders>
              <w:top w:val="single" w:sz="8" w:color="F0FFFF"/>
              <w:bottom w:val="single" w:sz="8" w:color="F0FFFF"/>
            </w:tcBorders>
            <w:shd w:val="clear" w:color="auto" w:fill="F0FFFF"/>
          </w:tcPr>
          <w:p>
            <w:pPr>
              <w:spacing w:after="0"/>
              <w:rPr>
                <w:sz w:val="3"/>
                <w:szCs w:val="3"/>
                <w:color w:val="auto"/>
              </w:rPr>
            </w:pPr>
          </w:p>
        </w:tc>
        <w:tc>
          <w:tcPr>
            <w:tcW w:w="480" w:type="dxa"/>
            <w:vAlign w:val="bottom"/>
            <w:tcBorders>
              <w:top w:val="single" w:sz="8" w:color="F0FFFF"/>
              <w:bottom w:val="single" w:sz="8" w:color="F0FFFF"/>
            </w:tcBorders>
            <w:shd w:val="clear" w:color="auto" w:fill="F0FFFF"/>
          </w:tcPr>
          <w:p>
            <w:pPr>
              <w:spacing w:after="0"/>
              <w:rPr>
                <w:sz w:val="3"/>
                <w:szCs w:val="3"/>
                <w:color w:val="auto"/>
              </w:rPr>
            </w:pPr>
          </w:p>
        </w:tc>
        <w:tc>
          <w:tcPr>
            <w:tcW w:w="720" w:type="dxa"/>
            <w:vAlign w:val="bottom"/>
            <w:tcBorders>
              <w:top w:val="single" w:sz="8" w:color="F0FFFF"/>
              <w:bottom w:val="single" w:sz="8" w:color="F0FFFF"/>
            </w:tcBorders>
            <w:shd w:val="clear" w:color="auto" w:fill="F0FFFF"/>
          </w:tcPr>
          <w:p>
            <w:pPr>
              <w:spacing w:after="0"/>
              <w:rPr>
                <w:sz w:val="3"/>
                <w:szCs w:val="3"/>
                <w:color w:val="auto"/>
              </w:rPr>
            </w:pPr>
          </w:p>
        </w:tc>
        <w:tc>
          <w:tcPr>
            <w:tcW w:w="860" w:type="dxa"/>
            <w:vAlign w:val="bottom"/>
            <w:tcBorders>
              <w:top w:val="single" w:sz="8" w:color="F0FFFF"/>
              <w:bottom w:val="single" w:sz="8" w:color="F0FFFF"/>
            </w:tcBorders>
            <w:vMerge w:val="continue"/>
            <w:shd w:val="clear" w:color="auto" w:fill="F0FFFF"/>
          </w:tcPr>
          <w:p>
            <w:pPr>
              <w:spacing w:after="0"/>
              <w:rPr>
                <w:sz w:val="3"/>
                <w:szCs w:val="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5420" w:type="dxa"/>
            <w:vAlign w:val="bottom"/>
            <w:gridSpan w:val="43"/>
          </w:tcPr>
          <w:p>
            <w:pPr>
              <w:spacing w:after="0" w:line="104" w:lineRule="exact"/>
              <w:rPr>
                <w:sz w:val="20"/>
                <w:szCs w:val="20"/>
                <w:color w:val="auto"/>
              </w:rPr>
            </w:pPr>
            <w:r>
              <w:rPr>
                <w:rFonts w:ascii="Times New Roman" w:cs="Times New Roman" w:eastAsia="Times New Roman" w:hAnsi="Times New Roman"/>
                <w:sz w:val="11"/>
                <w:szCs w:val="11"/>
                <w:color w:val="0000EE"/>
              </w:rPr>
              <w:t>RISK FACTORS</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42"/>
        </w:trPr>
        <w:tc>
          <w:tcPr>
            <w:tcW w:w="20" w:type="dxa"/>
            <w:vAlign w:val="bottom"/>
            <w:tcBorders>
              <w:top w:val="single" w:sz="8" w:color="0000EE"/>
            </w:tcBorders>
          </w:tcPr>
          <w:p>
            <w:pPr>
              <w:spacing w:after="0"/>
              <w:rPr>
                <w:sz w:val="3"/>
                <w:szCs w:val="3"/>
                <w:color w:val="auto"/>
              </w:rPr>
            </w:pPr>
          </w:p>
        </w:tc>
        <w:tc>
          <w:tcPr>
            <w:tcW w:w="240" w:type="dxa"/>
            <w:vAlign w:val="bottom"/>
            <w:tcBorders>
              <w:top w:val="single" w:sz="8" w:color="0000EE"/>
            </w:tcBorders>
          </w:tcPr>
          <w:p>
            <w:pPr>
              <w:spacing w:after="0"/>
              <w:rPr>
                <w:sz w:val="3"/>
                <w:szCs w:val="3"/>
                <w:color w:val="auto"/>
              </w:rPr>
            </w:pPr>
          </w:p>
        </w:tc>
        <w:tc>
          <w:tcPr>
            <w:tcW w:w="20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420" w:type="dxa"/>
            <w:vAlign w:val="bottom"/>
            <w:gridSpan w:val="43"/>
            <w:shd w:val="clear" w:color="auto" w:fill="F0FFFF"/>
          </w:tcPr>
          <w:p>
            <w:pPr>
              <w:spacing w:after="0" w:line="124" w:lineRule="exact"/>
              <w:rPr>
                <w:sz w:val="20"/>
                <w:szCs w:val="20"/>
                <w:color w:val="auto"/>
              </w:rPr>
            </w:pPr>
            <w:r>
              <w:rPr>
                <w:rFonts w:ascii="Times New Roman" w:cs="Times New Roman" w:eastAsia="Times New Roman" w:hAnsi="Times New Roman"/>
                <w:sz w:val="14"/>
                <w:szCs w:val="14"/>
                <w:color w:val="0000EE"/>
              </w:rPr>
              <w:t>THE LIFE POLICY</w:t>
            </w:r>
          </w:p>
        </w:tc>
        <w:tc>
          <w:tcPr>
            <w:tcW w:w="86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42"/>
        </w:trPr>
        <w:tc>
          <w:tcPr>
            <w:tcW w:w="20" w:type="dxa"/>
            <w:vAlign w:val="bottom"/>
            <w:tcBorders>
              <w:top w:val="single" w:sz="8" w:color="0000EE"/>
            </w:tcBorders>
          </w:tcPr>
          <w:p>
            <w:pPr>
              <w:spacing w:after="0"/>
              <w:rPr>
                <w:sz w:val="3"/>
                <w:szCs w:val="3"/>
                <w:color w:val="auto"/>
              </w:rPr>
            </w:pPr>
          </w:p>
        </w:tc>
        <w:tc>
          <w:tcPr>
            <w:tcW w:w="240" w:type="dxa"/>
            <w:vAlign w:val="bottom"/>
            <w:tcBorders>
              <w:top w:val="single" w:sz="8" w:color="0000EE"/>
              <w:bottom w:val="single" w:sz="8" w:color="F0FFFF"/>
            </w:tcBorders>
            <w:shd w:val="clear" w:color="auto" w:fill="F0FFFF"/>
          </w:tcPr>
          <w:p>
            <w:pPr>
              <w:spacing w:after="0"/>
              <w:rPr>
                <w:sz w:val="3"/>
                <w:szCs w:val="3"/>
                <w:color w:val="auto"/>
              </w:rPr>
            </w:pPr>
          </w:p>
        </w:tc>
        <w:tc>
          <w:tcPr>
            <w:tcW w:w="200" w:type="dxa"/>
            <w:vAlign w:val="bottom"/>
            <w:tcBorders>
              <w:top w:val="single" w:sz="8" w:color="0000EE"/>
              <w:bottom w:val="single" w:sz="8" w:color="F0FFFF"/>
            </w:tcBorders>
            <w:shd w:val="clear" w:color="auto" w:fill="F0FFFF"/>
          </w:tcPr>
          <w:p>
            <w:pPr>
              <w:spacing w:after="0"/>
              <w:rPr>
                <w:sz w:val="3"/>
                <w:szCs w:val="3"/>
                <w:color w:val="auto"/>
              </w:rPr>
            </w:pPr>
          </w:p>
        </w:tc>
        <w:tc>
          <w:tcPr>
            <w:tcW w:w="80" w:type="dxa"/>
            <w:vAlign w:val="bottom"/>
            <w:tcBorders>
              <w:top w:val="single" w:sz="8" w:color="0000EE"/>
              <w:bottom w:val="single" w:sz="8" w:color="F0FFFF"/>
            </w:tcBorders>
            <w:shd w:val="clear" w:color="auto" w:fill="F0FFFF"/>
          </w:tcPr>
          <w:p>
            <w:pPr>
              <w:spacing w:after="0"/>
              <w:rPr>
                <w:sz w:val="3"/>
                <w:szCs w:val="3"/>
                <w:color w:val="auto"/>
              </w:rPr>
            </w:pPr>
          </w:p>
        </w:tc>
        <w:tc>
          <w:tcPr>
            <w:tcW w:w="100" w:type="dxa"/>
            <w:vAlign w:val="bottom"/>
            <w:tcBorders>
              <w:top w:val="single" w:sz="8" w:color="0000EE"/>
              <w:bottom w:val="single" w:sz="8" w:color="F0FFFF"/>
            </w:tcBorders>
            <w:shd w:val="clear" w:color="auto" w:fill="F0FFFF"/>
          </w:tcPr>
          <w:p>
            <w:pPr>
              <w:spacing w:after="0"/>
              <w:rPr>
                <w:sz w:val="3"/>
                <w:szCs w:val="3"/>
                <w:color w:val="auto"/>
              </w:rPr>
            </w:pPr>
          </w:p>
        </w:tc>
        <w:tc>
          <w:tcPr>
            <w:tcW w:w="4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60" w:type="dxa"/>
            <w:vAlign w:val="bottom"/>
            <w:tcBorders>
              <w:top w:val="single" w:sz="8" w:color="0000EE"/>
              <w:bottom w:val="single" w:sz="8" w:color="F0FFFF"/>
            </w:tcBorders>
            <w:shd w:val="clear" w:color="auto" w:fill="F0FFFF"/>
          </w:tcPr>
          <w:p>
            <w:pPr>
              <w:spacing w:after="0"/>
              <w:rPr>
                <w:sz w:val="3"/>
                <w:szCs w:val="3"/>
                <w:color w:val="auto"/>
              </w:rPr>
            </w:pPr>
          </w:p>
        </w:tc>
        <w:tc>
          <w:tcPr>
            <w:tcW w:w="60" w:type="dxa"/>
            <w:vAlign w:val="bottom"/>
            <w:tcBorders>
              <w:top w:val="single" w:sz="8" w:color="0000EE"/>
              <w:bottom w:val="single" w:sz="8" w:color="F0FFFF"/>
            </w:tcBorders>
            <w:shd w:val="clear" w:color="auto" w:fill="F0FFFF"/>
          </w:tcPr>
          <w:p>
            <w:pPr>
              <w:spacing w:after="0"/>
              <w:rPr>
                <w:sz w:val="3"/>
                <w:szCs w:val="3"/>
                <w:color w:val="auto"/>
              </w:rPr>
            </w:pPr>
          </w:p>
        </w:tc>
        <w:tc>
          <w:tcPr>
            <w:tcW w:w="40" w:type="dxa"/>
            <w:vAlign w:val="bottom"/>
            <w:tcBorders>
              <w:top w:val="single" w:sz="8" w:color="0000EE"/>
              <w:bottom w:val="single" w:sz="8" w:color="F0FFFF"/>
            </w:tcBorders>
            <w:shd w:val="clear" w:color="auto" w:fill="F0FFFF"/>
          </w:tcPr>
          <w:p>
            <w:pPr>
              <w:spacing w:after="0"/>
              <w:rPr>
                <w:sz w:val="3"/>
                <w:szCs w:val="3"/>
                <w:color w:val="auto"/>
              </w:rPr>
            </w:pPr>
          </w:p>
        </w:tc>
        <w:tc>
          <w:tcPr>
            <w:tcW w:w="6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6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60" w:type="dxa"/>
            <w:vAlign w:val="bottom"/>
            <w:tcBorders>
              <w:top w:val="single" w:sz="8" w:color="0000EE"/>
              <w:bottom w:val="single" w:sz="8" w:color="F0FFFF"/>
            </w:tcBorders>
            <w:shd w:val="clear" w:color="auto" w:fill="F0FFFF"/>
          </w:tcPr>
          <w:p>
            <w:pPr>
              <w:spacing w:after="0"/>
              <w:rPr>
                <w:sz w:val="3"/>
                <w:szCs w:val="3"/>
                <w:color w:val="auto"/>
              </w:rPr>
            </w:pPr>
          </w:p>
        </w:tc>
        <w:tc>
          <w:tcPr>
            <w:tcW w:w="80" w:type="dxa"/>
            <w:vAlign w:val="bottom"/>
            <w:tcBorders>
              <w:top w:val="single" w:sz="8" w:color="F0FFFF"/>
              <w:bottom w:val="single" w:sz="8" w:color="F0FFFF"/>
            </w:tcBorders>
            <w:shd w:val="clear" w:color="auto" w:fill="F0FFFF"/>
          </w:tcPr>
          <w:p>
            <w:pPr>
              <w:spacing w:after="0"/>
              <w:rPr>
                <w:sz w:val="3"/>
                <w:szCs w:val="3"/>
                <w:color w:val="auto"/>
              </w:rPr>
            </w:pPr>
          </w:p>
        </w:tc>
        <w:tc>
          <w:tcPr>
            <w:tcW w:w="80" w:type="dxa"/>
            <w:vAlign w:val="bottom"/>
            <w:tcBorders>
              <w:top w:val="single" w:sz="8" w:color="F0FFFF"/>
              <w:bottom w:val="single" w:sz="8" w:color="F0FFFF"/>
            </w:tcBorders>
            <w:shd w:val="clear" w:color="auto" w:fill="F0FFFF"/>
          </w:tcPr>
          <w:p>
            <w:pPr>
              <w:spacing w:after="0"/>
              <w:rPr>
                <w:sz w:val="3"/>
                <w:szCs w:val="3"/>
                <w:color w:val="auto"/>
              </w:rPr>
            </w:pPr>
          </w:p>
        </w:tc>
        <w:tc>
          <w:tcPr>
            <w:tcW w:w="60" w:type="dxa"/>
            <w:vAlign w:val="bottom"/>
            <w:tcBorders>
              <w:top w:val="single" w:sz="8" w:color="F0FFFF"/>
              <w:bottom w:val="single" w:sz="8" w:color="F0FFFF"/>
            </w:tcBorders>
            <w:shd w:val="clear" w:color="auto" w:fill="F0FFFF"/>
          </w:tcPr>
          <w:p>
            <w:pPr>
              <w:spacing w:after="0"/>
              <w:rPr>
                <w:sz w:val="3"/>
                <w:szCs w:val="3"/>
                <w:color w:val="auto"/>
              </w:rPr>
            </w:pPr>
          </w:p>
        </w:tc>
        <w:tc>
          <w:tcPr>
            <w:tcW w:w="4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8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60" w:type="dxa"/>
            <w:vAlign w:val="bottom"/>
            <w:tcBorders>
              <w:top w:val="single" w:sz="8" w:color="F0FFFF"/>
              <w:bottom w:val="single" w:sz="8" w:color="F0FFFF"/>
            </w:tcBorders>
            <w:shd w:val="clear" w:color="auto" w:fill="F0FFFF"/>
          </w:tcPr>
          <w:p>
            <w:pPr>
              <w:spacing w:after="0"/>
              <w:rPr>
                <w:sz w:val="3"/>
                <w:szCs w:val="3"/>
                <w:color w:val="auto"/>
              </w:rPr>
            </w:pPr>
          </w:p>
        </w:tc>
        <w:tc>
          <w:tcPr>
            <w:tcW w:w="40" w:type="dxa"/>
            <w:vAlign w:val="bottom"/>
            <w:tcBorders>
              <w:top w:val="single" w:sz="8" w:color="F0FFFF"/>
              <w:bottom w:val="single" w:sz="8" w:color="F0FFFF"/>
            </w:tcBorders>
            <w:shd w:val="clear" w:color="auto" w:fill="F0FFFF"/>
          </w:tcPr>
          <w:p>
            <w:pPr>
              <w:spacing w:after="0"/>
              <w:rPr>
                <w:sz w:val="3"/>
                <w:szCs w:val="3"/>
                <w:color w:val="auto"/>
              </w:rPr>
            </w:pPr>
          </w:p>
        </w:tc>
        <w:tc>
          <w:tcPr>
            <w:tcW w:w="12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80" w:type="dxa"/>
            <w:vAlign w:val="bottom"/>
            <w:tcBorders>
              <w:top w:val="single" w:sz="8" w:color="F0FFFF"/>
              <w:bottom w:val="single" w:sz="8" w:color="F0FFFF"/>
            </w:tcBorders>
            <w:shd w:val="clear" w:color="auto" w:fill="F0FFFF"/>
          </w:tcPr>
          <w:p>
            <w:pPr>
              <w:spacing w:after="0"/>
              <w:rPr>
                <w:sz w:val="3"/>
                <w:szCs w:val="3"/>
                <w:color w:val="auto"/>
              </w:rPr>
            </w:pPr>
          </w:p>
        </w:tc>
        <w:tc>
          <w:tcPr>
            <w:tcW w:w="300" w:type="dxa"/>
            <w:vAlign w:val="bottom"/>
            <w:tcBorders>
              <w:top w:val="single" w:sz="8" w:color="F0FFFF"/>
              <w:bottom w:val="single" w:sz="8" w:color="F0FFFF"/>
            </w:tcBorders>
            <w:shd w:val="clear" w:color="auto" w:fill="F0FFFF"/>
          </w:tcPr>
          <w:p>
            <w:pPr>
              <w:spacing w:after="0"/>
              <w:rPr>
                <w:sz w:val="3"/>
                <w:szCs w:val="3"/>
                <w:color w:val="auto"/>
              </w:rPr>
            </w:pPr>
          </w:p>
        </w:tc>
        <w:tc>
          <w:tcPr>
            <w:tcW w:w="200" w:type="dxa"/>
            <w:vAlign w:val="bottom"/>
            <w:tcBorders>
              <w:top w:val="single" w:sz="8" w:color="F0FFFF"/>
              <w:bottom w:val="single" w:sz="8" w:color="F0FFFF"/>
            </w:tcBorders>
            <w:shd w:val="clear" w:color="auto" w:fill="F0FFFF"/>
          </w:tcPr>
          <w:p>
            <w:pPr>
              <w:spacing w:after="0"/>
              <w:rPr>
                <w:sz w:val="3"/>
                <w:szCs w:val="3"/>
                <w:color w:val="auto"/>
              </w:rPr>
            </w:pPr>
          </w:p>
        </w:tc>
        <w:tc>
          <w:tcPr>
            <w:tcW w:w="60" w:type="dxa"/>
            <w:vAlign w:val="bottom"/>
            <w:tcBorders>
              <w:top w:val="single" w:sz="8" w:color="F0FFFF"/>
              <w:bottom w:val="single" w:sz="8" w:color="F0FFFF"/>
            </w:tcBorders>
            <w:shd w:val="clear" w:color="auto" w:fill="F0FFFF"/>
          </w:tcPr>
          <w:p>
            <w:pPr>
              <w:spacing w:after="0"/>
              <w:rPr>
                <w:sz w:val="3"/>
                <w:szCs w:val="3"/>
                <w:color w:val="auto"/>
              </w:rPr>
            </w:pPr>
          </w:p>
        </w:tc>
        <w:tc>
          <w:tcPr>
            <w:tcW w:w="80" w:type="dxa"/>
            <w:vAlign w:val="bottom"/>
            <w:tcBorders>
              <w:top w:val="single" w:sz="8" w:color="F0FFFF"/>
              <w:bottom w:val="single" w:sz="8" w:color="F0FFFF"/>
            </w:tcBorders>
            <w:shd w:val="clear" w:color="auto" w:fill="F0FFFF"/>
          </w:tcPr>
          <w:p>
            <w:pPr>
              <w:spacing w:after="0"/>
              <w:rPr>
                <w:sz w:val="3"/>
                <w:szCs w:val="3"/>
                <w:color w:val="auto"/>
              </w:rPr>
            </w:pPr>
          </w:p>
        </w:tc>
        <w:tc>
          <w:tcPr>
            <w:tcW w:w="260" w:type="dxa"/>
            <w:vAlign w:val="bottom"/>
            <w:tcBorders>
              <w:top w:val="single" w:sz="8" w:color="F0FFFF"/>
              <w:bottom w:val="single" w:sz="8" w:color="F0FFFF"/>
            </w:tcBorders>
            <w:shd w:val="clear" w:color="auto" w:fill="F0FFFF"/>
          </w:tcPr>
          <w:p>
            <w:pPr>
              <w:spacing w:after="0"/>
              <w:rPr>
                <w:sz w:val="3"/>
                <w:szCs w:val="3"/>
                <w:color w:val="auto"/>
              </w:rPr>
            </w:pPr>
          </w:p>
        </w:tc>
        <w:tc>
          <w:tcPr>
            <w:tcW w:w="200" w:type="dxa"/>
            <w:vAlign w:val="bottom"/>
            <w:tcBorders>
              <w:top w:val="single" w:sz="8" w:color="F0FFFF"/>
              <w:bottom w:val="single" w:sz="8" w:color="F0FFFF"/>
            </w:tcBorders>
            <w:shd w:val="clear" w:color="auto" w:fill="F0FFFF"/>
          </w:tcPr>
          <w:p>
            <w:pPr>
              <w:spacing w:after="0"/>
              <w:rPr>
                <w:sz w:val="3"/>
                <w:szCs w:val="3"/>
                <w:color w:val="auto"/>
              </w:rPr>
            </w:pPr>
          </w:p>
        </w:tc>
        <w:tc>
          <w:tcPr>
            <w:tcW w:w="16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28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52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300" w:type="dxa"/>
            <w:vAlign w:val="bottom"/>
            <w:tcBorders>
              <w:top w:val="single" w:sz="8" w:color="F0FFFF"/>
              <w:bottom w:val="single" w:sz="8" w:color="F0FFFF"/>
            </w:tcBorders>
            <w:shd w:val="clear" w:color="auto" w:fill="F0FFFF"/>
          </w:tcPr>
          <w:p>
            <w:pPr>
              <w:spacing w:after="0"/>
              <w:rPr>
                <w:sz w:val="3"/>
                <w:szCs w:val="3"/>
                <w:color w:val="auto"/>
              </w:rPr>
            </w:pPr>
          </w:p>
        </w:tc>
        <w:tc>
          <w:tcPr>
            <w:tcW w:w="480" w:type="dxa"/>
            <w:vAlign w:val="bottom"/>
            <w:tcBorders>
              <w:top w:val="single" w:sz="8" w:color="F0FFFF"/>
              <w:bottom w:val="single" w:sz="8" w:color="F0FFFF"/>
            </w:tcBorders>
            <w:shd w:val="clear" w:color="auto" w:fill="F0FFFF"/>
          </w:tcPr>
          <w:p>
            <w:pPr>
              <w:spacing w:after="0"/>
              <w:rPr>
                <w:sz w:val="3"/>
                <w:szCs w:val="3"/>
                <w:color w:val="auto"/>
              </w:rPr>
            </w:pPr>
          </w:p>
        </w:tc>
        <w:tc>
          <w:tcPr>
            <w:tcW w:w="720" w:type="dxa"/>
            <w:vAlign w:val="bottom"/>
            <w:tcBorders>
              <w:top w:val="single" w:sz="8" w:color="F0FFFF"/>
              <w:bottom w:val="single" w:sz="8" w:color="F0FFFF"/>
            </w:tcBorders>
            <w:shd w:val="clear" w:color="auto" w:fill="F0FFFF"/>
          </w:tcPr>
          <w:p>
            <w:pPr>
              <w:spacing w:after="0"/>
              <w:rPr>
                <w:sz w:val="3"/>
                <w:szCs w:val="3"/>
                <w:color w:val="auto"/>
              </w:rPr>
            </w:pPr>
          </w:p>
        </w:tc>
        <w:tc>
          <w:tcPr>
            <w:tcW w:w="860" w:type="dxa"/>
            <w:vAlign w:val="bottom"/>
            <w:tcBorders>
              <w:top w:val="single" w:sz="8" w:color="F0FFFF"/>
              <w:bottom w:val="single" w:sz="8" w:color="F0FFFF"/>
            </w:tcBorders>
            <w:vMerge w:val="continue"/>
            <w:shd w:val="clear" w:color="auto" w:fill="F0FFFF"/>
          </w:tcPr>
          <w:p>
            <w:pPr>
              <w:spacing w:after="0"/>
              <w:rPr>
                <w:sz w:val="3"/>
                <w:szCs w:val="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180" w:type="dxa"/>
            <w:vAlign w:val="bottom"/>
            <w:gridSpan w:val="42"/>
          </w:tcPr>
          <w:p>
            <w:pPr>
              <w:spacing w:after="0" w:line="104" w:lineRule="exact"/>
              <w:rPr>
                <w:sz w:val="20"/>
                <w:szCs w:val="20"/>
                <w:color w:val="auto"/>
              </w:rPr>
            </w:pPr>
            <w:r>
              <w:rPr>
                <w:rFonts w:ascii="Times New Roman" w:cs="Times New Roman" w:eastAsia="Times New Roman" w:hAnsi="Times New Roman"/>
                <w:sz w:val="11"/>
                <w:szCs w:val="11"/>
                <w:color w:val="0000EE"/>
              </w:rPr>
              <w:t>Replacement of Policies</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420" w:type="dxa"/>
            <w:vAlign w:val="bottom"/>
            <w:gridSpan w:val="43"/>
            <w:shd w:val="clear" w:color="auto" w:fill="F0FFFF"/>
          </w:tcPr>
          <w:p>
            <w:pPr>
              <w:spacing w:after="0" w:line="124" w:lineRule="exact"/>
              <w:rPr>
                <w:sz w:val="20"/>
                <w:szCs w:val="20"/>
                <w:color w:val="auto"/>
              </w:rPr>
            </w:pPr>
            <w:r>
              <w:rPr>
                <w:rFonts w:ascii="Times New Roman" w:cs="Times New Roman" w:eastAsia="Times New Roman" w:hAnsi="Times New Roman"/>
                <w:sz w:val="14"/>
                <w:szCs w:val="14"/>
                <w:color w:val="0000EE"/>
              </w:rPr>
              <w:t>PREMIUMS</w:t>
            </w:r>
          </w:p>
        </w:tc>
        <w:tc>
          <w:tcPr>
            <w:tcW w:w="86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42"/>
        </w:trPr>
        <w:tc>
          <w:tcPr>
            <w:tcW w:w="20" w:type="dxa"/>
            <w:vAlign w:val="bottom"/>
            <w:tcBorders>
              <w:top w:val="single" w:sz="8" w:color="0000EE"/>
            </w:tcBorders>
          </w:tcPr>
          <w:p>
            <w:pPr>
              <w:spacing w:after="0"/>
              <w:rPr>
                <w:sz w:val="3"/>
                <w:szCs w:val="3"/>
                <w:color w:val="auto"/>
              </w:rPr>
            </w:pPr>
          </w:p>
        </w:tc>
        <w:tc>
          <w:tcPr>
            <w:tcW w:w="240" w:type="dxa"/>
            <w:vAlign w:val="bottom"/>
            <w:tcBorders>
              <w:top w:val="single" w:sz="8" w:color="0000EE"/>
              <w:bottom w:val="single" w:sz="8" w:color="F0FFFF"/>
            </w:tcBorders>
            <w:shd w:val="clear" w:color="auto" w:fill="F0FFFF"/>
          </w:tcPr>
          <w:p>
            <w:pPr>
              <w:spacing w:after="0"/>
              <w:rPr>
                <w:sz w:val="3"/>
                <w:szCs w:val="3"/>
                <w:color w:val="auto"/>
              </w:rPr>
            </w:pPr>
          </w:p>
        </w:tc>
        <w:tc>
          <w:tcPr>
            <w:tcW w:w="200" w:type="dxa"/>
            <w:vAlign w:val="bottom"/>
            <w:tcBorders>
              <w:top w:val="single" w:sz="8" w:color="0000EE"/>
              <w:bottom w:val="single" w:sz="8" w:color="F0FFFF"/>
            </w:tcBorders>
            <w:shd w:val="clear" w:color="auto" w:fill="F0FFFF"/>
          </w:tcPr>
          <w:p>
            <w:pPr>
              <w:spacing w:after="0"/>
              <w:rPr>
                <w:sz w:val="3"/>
                <w:szCs w:val="3"/>
                <w:color w:val="auto"/>
              </w:rPr>
            </w:pPr>
          </w:p>
        </w:tc>
        <w:tc>
          <w:tcPr>
            <w:tcW w:w="80" w:type="dxa"/>
            <w:vAlign w:val="bottom"/>
            <w:tcBorders>
              <w:top w:val="single" w:sz="8" w:color="0000EE"/>
              <w:bottom w:val="single" w:sz="8" w:color="F0FFFF"/>
            </w:tcBorders>
            <w:shd w:val="clear" w:color="auto" w:fill="F0FFFF"/>
          </w:tcPr>
          <w:p>
            <w:pPr>
              <w:spacing w:after="0"/>
              <w:rPr>
                <w:sz w:val="3"/>
                <w:szCs w:val="3"/>
                <w:color w:val="auto"/>
              </w:rPr>
            </w:pPr>
          </w:p>
        </w:tc>
        <w:tc>
          <w:tcPr>
            <w:tcW w:w="100" w:type="dxa"/>
            <w:vAlign w:val="bottom"/>
            <w:tcBorders>
              <w:top w:val="single" w:sz="8" w:color="0000EE"/>
              <w:bottom w:val="single" w:sz="8" w:color="F0FFFF"/>
            </w:tcBorders>
            <w:shd w:val="clear" w:color="auto" w:fill="F0FFFF"/>
          </w:tcPr>
          <w:p>
            <w:pPr>
              <w:spacing w:after="0"/>
              <w:rPr>
                <w:sz w:val="3"/>
                <w:szCs w:val="3"/>
                <w:color w:val="auto"/>
              </w:rPr>
            </w:pPr>
          </w:p>
        </w:tc>
        <w:tc>
          <w:tcPr>
            <w:tcW w:w="4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60" w:type="dxa"/>
            <w:vAlign w:val="bottom"/>
            <w:tcBorders>
              <w:top w:val="single" w:sz="8" w:color="F0FFFF"/>
              <w:bottom w:val="single" w:sz="8" w:color="F0FFFF"/>
            </w:tcBorders>
            <w:shd w:val="clear" w:color="auto" w:fill="F0FFFF"/>
          </w:tcPr>
          <w:p>
            <w:pPr>
              <w:spacing w:after="0"/>
              <w:rPr>
                <w:sz w:val="3"/>
                <w:szCs w:val="3"/>
                <w:color w:val="auto"/>
              </w:rPr>
            </w:pPr>
          </w:p>
        </w:tc>
        <w:tc>
          <w:tcPr>
            <w:tcW w:w="60" w:type="dxa"/>
            <w:vAlign w:val="bottom"/>
            <w:tcBorders>
              <w:top w:val="single" w:sz="8" w:color="F0FFFF"/>
              <w:bottom w:val="single" w:sz="8" w:color="F0FFFF"/>
            </w:tcBorders>
            <w:shd w:val="clear" w:color="auto" w:fill="F0FFFF"/>
          </w:tcPr>
          <w:p>
            <w:pPr>
              <w:spacing w:after="0"/>
              <w:rPr>
                <w:sz w:val="3"/>
                <w:szCs w:val="3"/>
                <w:color w:val="auto"/>
              </w:rPr>
            </w:pPr>
          </w:p>
        </w:tc>
        <w:tc>
          <w:tcPr>
            <w:tcW w:w="40" w:type="dxa"/>
            <w:vAlign w:val="bottom"/>
            <w:tcBorders>
              <w:top w:val="single" w:sz="8" w:color="F0FFFF"/>
              <w:bottom w:val="single" w:sz="8" w:color="F0FFFF"/>
            </w:tcBorders>
            <w:shd w:val="clear" w:color="auto" w:fill="F0FFFF"/>
          </w:tcPr>
          <w:p>
            <w:pPr>
              <w:spacing w:after="0"/>
              <w:rPr>
                <w:sz w:val="3"/>
                <w:szCs w:val="3"/>
                <w:color w:val="auto"/>
              </w:rPr>
            </w:pPr>
          </w:p>
        </w:tc>
        <w:tc>
          <w:tcPr>
            <w:tcW w:w="6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6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60" w:type="dxa"/>
            <w:vAlign w:val="bottom"/>
            <w:tcBorders>
              <w:top w:val="single" w:sz="8" w:color="F0FFFF"/>
              <w:bottom w:val="single" w:sz="8" w:color="F0FFFF"/>
            </w:tcBorders>
            <w:shd w:val="clear" w:color="auto" w:fill="F0FFFF"/>
          </w:tcPr>
          <w:p>
            <w:pPr>
              <w:spacing w:after="0"/>
              <w:rPr>
                <w:sz w:val="3"/>
                <w:szCs w:val="3"/>
                <w:color w:val="auto"/>
              </w:rPr>
            </w:pPr>
          </w:p>
        </w:tc>
        <w:tc>
          <w:tcPr>
            <w:tcW w:w="80" w:type="dxa"/>
            <w:vAlign w:val="bottom"/>
            <w:tcBorders>
              <w:top w:val="single" w:sz="8" w:color="F0FFFF"/>
              <w:bottom w:val="single" w:sz="8" w:color="F0FFFF"/>
            </w:tcBorders>
            <w:shd w:val="clear" w:color="auto" w:fill="F0FFFF"/>
          </w:tcPr>
          <w:p>
            <w:pPr>
              <w:spacing w:after="0"/>
              <w:rPr>
                <w:sz w:val="3"/>
                <w:szCs w:val="3"/>
                <w:color w:val="auto"/>
              </w:rPr>
            </w:pPr>
          </w:p>
        </w:tc>
        <w:tc>
          <w:tcPr>
            <w:tcW w:w="80" w:type="dxa"/>
            <w:vAlign w:val="bottom"/>
            <w:tcBorders>
              <w:top w:val="single" w:sz="8" w:color="F0FFFF"/>
              <w:bottom w:val="single" w:sz="8" w:color="F0FFFF"/>
            </w:tcBorders>
            <w:shd w:val="clear" w:color="auto" w:fill="F0FFFF"/>
          </w:tcPr>
          <w:p>
            <w:pPr>
              <w:spacing w:after="0"/>
              <w:rPr>
                <w:sz w:val="3"/>
                <w:szCs w:val="3"/>
                <w:color w:val="auto"/>
              </w:rPr>
            </w:pPr>
          </w:p>
        </w:tc>
        <w:tc>
          <w:tcPr>
            <w:tcW w:w="60" w:type="dxa"/>
            <w:vAlign w:val="bottom"/>
            <w:tcBorders>
              <w:top w:val="single" w:sz="8" w:color="F0FFFF"/>
              <w:bottom w:val="single" w:sz="8" w:color="F0FFFF"/>
            </w:tcBorders>
            <w:shd w:val="clear" w:color="auto" w:fill="F0FFFF"/>
          </w:tcPr>
          <w:p>
            <w:pPr>
              <w:spacing w:after="0"/>
              <w:rPr>
                <w:sz w:val="3"/>
                <w:szCs w:val="3"/>
                <w:color w:val="auto"/>
              </w:rPr>
            </w:pPr>
          </w:p>
        </w:tc>
        <w:tc>
          <w:tcPr>
            <w:tcW w:w="4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8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60" w:type="dxa"/>
            <w:vAlign w:val="bottom"/>
            <w:tcBorders>
              <w:top w:val="single" w:sz="8" w:color="F0FFFF"/>
              <w:bottom w:val="single" w:sz="8" w:color="F0FFFF"/>
            </w:tcBorders>
            <w:shd w:val="clear" w:color="auto" w:fill="F0FFFF"/>
          </w:tcPr>
          <w:p>
            <w:pPr>
              <w:spacing w:after="0"/>
              <w:rPr>
                <w:sz w:val="3"/>
                <w:szCs w:val="3"/>
                <w:color w:val="auto"/>
              </w:rPr>
            </w:pPr>
          </w:p>
        </w:tc>
        <w:tc>
          <w:tcPr>
            <w:tcW w:w="40" w:type="dxa"/>
            <w:vAlign w:val="bottom"/>
            <w:tcBorders>
              <w:top w:val="single" w:sz="8" w:color="F0FFFF"/>
              <w:bottom w:val="single" w:sz="8" w:color="F0FFFF"/>
            </w:tcBorders>
            <w:shd w:val="clear" w:color="auto" w:fill="F0FFFF"/>
          </w:tcPr>
          <w:p>
            <w:pPr>
              <w:spacing w:after="0"/>
              <w:rPr>
                <w:sz w:val="3"/>
                <w:szCs w:val="3"/>
                <w:color w:val="auto"/>
              </w:rPr>
            </w:pPr>
          </w:p>
        </w:tc>
        <w:tc>
          <w:tcPr>
            <w:tcW w:w="12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80" w:type="dxa"/>
            <w:vAlign w:val="bottom"/>
            <w:tcBorders>
              <w:top w:val="single" w:sz="8" w:color="F0FFFF"/>
              <w:bottom w:val="single" w:sz="8" w:color="F0FFFF"/>
            </w:tcBorders>
            <w:shd w:val="clear" w:color="auto" w:fill="F0FFFF"/>
          </w:tcPr>
          <w:p>
            <w:pPr>
              <w:spacing w:after="0"/>
              <w:rPr>
                <w:sz w:val="3"/>
                <w:szCs w:val="3"/>
                <w:color w:val="auto"/>
              </w:rPr>
            </w:pPr>
          </w:p>
        </w:tc>
        <w:tc>
          <w:tcPr>
            <w:tcW w:w="300" w:type="dxa"/>
            <w:vAlign w:val="bottom"/>
            <w:tcBorders>
              <w:top w:val="single" w:sz="8" w:color="F0FFFF"/>
              <w:bottom w:val="single" w:sz="8" w:color="F0FFFF"/>
            </w:tcBorders>
            <w:shd w:val="clear" w:color="auto" w:fill="F0FFFF"/>
          </w:tcPr>
          <w:p>
            <w:pPr>
              <w:spacing w:after="0"/>
              <w:rPr>
                <w:sz w:val="3"/>
                <w:szCs w:val="3"/>
                <w:color w:val="auto"/>
              </w:rPr>
            </w:pPr>
          </w:p>
        </w:tc>
        <w:tc>
          <w:tcPr>
            <w:tcW w:w="200" w:type="dxa"/>
            <w:vAlign w:val="bottom"/>
            <w:tcBorders>
              <w:top w:val="single" w:sz="8" w:color="F0FFFF"/>
              <w:bottom w:val="single" w:sz="8" w:color="F0FFFF"/>
            </w:tcBorders>
            <w:shd w:val="clear" w:color="auto" w:fill="F0FFFF"/>
          </w:tcPr>
          <w:p>
            <w:pPr>
              <w:spacing w:after="0"/>
              <w:rPr>
                <w:sz w:val="3"/>
                <w:szCs w:val="3"/>
                <w:color w:val="auto"/>
              </w:rPr>
            </w:pPr>
          </w:p>
        </w:tc>
        <w:tc>
          <w:tcPr>
            <w:tcW w:w="60" w:type="dxa"/>
            <w:vAlign w:val="bottom"/>
            <w:tcBorders>
              <w:top w:val="single" w:sz="8" w:color="F0FFFF"/>
              <w:bottom w:val="single" w:sz="8" w:color="F0FFFF"/>
            </w:tcBorders>
            <w:shd w:val="clear" w:color="auto" w:fill="F0FFFF"/>
          </w:tcPr>
          <w:p>
            <w:pPr>
              <w:spacing w:after="0"/>
              <w:rPr>
                <w:sz w:val="3"/>
                <w:szCs w:val="3"/>
                <w:color w:val="auto"/>
              </w:rPr>
            </w:pPr>
          </w:p>
        </w:tc>
        <w:tc>
          <w:tcPr>
            <w:tcW w:w="80" w:type="dxa"/>
            <w:vAlign w:val="bottom"/>
            <w:tcBorders>
              <w:top w:val="single" w:sz="8" w:color="F0FFFF"/>
              <w:bottom w:val="single" w:sz="8" w:color="F0FFFF"/>
            </w:tcBorders>
            <w:shd w:val="clear" w:color="auto" w:fill="F0FFFF"/>
          </w:tcPr>
          <w:p>
            <w:pPr>
              <w:spacing w:after="0"/>
              <w:rPr>
                <w:sz w:val="3"/>
                <w:szCs w:val="3"/>
                <w:color w:val="auto"/>
              </w:rPr>
            </w:pPr>
          </w:p>
        </w:tc>
        <w:tc>
          <w:tcPr>
            <w:tcW w:w="260" w:type="dxa"/>
            <w:vAlign w:val="bottom"/>
            <w:tcBorders>
              <w:top w:val="single" w:sz="8" w:color="F0FFFF"/>
              <w:bottom w:val="single" w:sz="8" w:color="F0FFFF"/>
            </w:tcBorders>
            <w:shd w:val="clear" w:color="auto" w:fill="F0FFFF"/>
          </w:tcPr>
          <w:p>
            <w:pPr>
              <w:spacing w:after="0"/>
              <w:rPr>
                <w:sz w:val="3"/>
                <w:szCs w:val="3"/>
                <w:color w:val="auto"/>
              </w:rPr>
            </w:pPr>
          </w:p>
        </w:tc>
        <w:tc>
          <w:tcPr>
            <w:tcW w:w="200" w:type="dxa"/>
            <w:vAlign w:val="bottom"/>
            <w:tcBorders>
              <w:top w:val="single" w:sz="8" w:color="F0FFFF"/>
              <w:bottom w:val="single" w:sz="8" w:color="F0FFFF"/>
            </w:tcBorders>
            <w:shd w:val="clear" w:color="auto" w:fill="F0FFFF"/>
          </w:tcPr>
          <w:p>
            <w:pPr>
              <w:spacing w:after="0"/>
              <w:rPr>
                <w:sz w:val="3"/>
                <w:szCs w:val="3"/>
                <w:color w:val="auto"/>
              </w:rPr>
            </w:pPr>
          </w:p>
        </w:tc>
        <w:tc>
          <w:tcPr>
            <w:tcW w:w="16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28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52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300" w:type="dxa"/>
            <w:vAlign w:val="bottom"/>
            <w:tcBorders>
              <w:top w:val="single" w:sz="8" w:color="F0FFFF"/>
              <w:bottom w:val="single" w:sz="8" w:color="F0FFFF"/>
            </w:tcBorders>
            <w:shd w:val="clear" w:color="auto" w:fill="F0FFFF"/>
          </w:tcPr>
          <w:p>
            <w:pPr>
              <w:spacing w:after="0"/>
              <w:rPr>
                <w:sz w:val="3"/>
                <w:szCs w:val="3"/>
                <w:color w:val="auto"/>
              </w:rPr>
            </w:pPr>
          </w:p>
        </w:tc>
        <w:tc>
          <w:tcPr>
            <w:tcW w:w="480" w:type="dxa"/>
            <w:vAlign w:val="bottom"/>
            <w:tcBorders>
              <w:top w:val="single" w:sz="8" w:color="F0FFFF"/>
              <w:bottom w:val="single" w:sz="8" w:color="F0FFFF"/>
            </w:tcBorders>
            <w:shd w:val="clear" w:color="auto" w:fill="F0FFFF"/>
          </w:tcPr>
          <w:p>
            <w:pPr>
              <w:spacing w:after="0"/>
              <w:rPr>
                <w:sz w:val="3"/>
                <w:szCs w:val="3"/>
                <w:color w:val="auto"/>
              </w:rPr>
            </w:pPr>
          </w:p>
        </w:tc>
        <w:tc>
          <w:tcPr>
            <w:tcW w:w="720" w:type="dxa"/>
            <w:vAlign w:val="bottom"/>
            <w:tcBorders>
              <w:top w:val="single" w:sz="8" w:color="F0FFFF"/>
              <w:bottom w:val="single" w:sz="8" w:color="F0FFFF"/>
            </w:tcBorders>
            <w:shd w:val="clear" w:color="auto" w:fill="F0FFFF"/>
          </w:tcPr>
          <w:p>
            <w:pPr>
              <w:spacing w:after="0"/>
              <w:rPr>
                <w:sz w:val="3"/>
                <w:szCs w:val="3"/>
                <w:color w:val="auto"/>
              </w:rPr>
            </w:pPr>
          </w:p>
        </w:tc>
        <w:tc>
          <w:tcPr>
            <w:tcW w:w="860" w:type="dxa"/>
            <w:vAlign w:val="bottom"/>
            <w:tcBorders>
              <w:top w:val="single" w:sz="8" w:color="F0FFFF"/>
              <w:bottom w:val="single" w:sz="8" w:color="F0FFFF"/>
            </w:tcBorders>
            <w:vMerge w:val="continue"/>
            <w:shd w:val="clear" w:color="auto" w:fill="F0FFFF"/>
          </w:tcPr>
          <w:p>
            <w:pPr>
              <w:spacing w:after="0"/>
              <w:rPr>
                <w:sz w:val="3"/>
                <w:szCs w:val="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5420" w:type="dxa"/>
            <w:vAlign w:val="bottom"/>
            <w:gridSpan w:val="43"/>
          </w:tcPr>
          <w:p>
            <w:pPr>
              <w:spacing w:after="0" w:line="104" w:lineRule="exact"/>
              <w:rPr>
                <w:sz w:val="20"/>
                <w:szCs w:val="20"/>
                <w:color w:val="auto"/>
              </w:rPr>
            </w:pPr>
            <w:r>
              <w:rPr>
                <w:rFonts w:ascii="Times New Roman" w:cs="Times New Roman" w:eastAsia="Times New Roman" w:hAnsi="Times New Roman"/>
                <w:sz w:val="11"/>
                <w:szCs w:val="11"/>
                <w:color w:val="0000EE"/>
              </w:rPr>
              <w:t>INDEXED ACCOUNTS</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42"/>
        </w:trPr>
        <w:tc>
          <w:tcPr>
            <w:tcW w:w="20" w:type="dxa"/>
            <w:vAlign w:val="bottom"/>
            <w:tcBorders>
              <w:top w:val="single" w:sz="8" w:color="0000EE"/>
            </w:tcBorders>
          </w:tcPr>
          <w:p>
            <w:pPr>
              <w:spacing w:after="0"/>
              <w:rPr>
                <w:sz w:val="3"/>
                <w:szCs w:val="3"/>
                <w:color w:val="auto"/>
              </w:rPr>
            </w:pPr>
          </w:p>
        </w:tc>
        <w:tc>
          <w:tcPr>
            <w:tcW w:w="240" w:type="dxa"/>
            <w:vAlign w:val="bottom"/>
            <w:tcBorders>
              <w:top w:val="single" w:sz="8" w:color="0000EE"/>
            </w:tcBorders>
          </w:tcPr>
          <w:p>
            <w:pPr>
              <w:spacing w:after="0"/>
              <w:rPr>
                <w:sz w:val="3"/>
                <w:szCs w:val="3"/>
                <w:color w:val="auto"/>
              </w:rPr>
            </w:pPr>
          </w:p>
        </w:tc>
        <w:tc>
          <w:tcPr>
            <w:tcW w:w="20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420" w:type="dxa"/>
            <w:vAlign w:val="bottom"/>
            <w:gridSpan w:val="43"/>
            <w:shd w:val="clear" w:color="auto" w:fill="F0FFFF"/>
          </w:tcPr>
          <w:p>
            <w:pPr>
              <w:spacing w:after="0" w:line="124" w:lineRule="exact"/>
              <w:rPr>
                <w:sz w:val="20"/>
                <w:szCs w:val="20"/>
                <w:color w:val="auto"/>
              </w:rPr>
            </w:pPr>
            <w:r>
              <w:rPr>
                <w:rFonts w:ascii="Times New Roman" w:cs="Times New Roman" w:eastAsia="Times New Roman" w:hAnsi="Times New Roman"/>
                <w:sz w:val="14"/>
                <w:szCs w:val="14"/>
                <w:color w:val="0000EE"/>
              </w:rPr>
              <w:t>SEGMENT TERM</w:t>
            </w:r>
          </w:p>
        </w:tc>
        <w:tc>
          <w:tcPr>
            <w:tcW w:w="86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42"/>
        </w:trPr>
        <w:tc>
          <w:tcPr>
            <w:tcW w:w="20" w:type="dxa"/>
            <w:vAlign w:val="bottom"/>
            <w:tcBorders>
              <w:top w:val="single" w:sz="8" w:color="0000EE"/>
            </w:tcBorders>
          </w:tcPr>
          <w:p>
            <w:pPr>
              <w:spacing w:after="0"/>
              <w:rPr>
                <w:sz w:val="3"/>
                <w:szCs w:val="3"/>
                <w:color w:val="auto"/>
              </w:rPr>
            </w:pPr>
          </w:p>
        </w:tc>
        <w:tc>
          <w:tcPr>
            <w:tcW w:w="240" w:type="dxa"/>
            <w:vAlign w:val="bottom"/>
            <w:tcBorders>
              <w:top w:val="single" w:sz="8" w:color="0000EE"/>
              <w:bottom w:val="single" w:sz="8" w:color="F0FFFF"/>
            </w:tcBorders>
            <w:shd w:val="clear" w:color="auto" w:fill="F0FFFF"/>
          </w:tcPr>
          <w:p>
            <w:pPr>
              <w:spacing w:after="0"/>
              <w:rPr>
                <w:sz w:val="3"/>
                <w:szCs w:val="3"/>
                <w:color w:val="auto"/>
              </w:rPr>
            </w:pPr>
          </w:p>
        </w:tc>
        <w:tc>
          <w:tcPr>
            <w:tcW w:w="200" w:type="dxa"/>
            <w:vAlign w:val="bottom"/>
            <w:tcBorders>
              <w:top w:val="single" w:sz="8" w:color="0000EE"/>
              <w:bottom w:val="single" w:sz="8" w:color="F0FFFF"/>
            </w:tcBorders>
            <w:shd w:val="clear" w:color="auto" w:fill="F0FFFF"/>
          </w:tcPr>
          <w:p>
            <w:pPr>
              <w:spacing w:after="0"/>
              <w:rPr>
                <w:sz w:val="3"/>
                <w:szCs w:val="3"/>
                <w:color w:val="auto"/>
              </w:rPr>
            </w:pPr>
          </w:p>
        </w:tc>
        <w:tc>
          <w:tcPr>
            <w:tcW w:w="80" w:type="dxa"/>
            <w:vAlign w:val="bottom"/>
            <w:tcBorders>
              <w:top w:val="single" w:sz="8" w:color="0000EE"/>
              <w:bottom w:val="single" w:sz="8" w:color="F0FFFF"/>
            </w:tcBorders>
            <w:shd w:val="clear" w:color="auto" w:fill="F0FFFF"/>
          </w:tcPr>
          <w:p>
            <w:pPr>
              <w:spacing w:after="0"/>
              <w:rPr>
                <w:sz w:val="3"/>
                <w:szCs w:val="3"/>
                <w:color w:val="auto"/>
              </w:rPr>
            </w:pPr>
          </w:p>
        </w:tc>
        <w:tc>
          <w:tcPr>
            <w:tcW w:w="100" w:type="dxa"/>
            <w:vAlign w:val="bottom"/>
            <w:tcBorders>
              <w:top w:val="single" w:sz="8" w:color="0000EE"/>
              <w:bottom w:val="single" w:sz="8" w:color="F0FFFF"/>
            </w:tcBorders>
            <w:shd w:val="clear" w:color="auto" w:fill="F0FFFF"/>
          </w:tcPr>
          <w:p>
            <w:pPr>
              <w:spacing w:after="0"/>
              <w:rPr>
                <w:sz w:val="3"/>
                <w:szCs w:val="3"/>
                <w:color w:val="auto"/>
              </w:rPr>
            </w:pPr>
          </w:p>
        </w:tc>
        <w:tc>
          <w:tcPr>
            <w:tcW w:w="4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60" w:type="dxa"/>
            <w:vAlign w:val="bottom"/>
            <w:tcBorders>
              <w:top w:val="single" w:sz="8" w:color="0000EE"/>
              <w:bottom w:val="single" w:sz="8" w:color="F0FFFF"/>
            </w:tcBorders>
            <w:shd w:val="clear" w:color="auto" w:fill="F0FFFF"/>
          </w:tcPr>
          <w:p>
            <w:pPr>
              <w:spacing w:after="0"/>
              <w:rPr>
                <w:sz w:val="3"/>
                <w:szCs w:val="3"/>
                <w:color w:val="auto"/>
              </w:rPr>
            </w:pPr>
          </w:p>
        </w:tc>
        <w:tc>
          <w:tcPr>
            <w:tcW w:w="60" w:type="dxa"/>
            <w:vAlign w:val="bottom"/>
            <w:tcBorders>
              <w:top w:val="single" w:sz="8" w:color="0000EE"/>
              <w:bottom w:val="single" w:sz="8" w:color="F0FFFF"/>
            </w:tcBorders>
            <w:shd w:val="clear" w:color="auto" w:fill="F0FFFF"/>
          </w:tcPr>
          <w:p>
            <w:pPr>
              <w:spacing w:after="0"/>
              <w:rPr>
                <w:sz w:val="3"/>
                <w:szCs w:val="3"/>
                <w:color w:val="auto"/>
              </w:rPr>
            </w:pPr>
          </w:p>
        </w:tc>
        <w:tc>
          <w:tcPr>
            <w:tcW w:w="40" w:type="dxa"/>
            <w:vAlign w:val="bottom"/>
            <w:tcBorders>
              <w:top w:val="single" w:sz="8" w:color="0000EE"/>
              <w:bottom w:val="single" w:sz="8" w:color="F0FFFF"/>
            </w:tcBorders>
            <w:shd w:val="clear" w:color="auto" w:fill="F0FFFF"/>
          </w:tcPr>
          <w:p>
            <w:pPr>
              <w:spacing w:after="0"/>
              <w:rPr>
                <w:sz w:val="3"/>
                <w:szCs w:val="3"/>
                <w:color w:val="auto"/>
              </w:rPr>
            </w:pPr>
          </w:p>
        </w:tc>
        <w:tc>
          <w:tcPr>
            <w:tcW w:w="6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6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60" w:type="dxa"/>
            <w:vAlign w:val="bottom"/>
            <w:tcBorders>
              <w:top w:val="single" w:sz="8" w:color="F0FFFF"/>
              <w:bottom w:val="single" w:sz="8" w:color="F0FFFF"/>
            </w:tcBorders>
            <w:shd w:val="clear" w:color="auto" w:fill="F0FFFF"/>
          </w:tcPr>
          <w:p>
            <w:pPr>
              <w:spacing w:after="0"/>
              <w:rPr>
                <w:sz w:val="3"/>
                <w:szCs w:val="3"/>
                <w:color w:val="auto"/>
              </w:rPr>
            </w:pPr>
          </w:p>
        </w:tc>
        <w:tc>
          <w:tcPr>
            <w:tcW w:w="80" w:type="dxa"/>
            <w:vAlign w:val="bottom"/>
            <w:tcBorders>
              <w:top w:val="single" w:sz="8" w:color="F0FFFF"/>
              <w:bottom w:val="single" w:sz="8" w:color="F0FFFF"/>
            </w:tcBorders>
            <w:shd w:val="clear" w:color="auto" w:fill="F0FFFF"/>
          </w:tcPr>
          <w:p>
            <w:pPr>
              <w:spacing w:after="0"/>
              <w:rPr>
                <w:sz w:val="3"/>
                <w:szCs w:val="3"/>
                <w:color w:val="auto"/>
              </w:rPr>
            </w:pPr>
          </w:p>
        </w:tc>
        <w:tc>
          <w:tcPr>
            <w:tcW w:w="80" w:type="dxa"/>
            <w:vAlign w:val="bottom"/>
            <w:tcBorders>
              <w:top w:val="single" w:sz="8" w:color="F0FFFF"/>
              <w:bottom w:val="single" w:sz="8" w:color="F0FFFF"/>
            </w:tcBorders>
            <w:shd w:val="clear" w:color="auto" w:fill="F0FFFF"/>
          </w:tcPr>
          <w:p>
            <w:pPr>
              <w:spacing w:after="0"/>
              <w:rPr>
                <w:sz w:val="3"/>
                <w:szCs w:val="3"/>
                <w:color w:val="auto"/>
              </w:rPr>
            </w:pPr>
          </w:p>
        </w:tc>
        <w:tc>
          <w:tcPr>
            <w:tcW w:w="60" w:type="dxa"/>
            <w:vAlign w:val="bottom"/>
            <w:tcBorders>
              <w:top w:val="single" w:sz="8" w:color="F0FFFF"/>
              <w:bottom w:val="single" w:sz="8" w:color="F0FFFF"/>
            </w:tcBorders>
            <w:shd w:val="clear" w:color="auto" w:fill="F0FFFF"/>
          </w:tcPr>
          <w:p>
            <w:pPr>
              <w:spacing w:after="0"/>
              <w:rPr>
                <w:sz w:val="3"/>
                <w:szCs w:val="3"/>
                <w:color w:val="auto"/>
              </w:rPr>
            </w:pPr>
          </w:p>
        </w:tc>
        <w:tc>
          <w:tcPr>
            <w:tcW w:w="4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8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60" w:type="dxa"/>
            <w:vAlign w:val="bottom"/>
            <w:tcBorders>
              <w:top w:val="single" w:sz="8" w:color="F0FFFF"/>
              <w:bottom w:val="single" w:sz="8" w:color="F0FFFF"/>
            </w:tcBorders>
            <w:shd w:val="clear" w:color="auto" w:fill="F0FFFF"/>
          </w:tcPr>
          <w:p>
            <w:pPr>
              <w:spacing w:after="0"/>
              <w:rPr>
                <w:sz w:val="3"/>
                <w:szCs w:val="3"/>
                <w:color w:val="auto"/>
              </w:rPr>
            </w:pPr>
          </w:p>
        </w:tc>
        <w:tc>
          <w:tcPr>
            <w:tcW w:w="40" w:type="dxa"/>
            <w:vAlign w:val="bottom"/>
            <w:tcBorders>
              <w:top w:val="single" w:sz="8" w:color="F0FFFF"/>
              <w:bottom w:val="single" w:sz="8" w:color="F0FFFF"/>
            </w:tcBorders>
            <w:shd w:val="clear" w:color="auto" w:fill="F0FFFF"/>
          </w:tcPr>
          <w:p>
            <w:pPr>
              <w:spacing w:after="0"/>
              <w:rPr>
                <w:sz w:val="3"/>
                <w:szCs w:val="3"/>
                <w:color w:val="auto"/>
              </w:rPr>
            </w:pPr>
          </w:p>
        </w:tc>
        <w:tc>
          <w:tcPr>
            <w:tcW w:w="12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80" w:type="dxa"/>
            <w:vAlign w:val="bottom"/>
            <w:tcBorders>
              <w:top w:val="single" w:sz="8" w:color="F0FFFF"/>
              <w:bottom w:val="single" w:sz="8" w:color="F0FFFF"/>
            </w:tcBorders>
            <w:shd w:val="clear" w:color="auto" w:fill="F0FFFF"/>
          </w:tcPr>
          <w:p>
            <w:pPr>
              <w:spacing w:after="0"/>
              <w:rPr>
                <w:sz w:val="3"/>
                <w:szCs w:val="3"/>
                <w:color w:val="auto"/>
              </w:rPr>
            </w:pPr>
          </w:p>
        </w:tc>
        <w:tc>
          <w:tcPr>
            <w:tcW w:w="300" w:type="dxa"/>
            <w:vAlign w:val="bottom"/>
            <w:tcBorders>
              <w:top w:val="single" w:sz="8" w:color="F0FFFF"/>
              <w:bottom w:val="single" w:sz="8" w:color="F0FFFF"/>
            </w:tcBorders>
            <w:shd w:val="clear" w:color="auto" w:fill="F0FFFF"/>
          </w:tcPr>
          <w:p>
            <w:pPr>
              <w:spacing w:after="0"/>
              <w:rPr>
                <w:sz w:val="3"/>
                <w:szCs w:val="3"/>
                <w:color w:val="auto"/>
              </w:rPr>
            </w:pPr>
          </w:p>
        </w:tc>
        <w:tc>
          <w:tcPr>
            <w:tcW w:w="200" w:type="dxa"/>
            <w:vAlign w:val="bottom"/>
            <w:tcBorders>
              <w:top w:val="single" w:sz="8" w:color="F0FFFF"/>
              <w:bottom w:val="single" w:sz="8" w:color="F0FFFF"/>
            </w:tcBorders>
            <w:shd w:val="clear" w:color="auto" w:fill="F0FFFF"/>
          </w:tcPr>
          <w:p>
            <w:pPr>
              <w:spacing w:after="0"/>
              <w:rPr>
                <w:sz w:val="3"/>
                <w:szCs w:val="3"/>
                <w:color w:val="auto"/>
              </w:rPr>
            </w:pPr>
          </w:p>
        </w:tc>
        <w:tc>
          <w:tcPr>
            <w:tcW w:w="60" w:type="dxa"/>
            <w:vAlign w:val="bottom"/>
            <w:tcBorders>
              <w:top w:val="single" w:sz="8" w:color="F0FFFF"/>
              <w:bottom w:val="single" w:sz="8" w:color="F0FFFF"/>
            </w:tcBorders>
            <w:shd w:val="clear" w:color="auto" w:fill="F0FFFF"/>
          </w:tcPr>
          <w:p>
            <w:pPr>
              <w:spacing w:after="0"/>
              <w:rPr>
                <w:sz w:val="3"/>
                <w:szCs w:val="3"/>
                <w:color w:val="auto"/>
              </w:rPr>
            </w:pPr>
          </w:p>
        </w:tc>
        <w:tc>
          <w:tcPr>
            <w:tcW w:w="80" w:type="dxa"/>
            <w:vAlign w:val="bottom"/>
            <w:tcBorders>
              <w:top w:val="single" w:sz="8" w:color="F0FFFF"/>
              <w:bottom w:val="single" w:sz="8" w:color="F0FFFF"/>
            </w:tcBorders>
            <w:shd w:val="clear" w:color="auto" w:fill="F0FFFF"/>
          </w:tcPr>
          <w:p>
            <w:pPr>
              <w:spacing w:after="0"/>
              <w:rPr>
                <w:sz w:val="3"/>
                <w:szCs w:val="3"/>
                <w:color w:val="auto"/>
              </w:rPr>
            </w:pPr>
          </w:p>
        </w:tc>
        <w:tc>
          <w:tcPr>
            <w:tcW w:w="260" w:type="dxa"/>
            <w:vAlign w:val="bottom"/>
            <w:tcBorders>
              <w:top w:val="single" w:sz="8" w:color="F0FFFF"/>
              <w:bottom w:val="single" w:sz="8" w:color="F0FFFF"/>
            </w:tcBorders>
            <w:shd w:val="clear" w:color="auto" w:fill="F0FFFF"/>
          </w:tcPr>
          <w:p>
            <w:pPr>
              <w:spacing w:after="0"/>
              <w:rPr>
                <w:sz w:val="3"/>
                <w:szCs w:val="3"/>
                <w:color w:val="auto"/>
              </w:rPr>
            </w:pPr>
          </w:p>
        </w:tc>
        <w:tc>
          <w:tcPr>
            <w:tcW w:w="200" w:type="dxa"/>
            <w:vAlign w:val="bottom"/>
            <w:tcBorders>
              <w:top w:val="single" w:sz="8" w:color="F0FFFF"/>
              <w:bottom w:val="single" w:sz="8" w:color="F0FFFF"/>
            </w:tcBorders>
            <w:shd w:val="clear" w:color="auto" w:fill="F0FFFF"/>
          </w:tcPr>
          <w:p>
            <w:pPr>
              <w:spacing w:after="0"/>
              <w:rPr>
                <w:sz w:val="3"/>
                <w:szCs w:val="3"/>
                <w:color w:val="auto"/>
              </w:rPr>
            </w:pPr>
          </w:p>
        </w:tc>
        <w:tc>
          <w:tcPr>
            <w:tcW w:w="16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28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52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300" w:type="dxa"/>
            <w:vAlign w:val="bottom"/>
            <w:tcBorders>
              <w:top w:val="single" w:sz="8" w:color="F0FFFF"/>
              <w:bottom w:val="single" w:sz="8" w:color="F0FFFF"/>
            </w:tcBorders>
            <w:shd w:val="clear" w:color="auto" w:fill="F0FFFF"/>
          </w:tcPr>
          <w:p>
            <w:pPr>
              <w:spacing w:after="0"/>
              <w:rPr>
                <w:sz w:val="3"/>
                <w:szCs w:val="3"/>
                <w:color w:val="auto"/>
              </w:rPr>
            </w:pPr>
          </w:p>
        </w:tc>
        <w:tc>
          <w:tcPr>
            <w:tcW w:w="480" w:type="dxa"/>
            <w:vAlign w:val="bottom"/>
            <w:tcBorders>
              <w:top w:val="single" w:sz="8" w:color="F0FFFF"/>
              <w:bottom w:val="single" w:sz="8" w:color="F0FFFF"/>
            </w:tcBorders>
            <w:shd w:val="clear" w:color="auto" w:fill="F0FFFF"/>
          </w:tcPr>
          <w:p>
            <w:pPr>
              <w:spacing w:after="0"/>
              <w:rPr>
                <w:sz w:val="3"/>
                <w:szCs w:val="3"/>
                <w:color w:val="auto"/>
              </w:rPr>
            </w:pPr>
          </w:p>
        </w:tc>
        <w:tc>
          <w:tcPr>
            <w:tcW w:w="720" w:type="dxa"/>
            <w:vAlign w:val="bottom"/>
            <w:tcBorders>
              <w:top w:val="single" w:sz="8" w:color="F0FFFF"/>
              <w:bottom w:val="single" w:sz="8" w:color="F0FFFF"/>
            </w:tcBorders>
            <w:shd w:val="clear" w:color="auto" w:fill="F0FFFF"/>
          </w:tcPr>
          <w:p>
            <w:pPr>
              <w:spacing w:after="0"/>
              <w:rPr>
                <w:sz w:val="3"/>
                <w:szCs w:val="3"/>
                <w:color w:val="auto"/>
              </w:rPr>
            </w:pPr>
          </w:p>
        </w:tc>
        <w:tc>
          <w:tcPr>
            <w:tcW w:w="860" w:type="dxa"/>
            <w:vAlign w:val="bottom"/>
            <w:tcBorders>
              <w:top w:val="single" w:sz="8" w:color="F0FFFF"/>
              <w:bottom w:val="single" w:sz="8" w:color="F0FFFF"/>
            </w:tcBorders>
            <w:vMerge w:val="continue"/>
            <w:shd w:val="clear" w:color="auto" w:fill="F0FFFF"/>
          </w:tcPr>
          <w:p>
            <w:pPr>
              <w:spacing w:after="0"/>
              <w:rPr>
                <w:sz w:val="3"/>
                <w:szCs w:val="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180" w:type="dxa"/>
            <w:vAlign w:val="bottom"/>
            <w:gridSpan w:val="42"/>
          </w:tcPr>
          <w:p>
            <w:pPr>
              <w:spacing w:after="0" w:line="104" w:lineRule="exact"/>
              <w:rPr>
                <w:sz w:val="20"/>
                <w:szCs w:val="20"/>
                <w:color w:val="auto"/>
              </w:rPr>
            </w:pPr>
            <w:r>
              <w:rPr>
                <w:rFonts w:ascii="Times New Roman" w:cs="Times New Roman" w:eastAsia="Times New Roman" w:hAnsi="Times New Roman"/>
                <w:sz w:val="11"/>
                <w:szCs w:val="11"/>
                <w:color w:val="0000EE"/>
              </w:rPr>
              <w:t>Segment Start Date</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40" w:type="dxa"/>
            <w:vAlign w:val="bottom"/>
            <w:shd w:val="clear" w:color="auto" w:fill="F0FFFF"/>
          </w:tcPr>
          <w:p>
            <w:pPr>
              <w:spacing w:after="0"/>
              <w:rPr>
                <w:sz w:val="10"/>
                <w:szCs w:val="10"/>
                <w:color w:val="auto"/>
              </w:rPr>
            </w:pPr>
          </w:p>
        </w:tc>
        <w:tc>
          <w:tcPr>
            <w:tcW w:w="5180" w:type="dxa"/>
            <w:vAlign w:val="bottom"/>
            <w:gridSpan w:val="42"/>
            <w:shd w:val="clear" w:color="auto" w:fill="F0FFFF"/>
          </w:tcPr>
          <w:p>
            <w:pPr>
              <w:spacing w:after="0" w:line="124" w:lineRule="exact"/>
              <w:rPr>
                <w:sz w:val="20"/>
                <w:szCs w:val="20"/>
                <w:color w:val="auto"/>
              </w:rPr>
            </w:pPr>
            <w:r>
              <w:rPr>
                <w:rFonts w:ascii="Times New Roman" w:cs="Times New Roman" w:eastAsia="Times New Roman" w:hAnsi="Times New Roman"/>
                <w:sz w:val="14"/>
                <w:szCs w:val="14"/>
                <w:color w:val="0000EE"/>
              </w:rPr>
              <w:t>Segment Maturity Date</w:t>
            </w:r>
          </w:p>
        </w:tc>
        <w:tc>
          <w:tcPr>
            <w:tcW w:w="86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40" w:type="dxa"/>
            <w:vAlign w:val="bottom"/>
            <w:tcBorders>
              <w:top w:val="single" w:sz="8" w:color="F0FFFF"/>
              <w:bottom w:val="single" w:sz="8" w:color="F0FFFF"/>
            </w:tcBorders>
            <w:shd w:val="clear" w:color="auto" w:fill="F0FFFF"/>
          </w:tcPr>
          <w:p>
            <w:pPr>
              <w:spacing w:after="0"/>
              <w:rPr>
                <w:sz w:val="3"/>
                <w:szCs w:val="3"/>
                <w:color w:val="auto"/>
              </w:rPr>
            </w:pPr>
          </w:p>
        </w:tc>
        <w:tc>
          <w:tcPr>
            <w:tcW w:w="200" w:type="dxa"/>
            <w:vAlign w:val="bottom"/>
            <w:tcBorders>
              <w:top w:val="single" w:sz="8" w:color="0000EE"/>
              <w:bottom w:val="single" w:sz="8" w:color="F0FFFF"/>
            </w:tcBorders>
            <w:shd w:val="clear" w:color="auto" w:fill="F0FFFF"/>
          </w:tcPr>
          <w:p>
            <w:pPr>
              <w:spacing w:after="0"/>
              <w:rPr>
                <w:sz w:val="3"/>
                <w:szCs w:val="3"/>
                <w:color w:val="auto"/>
              </w:rPr>
            </w:pPr>
          </w:p>
        </w:tc>
        <w:tc>
          <w:tcPr>
            <w:tcW w:w="80" w:type="dxa"/>
            <w:vAlign w:val="bottom"/>
            <w:tcBorders>
              <w:top w:val="single" w:sz="8" w:color="0000EE"/>
              <w:bottom w:val="single" w:sz="8" w:color="F0FFFF"/>
            </w:tcBorders>
            <w:shd w:val="clear" w:color="auto" w:fill="F0FFFF"/>
          </w:tcPr>
          <w:p>
            <w:pPr>
              <w:spacing w:after="0"/>
              <w:rPr>
                <w:sz w:val="3"/>
                <w:szCs w:val="3"/>
                <w:color w:val="auto"/>
              </w:rPr>
            </w:pPr>
          </w:p>
        </w:tc>
        <w:tc>
          <w:tcPr>
            <w:tcW w:w="100" w:type="dxa"/>
            <w:vAlign w:val="bottom"/>
            <w:tcBorders>
              <w:top w:val="single" w:sz="8" w:color="0000EE"/>
              <w:bottom w:val="single" w:sz="8" w:color="F0FFFF"/>
            </w:tcBorders>
            <w:shd w:val="clear" w:color="auto" w:fill="F0FFFF"/>
          </w:tcPr>
          <w:p>
            <w:pPr>
              <w:spacing w:after="0"/>
              <w:rPr>
                <w:sz w:val="3"/>
                <w:szCs w:val="3"/>
                <w:color w:val="auto"/>
              </w:rPr>
            </w:pPr>
          </w:p>
        </w:tc>
        <w:tc>
          <w:tcPr>
            <w:tcW w:w="4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60" w:type="dxa"/>
            <w:vAlign w:val="bottom"/>
            <w:tcBorders>
              <w:top w:val="single" w:sz="8" w:color="0000EE"/>
              <w:bottom w:val="single" w:sz="8" w:color="F0FFFF"/>
            </w:tcBorders>
            <w:shd w:val="clear" w:color="auto" w:fill="F0FFFF"/>
          </w:tcPr>
          <w:p>
            <w:pPr>
              <w:spacing w:after="0"/>
              <w:rPr>
                <w:sz w:val="3"/>
                <w:szCs w:val="3"/>
                <w:color w:val="auto"/>
              </w:rPr>
            </w:pPr>
          </w:p>
        </w:tc>
        <w:tc>
          <w:tcPr>
            <w:tcW w:w="60" w:type="dxa"/>
            <w:vAlign w:val="bottom"/>
            <w:tcBorders>
              <w:top w:val="single" w:sz="8" w:color="0000EE"/>
              <w:bottom w:val="single" w:sz="8" w:color="F0FFFF"/>
            </w:tcBorders>
            <w:shd w:val="clear" w:color="auto" w:fill="F0FFFF"/>
          </w:tcPr>
          <w:p>
            <w:pPr>
              <w:spacing w:after="0"/>
              <w:rPr>
                <w:sz w:val="3"/>
                <w:szCs w:val="3"/>
                <w:color w:val="auto"/>
              </w:rPr>
            </w:pPr>
          </w:p>
        </w:tc>
        <w:tc>
          <w:tcPr>
            <w:tcW w:w="40" w:type="dxa"/>
            <w:vAlign w:val="bottom"/>
            <w:tcBorders>
              <w:top w:val="single" w:sz="8" w:color="0000EE"/>
              <w:bottom w:val="single" w:sz="8" w:color="F0FFFF"/>
            </w:tcBorders>
            <w:shd w:val="clear" w:color="auto" w:fill="F0FFFF"/>
          </w:tcPr>
          <w:p>
            <w:pPr>
              <w:spacing w:after="0"/>
              <w:rPr>
                <w:sz w:val="3"/>
                <w:szCs w:val="3"/>
                <w:color w:val="auto"/>
              </w:rPr>
            </w:pPr>
          </w:p>
        </w:tc>
        <w:tc>
          <w:tcPr>
            <w:tcW w:w="6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6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60" w:type="dxa"/>
            <w:vAlign w:val="bottom"/>
            <w:tcBorders>
              <w:top w:val="single" w:sz="8" w:color="0000EE"/>
              <w:bottom w:val="single" w:sz="8" w:color="F0FFFF"/>
            </w:tcBorders>
            <w:shd w:val="clear" w:color="auto" w:fill="F0FFFF"/>
          </w:tcPr>
          <w:p>
            <w:pPr>
              <w:spacing w:after="0"/>
              <w:rPr>
                <w:sz w:val="3"/>
                <w:szCs w:val="3"/>
                <w:color w:val="auto"/>
              </w:rPr>
            </w:pPr>
          </w:p>
        </w:tc>
        <w:tc>
          <w:tcPr>
            <w:tcW w:w="80" w:type="dxa"/>
            <w:vAlign w:val="bottom"/>
            <w:tcBorders>
              <w:top w:val="single" w:sz="8" w:color="0000EE"/>
              <w:bottom w:val="single" w:sz="8" w:color="F0FFFF"/>
            </w:tcBorders>
            <w:shd w:val="clear" w:color="auto" w:fill="F0FFFF"/>
          </w:tcPr>
          <w:p>
            <w:pPr>
              <w:spacing w:after="0"/>
              <w:rPr>
                <w:sz w:val="3"/>
                <w:szCs w:val="3"/>
                <w:color w:val="auto"/>
              </w:rPr>
            </w:pPr>
          </w:p>
        </w:tc>
        <w:tc>
          <w:tcPr>
            <w:tcW w:w="80" w:type="dxa"/>
            <w:vAlign w:val="bottom"/>
            <w:tcBorders>
              <w:top w:val="single" w:sz="8" w:color="0000EE"/>
              <w:bottom w:val="single" w:sz="8" w:color="F0FFFF"/>
            </w:tcBorders>
            <w:shd w:val="clear" w:color="auto" w:fill="F0FFFF"/>
          </w:tcPr>
          <w:p>
            <w:pPr>
              <w:spacing w:after="0"/>
              <w:rPr>
                <w:sz w:val="3"/>
                <w:szCs w:val="3"/>
                <w:color w:val="auto"/>
              </w:rPr>
            </w:pPr>
          </w:p>
        </w:tc>
        <w:tc>
          <w:tcPr>
            <w:tcW w:w="60" w:type="dxa"/>
            <w:vAlign w:val="bottom"/>
            <w:tcBorders>
              <w:top w:val="single" w:sz="8" w:color="0000EE"/>
              <w:bottom w:val="single" w:sz="8" w:color="F0FFFF"/>
            </w:tcBorders>
            <w:shd w:val="clear" w:color="auto" w:fill="F0FFFF"/>
          </w:tcPr>
          <w:p>
            <w:pPr>
              <w:spacing w:after="0"/>
              <w:rPr>
                <w:sz w:val="3"/>
                <w:szCs w:val="3"/>
                <w:color w:val="auto"/>
              </w:rPr>
            </w:pPr>
          </w:p>
        </w:tc>
        <w:tc>
          <w:tcPr>
            <w:tcW w:w="4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8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60" w:type="dxa"/>
            <w:vAlign w:val="bottom"/>
            <w:tcBorders>
              <w:top w:val="single" w:sz="8" w:color="0000EE"/>
              <w:bottom w:val="single" w:sz="8" w:color="F0FFFF"/>
            </w:tcBorders>
            <w:shd w:val="clear" w:color="auto" w:fill="F0FFFF"/>
          </w:tcPr>
          <w:p>
            <w:pPr>
              <w:spacing w:after="0"/>
              <w:rPr>
                <w:sz w:val="3"/>
                <w:szCs w:val="3"/>
                <w:color w:val="auto"/>
              </w:rPr>
            </w:pPr>
          </w:p>
        </w:tc>
        <w:tc>
          <w:tcPr>
            <w:tcW w:w="40" w:type="dxa"/>
            <w:vAlign w:val="bottom"/>
            <w:tcBorders>
              <w:top w:val="single" w:sz="8" w:color="F0FFFF"/>
              <w:bottom w:val="single" w:sz="8" w:color="F0FFFF"/>
            </w:tcBorders>
            <w:shd w:val="clear" w:color="auto" w:fill="F0FFFF"/>
          </w:tcPr>
          <w:p>
            <w:pPr>
              <w:spacing w:after="0"/>
              <w:rPr>
                <w:sz w:val="3"/>
                <w:szCs w:val="3"/>
                <w:color w:val="auto"/>
              </w:rPr>
            </w:pPr>
          </w:p>
        </w:tc>
        <w:tc>
          <w:tcPr>
            <w:tcW w:w="12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80" w:type="dxa"/>
            <w:vAlign w:val="bottom"/>
            <w:tcBorders>
              <w:top w:val="single" w:sz="8" w:color="F0FFFF"/>
              <w:bottom w:val="single" w:sz="8" w:color="F0FFFF"/>
            </w:tcBorders>
            <w:shd w:val="clear" w:color="auto" w:fill="F0FFFF"/>
          </w:tcPr>
          <w:p>
            <w:pPr>
              <w:spacing w:after="0"/>
              <w:rPr>
                <w:sz w:val="3"/>
                <w:szCs w:val="3"/>
                <w:color w:val="auto"/>
              </w:rPr>
            </w:pPr>
          </w:p>
        </w:tc>
        <w:tc>
          <w:tcPr>
            <w:tcW w:w="300" w:type="dxa"/>
            <w:vAlign w:val="bottom"/>
            <w:tcBorders>
              <w:top w:val="single" w:sz="8" w:color="F0FFFF"/>
              <w:bottom w:val="single" w:sz="8" w:color="F0FFFF"/>
            </w:tcBorders>
            <w:shd w:val="clear" w:color="auto" w:fill="F0FFFF"/>
          </w:tcPr>
          <w:p>
            <w:pPr>
              <w:spacing w:after="0"/>
              <w:rPr>
                <w:sz w:val="3"/>
                <w:szCs w:val="3"/>
                <w:color w:val="auto"/>
              </w:rPr>
            </w:pPr>
          </w:p>
        </w:tc>
        <w:tc>
          <w:tcPr>
            <w:tcW w:w="200" w:type="dxa"/>
            <w:vAlign w:val="bottom"/>
            <w:tcBorders>
              <w:top w:val="single" w:sz="8" w:color="F0FFFF"/>
              <w:bottom w:val="single" w:sz="8" w:color="F0FFFF"/>
            </w:tcBorders>
            <w:shd w:val="clear" w:color="auto" w:fill="F0FFFF"/>
          </w:tcPr>
          <w:p>
            <w:pPr>
              <w:spacing w:after="0"/>
              <w:rPr>
                <w:sz w:val="3"/>
                <w:szCs w:val="3"/>
                <w:color w:val="auto"/>
              </w:rPr>
            </w:pPr>
          </w:p>
        </w:tc>
        <w:tc>
          <w:tcPr>
            <w:tcW w:w="60" w:type="dxa"/>
            <w:vAlign w:val="bottom"/>
            <w:tcBorders>
              <w:top w:val="single" w:sz="8" w:color="F0FFFF"/>
              <w:bottom w:val="single" w:sz="8" w:color="F0FFFF"/>
            </w:tcBorders>
            <w:shd w:val="clear" w:color="auto" w:fill="F0FFFF"/>
          </w:tcPr>
          <w:p>
            <w:pPr>
              <w:spacing w:after="0"/>
              <w:rPr>
                <w:sz w:val="3"/>
                <w:szCs w:val="3"/>
                <w:color w:val="auto"/>
              </w:rPr>
            </w:pPr>
          </w:p>
        </w:tc>
        <w:tc>
          <w:tcPr>
            <w:tcW w:w="80" w:type="dxa"/>
            <w:vAlign w:val="bottom"/>
            <w:tcBorders>
              <w:top w:val="single" w:sz="8" w:color="F0FFFF"/>
              <w:bottom w:val="single" w:sz="8" w:color="F0FFFF"/>
            </w:tcBorders>
            <w:shd w:val="clear" w:color="auto" w:fill="F0FFFF"/>
          </w:tcPr>
          <w:p>
            <w:pPr>
              <w:spacing w:after="0"/>
              <w:rPr>
                <w:sz w:val="3"/>
                <w:szCs w:val="3"/>
                <w:color w:val="auto"/>
              </w:rPr>
            </w:pPr>
          </w:p>
        </w:tc>
        <w:tc>
          <w:tcPr>
            <w:tcW w:w="260" w:type="dxa"/>
            <w:vAlign w:val="bottom"/>
            <w:tcBorders>
              <w:top w:val="single" w:sz="8" w:color="F0FFFF"/>
              <w:bottom w:val="single" w:sz="8" w:color="F0FFFF"/>
            </w:tcBorders>
            <w:shd w:val="clear" w:color="auto" w:fill="F0FFFF"/>
          </w:tcPr>
          <w:p>
            <w:pPr>
              <w:spacing w:after="0"/>
              <w:rPr>
                <w:sz w:val="3"/>
                <w:szCs w:val="3"/>
                <w:color w:val="auto"/>
              </w:rPr>
            </w:pPr>
          </w:p>
        </w:tc>
        <w:tc>
          <w:tcPr>
            <w:tcW w:w="200" w:type="dxa"/>
            <w:vAlign w:val="bottom"/>
            <w:tcBorders>
              <w:top w:val="single" w:sz="8" w:color="F0FFFF"/>
              <w:bottom w:val="single" w:sz="8" w:color="F0FFFF"/>
            </w:tcBorders>
            <w:shd w:val="clear" w:color="auto" w:fill="F0FFFF"/>
          </w:tcPr>
          <w:p>
            <w:pPr>
              <w:spacing w:after="0"/>
              <w:rPr>
                <w:sz w:val="3"/>
                <w:szCs w:val="3"/>
                <w:color w:val="auto"/>
              </w:rPr>
            </w:pPr>
          </w:p>
        </w:tc>
        <w:tc>
          <w:tcPr>
            <w:tcW w:w="16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28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52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300" w:type="dxa"/>
            <w:vAlign w:val="bottom"/>
            <w:tcBorders>
              <w:top w:val="single" w:sz="8" w:color="F0FFFF"/>
              <w:bottom w:val="single" w:sz="8" w:color="F0FFFF"/>
            </w:tcBorders>
            <w:shd w:val="clear" w:color="auto" w:fill="F0FFFF"/>
          </w:tcPr>
          <w:p>
            <w:pPr>
              <w:spacing w:after="0"/>
              <w:rPr>
                <w:sz w:val="3"/>
                <w:szCs w:val="3"/>
                <w:color w:val="auto"/>
              </w:rPr>
            </w:pPr>
          </w:p>
        </w:tc>
        <w:tc>
          <w:tcPr>
            <w:tcW w:w="480" w:type="dxa"/>
            <w:vAlign w:val="bottom"/>
            <w:tcBorders>
              <w:top w:val="single" w:sz="8" w:color="F0FFFF"/>
              <w:bottom w:val="single" w:sz="8" w:color="F0FFFF"/>
            </w:tcBorders>
            <w:shd w:val="clear" w:color="auto" w:fill="F0FFFF"/>
          </w:tcPr>
          <w:p>
            <w:pPr>
              <w:spacing w:after="0"/>
              <w:rPr>
                <w:sz w:val="3"/>
                <w:szCs w:val="3"/>
                <w:color w:val="auto"/>
              </w:rPr>
            </w:pPr>
          </w:p>
        </w:tc>
        <w:tc>
          <w:tcPr>
            <w:tcW w:w="720" w:type="dxa"/>
            <w:vAlign w:val="bottom"/>
            <w:tcBorders>
              <w:top w:val="single" w:sz="8" w:color="F0FFFF"/>
              <w:bottom w:val="single" w:sz="8" w:color="F0FFFF"/>
            </w:tcBorders>
            <w:shd w:val="clear" w:color="auto" w:fill="F0FFFF"/>
          </w:tcPr>
          <w:p>
            <w:pPr>
              <w:spacing w:after="0"/>
              <w:rPr>
                <w:sz w:val="3"/>
                <w:szCs w:val="3"/>
                <w:color w:val="auto"/>
              </w:rPr>
            </w:pPr>
          </w:p>
        </w:tc>
        <w:tc>
          <w:tcPr>
            <w:tcW w:w="860" w:type="dxa"/>
            <w:vAlign w:val="bottom"/>
            <w:tcBorders>
              <w:top w:val="single" w:sz="8" w:color="F0FFFF"/>
              <w:bottom w:val="single" w:sz="8" w:color="F0FFFF"/>
            </w:tcBorders>
            <w:vMerge w:val="continue"/>
            <w:shd w:val="clear" w:color="auto" w:fill="F0FFFF"/>
          </w:tcPr>
          <w:p>
            <w:pPr>
              <w:spacing w:after="0"/>
              <w:rPr>
                <w:sz w:val="3"/>
                <w:szCs w:val="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5420" w:type="dxa"/>
            <w:vAlign w:val="bottom"/>
            <w:gridSpan w:val="43"/>
          </w:tcPr>
          <w:p>
            <w:pPr>
              <w:spacing w:after="0" w:line="104" w:lineRule="exact"/>
              <w:rPr>
                <w:sz w:val="20"/>
                <w:szCs w:val="20"/>
                <w:color w:val="auto"/>
              </w:rPr>
            </w:pPr>
            <w:r>
              <w:rPr>
                <w:rFonts w:ascii="Times New Roman" w:cs="Times New Roman" w:eastAsia="Times New Roman" w:hAnsi="Times New Roman"/>
                <w:sz w:val="11"/>
                <w:szCs w:val="11"/>
                <w:color w:val="0000EE"/>
              </w:rPr>
              <w:t>INDICES</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42"/>
        </w:trPr>
        <w:tc>
          <w:tcPr>
            <w:tcW w:w="20" w:type="dxa"/>
            <w:vAlign w:val="bottom"/>
            <w:tcBorders>
              <w:top w:val="single" w:sz="8" w:color="0000EE"/>
            </w:tcBorders>
          </w:tcPr>
          <w:p>
            <w:pPr>
              <w:spacing w:after="0"/>
              <w:rPr>
                <w:sz w:val="3"/>
                <w:szCs w:val="3"/>
                <w:color w:val="auto"/>
              </w:rPr>
            </w:pPr>
          </w:p>
        </w:tc>
        <w:tc>
          <w:tcPr>
            <w:tcW w:w="240" w:type="dxa"/>
            <w:vAlign w:val="bottom"/>
            <w:tcBorders>
              <w:top w:val="single" w:sz="8" w:color="0000EE"/>
            </w:tcBorders>
          </w:tcPr>
          <w:p>
            <w:pPr>
              <w:spacing w:after="0"/>
              <w:rPr>
                <w:sz w:val="3"/>
                <w:szCs w:val="3"/>
                <w:color w:val="auto"/>
              </w:rPr>
            </w:pPr>
          </w:p>
        </w:tc>
        <w:tc>
          <w:tcPr>
            <w:tcW w:w="20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40" w:type="dxa"/>
            <w:vAlign w:val="bottom"/>
            <w:shd w:val="clear" w:color="auto" w:fill="F0FFFF"/>
          </w:tcPr>
          <w:p>
            <w:pPr>
              <w:spacing w:after="0"/>
              <w:rPr>
                <w:sz w:val="10"/>
                <w:szCs w:val="10"/>
                <w:color w:val="auto"/>
              </w:rPr>
            </w:pPr>
          </w:p>
        </w:tc>
        <w:tc>
          <w:tcPr>
            <w:tcW w:w="5180" w:type="dxa"/>
            <w:vAlign w:val="bottom"/>
            <w:gridSpan w:val="42"/>
            <w:shd w:val="clear" w:color="auto" w:fill="F0FFFF"/>
          </w:tcPr>
          <w:p>
            <w:pPr>
              <w:spacing w:after="0" w:line="124" w:lineRule="exact"/>
              <w:rPr>
                <w:sz w:val="20"/>
                <w:szCs w:val="20"/>
                <w:color w:val="auto"/>
              </w:rPr>
            </w:pPr>
            <w:r>
              <w:rPr>
                <w:rFonts w:ascii="Times New Roman" w:cs="Times New Roman" w:eastAsia="Times New Roman" w:hAnsi="Times New Roman"/>
                <w:sz w:val="14"/>
                <w:szCs w:val="14"/>
                <w:color w:val="0000EE"/>
              </w:rPr>
              <w:t>Discontinuation or Substantial Change to an Index.</w:t>
            </w:r>
          </w:p>
        </w:tc>
        <w:tc>
          <w:tcPr>
            <w:tcW w:w="86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40" w:type="dxa"/>
            <w:vAlign w:val="bottom"/>
            <w:tcBorders>
              <w:top w:val="single" w:sz="8" w:color="F0FFFF"/>
              <w:bottom w:val="single" w:sz="8" w:color="F0FFFF"/>
            </w:tcBorders>
            <w:shd w:val="clear" w:color="auto" w:fill="F0FFFF"/>
          </w:tcPr>
          <w:p>
            <w:pPr>
              <w:spacing w:after="0"/>
              <w:rPr>
                <w:sz w:val="3"/>
                <w:szCs w:val="3"/>
                <w:color w:val="auto"/>
              </w:rPr>
            </w:pPr>
          </w:p>
        </w:tc>
        <w:tc>
          <w:tcPr>
            <w:tcW w:w="200" w:type="dxa"/>
            <w:vAlign w:val="bottom"/>
            <w:tcBorders>
              <w:top w:val="single" w:sz="8" w:color="0000EE"/>
              <w:bottom w:val="single" w:sz="8" w:color="F0FFFF"/>
            </w:tcBorders>
            <w:shd w:val="clear" w:color="auto" w:fill="F0FFFF"/>
          </w:tcPr>
          <w:p>
            <w:pPr>
              <w:spacing w:after="0"/>
              <w:rPr>
                <w:sz w:val="3"/>
                <w:szCs w:val="3"/>
                <w:color w:val="auto"/>
              </w:rPr>
            </w:pPr>
          </w:p>
        </w:tc>
        <w:tc>
          <w:tcPr>
            <w:tcW w:w="80" w:type="dxa"/>
            <w:vAlign w:val="bottom"/>
            <w:tcBorders>
              <w:top w:val="single" w:sz="8" w:color="0000EE"/>
              <w:bottom w:val="single" w:sz="8" w:color="F0FFFF"/>
            </w:tcBorders>
            <w:shd w:val="clear" w:color="auto" w:fill="F0FFFF"/>
          </w:tcPr>
          <w:p>
            <w:pPr>
              <w:spacing w:after="0"/>
              <w:rPr>
                <w:sz w:val="3"/>
                <w:szCs w:val="3"/>
                <w:color w:val="auto"/>
              </w:rPr>
            </w:pPr>
          </w:p>
        </w:tc>
        <w:tc>
          <w:tcPr>
            <w:tcW w:w="100" w:type="dxa"/>
            <w:vAlign w:val="bottom"/>
            <w:tcBorders>
              <w:top w:val="single" w:sz="8" w:color="0000EE"/>
              <w:bottom w:val="single" w:sz="8" w:color="F0FFFF"/>
            </w:tcBorders>
            <w:shd w:val="clear" w:color="auto" w:fill="F0FFFF"/>
          </w:tcPr>
          <w:p>
            <w:pPr>
              <w:spacing w:after="0"/>
              <w:rPr>
                <w:sz w:val="3"/>
                <w:szCs w:val="3"/>
                <w:color w:val="auto"/>
              </w:rPr>
            </w:pPr>
          </w:p>
        </w:tc>
        <w:tc>
          <w:tcPr>
            <w:tcW w:w="4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60" w:type="dxa"/>
            <w:vAlign w:val="bottom"/>
            <w:tcBorders>
              <w:top w:val="single" w:sz="8" w:color="0000EE"/>
              <w:bottom w:val="single" w:sz="8" w:color="F0FFFF"/>
            </w:tcBorders>
            <w:shd w:val="clear" w:color="auto" w:fill="F0FFFF"/>
          </w:tcPr>
          <w:p>
            <w:pPr>
              <w:spacing w:after="0"/>
              <w:rPr>
                <w:sz w:val="3"/>
                <w:szCs w:val="3"/>
                <w:color w:val="auto"/>
              </w:rPr>
            </w:pPr>
          </w:p>
        </w:tc>
        <w:tc>
          <w:tcPr>
            <w:tcW w:w="60" w:type="dxa"/>
            <w:vAlign w:val="bottom"/>
            <w:tcBorders>
              <w:top w:val="single" w:sz="8" w:color="0000EE"/>
              <w:bottom w:val="single" w:sz="8" w:color="F0FFFF"/>
            </w:tcBorders>
            <w:shd w:val="clear" w:color="auto" w:fill="F0FFFF"/>
          </w:tcPr>
          <w:p>
            <w:pPr>
              <w:spacing w:after="0"/>
              <w:rPr>
                <w:sz w:val="3"/>
                <w:szCs w:val="3"/>
                <w:color w:val="auto"/>
              </w:rPr>
            </w:pPr>
          </w:p>
        </w:tc>
        <w:tc>
          <w:tcPr>
            <w:tcW w:w="40" w:type="dxa"/>
            <w:vAlign w:val="bottom"/>
            <w:tcBorders>
              <w:top w:val="single" w:sz="8" w:color="0000EE"/>
              <w:bottom w:val="single" w:sz="8" w:color="F0FFFF"/>
            </w:tcBorders>
            <w:shd w:val="clear" w:color="auto" w:fill="F0FFFF"/>
          </w:tcPr>
          <w:p>
            <w:pPr>
              <w:spacing w:after="0"/>
              <w:rPr>
                <w:sz w:val="3"/>
                <w:szCs w:val="3"/>
                <w:color w:val="auto"/>
              </w:rPr>
            </w:pPr>
          </w:p>
        </w:tc>
        <w:tc>
          <w:tcPr>
            <w:tcW w:w="6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6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60" w:type="dxa"/>
            <w:vAlign w:val="bottom"/>
            <w:tcBorders>
              <w:top w:val="single" w:sz="8" w:color="0000EE"/>
              <w:bottom w:val="single" w:sz="8" w:color="F0FFFF"/>
            </w:tcBorders>
            <w:shd w:val="clear" w:color="auto" w:fill="F0FFFF"/>
          </w:tcPr>
          <w:p>
            <w:pPr>
              <w:spacing w:after="0"/>
              <w:rPr>
                <w:sz w:val="3"/>
                <w:szCs w:val="3"/>
                <w:color w:val="auto"/>
              </w:rPr>
            </w:pPr>
          </w:p>
        </w:tc>
        <w:tc>
          <w:tcPr>
            <w:tcW w:w="80" w:type="dxa"/>
            <w:vAlign w:val="bottom"/>
            <w:tcBorders>
              <w:top w:val="single" w:sz="8" w:color="0000EE"/>
              <w:bottom w:val="single" w:sz="8" w:color="F0FFFF"/>
            </w:tcBorders>
            <w:shd w:val="clear" w:color="auto" w:fill="F0FFFF"/>
          </w:tcPr>
          <w:p>
            <w:pPr>
              <w:spacing w:after="0"/>
              <w:rPr>
                <w:sz w:val="3"/>
                <w:szCs w:val="3"/>
                <w:color w:val="auto"/>
              </w:rPr>
            </w:pPr>
          </w:p>
        </w:tc>
        <w:tc>
          <w:tcPr>
            <w:tcW w:w="80" w:type="dxa"/>
            <w:vAlign w:val="bottom"/>
            <w:tcBorders>
              <w:top w:val="single" w:sz="8" w:color="0000EE"/>
              <w:bottom w:val="single" w:sz="8" w:color="F0FFFF"/>
            </w:tcBorders>
            <w:shd w:val="clear" w:color="auto" w:fill="F0FFFF"/>
          </w:tcPr>
          <w:p>
            <w:pPr>
              <w:spacing w:after="0"/>
              <w:rPr>
                <w:sz w:val="3"/>
                <w:szCs w:val="3"/>
                <w:color w:val="auto"/>
              </w:rPr>
            </w:pPr>
          </w:p>
        </w:tc>
        <w:tc>
          <w:tcPr>
            <w:tcW w:w="60" w:type="dxa"/>
            <w:vAlign w:val="bottom"/>
            <w:tcBorders>
              <w:top w:val="single" w:sz="8" w:color="0000EE"/>
              <w:bottom w:val="single" w:sz="8" w:color="F0FFFF"/>
            </w:tcBorders>
            <w:shd w:val="clear" w:color="auto" w:fill="F0FFFF"/>
          </w:tcPr>
          <w:p>
            <w:pPr>
              <w:spacing w:after="0"/>
              <w:rPr>
                <w:sz w:val="3"/>
                <w:szCs w:val="3"/>
                <w:color w:val="auto"/>
              </w:rPr>
            </w:pPr>
          </w:p>
        </w:tc>
        <w:tc>
          <w:tcPr>
            <w:tcW w:w="4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8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60" w:type="dxa"/>
            <w:vAlign w:val="bottom"/>
            <w:tcBorders>
              <w:top w:val="single" w:sz="8" w:color="0000EE"/>
              <w:bottom w:val="single" w:sz="8" w:color="F0FFFF"/>
            </w:tcBorders>
            <w:shd w:val="clear" w:color="auto" w:fill="F0FFFF"/>
          </w:tcPr>
          <w:p>
            <w:pPr>
              <w:spacing w:after="0"/>
              <w:rPr>
                <w:sz w:val="3"/>
                <w:szCs w:val="3"/>
                <w:color w:val="auto"/>
              </w:rPr>
            </w:pPr>
          </w:p>
        </w:tc>
        <w:tc>
          <w:tcPr>
            <w:tcW w:w="40" w:type="dxa"/>
            <w:vAlign w:val="bottom"/>
            <w:tcBorders>
              <w:top w:val="single" w:sz="8" w:color="0000EE"/>
              <w:bottom w:val="single" w:sz="8" w:color="F0FFFF"/>
            </w:tcBorders>
            <w:shd w:val="clear" w:color="auto" w:fill="F0FFFF"/>
          </w:tcPr>
          <w:p>
            <w:pPr>
              <w:spacing w:after="0"/>
              <w:rPr>
                <w:sz w:val="3"/>
                <w:szCs w:val="3"/>
                <w:color w:val="auto"/>
              </w:rPr>
            </w:pPr>
          </w:p>
        </w:tc>
        <w:tc>
          <w:tcPr>
            <w:tcW w:w="1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80" w:type="dxa"/>
            <w:vAlign w:val="bottom"/>
            <w:tcBorders>
              <w:top w:val="single" w:sz="8" w:color="0000EE"/>
              <w:bottom w:val="single" w:sz="8" w:color="F0FFFF"/>
            </w:tcBorders>
            <w:shd w:val="clear" w:color="auto" w:fill="F0FFFF"/>
          </w:tcPr>
          <w:p>
            <w:pPr>
              <w:spacing w:after="0"/>
              <w:rPr>
                <w:sz w:val="3"/>
                <w:szCs w:val="3"/>
                <w:color w:val="auto"/>
              </w:rPr>
            </w:pPr>
          </w:p>
        </w:tc>
        <w:tc>
          <w:tcPr>
            <w:tcW w:w="300" w:type="dxa"/>
            <w:vAlign w:val="bottom"/>
            <w:tcBorders>
              <w:top w:val="single" w:sz="8" w:color="0000EE"/>
              <w:bottom w:val="single" w:sz="8" w:color="F0FFFF"/>
            </w:tcBorders>
            <w:shd w:val="clear" w:color="auto" w:fill="F0FFFF"/>
          </w:tcPr>
          <w:p>
            <w:pPr>
              <w:spacing w:after="0"/>
              <w:rPr>
                <w:sz w:val="3"/>
                <w:szCs w:val="3"/>
                <w:color w:val="auto"/>
              </w:rPr>
            </w:pPr>
          </w:p>
        </w:tc>
        <w:tc>
          <w:tcPr>
            <w:tcW w:w="200" w:type="dxa"/>
            <w:vAlign w:val="bottom"/>
            <w:tcBorders>
              <w:top w:val="single" w:sz="8" w:color="0000EE"/>
              <w:bottom w:val="single" w:sz="8" w:color="F0FFFF"/>
            </w:tcBorders>
            <w:shd w:val="clear" w:color="auto" w:fill="F0FFFF"/>
          </w:tcPr>
          <w:p>
            <w:pPr>
              <w:spacing w:after="0"/>
              <w:rPr>
                <w:sz w:val="3"/>
                <w:szCs w:val="3"/>
                <w:color w:val="auto"/>
              </w:rPr>
            </w:pPr>
          </w:p>
        </w:tc>
        <w:tc>
          <w:tcPr>
            <w:tcW w:w="60" w:type="dxa"/>
            <w:vAlign w:val="bottom"/>
            <w:tcBorders>
              <w:top w:val="single" w:sz="8" w:color="0000EE"/>
              <w:bottom w:val="single" w:sz="8" w:color="F0FFFF"/>
            </w:tcBorders>
            <w:shd w:val="clear" w:color="auto" w:fill="F0FFFF"/>
          </w:tcPr>
          <w:p>
            <w:pPr>
              <w:spacing w:after="0"/>
              <w:rPr>
                <w:sz w:val="3"/>
                <w:szCs w:val="3"/>
                <w:color w:val="auto"/>
              </w:rPr>
            </w:pPr>
          </w:p>
        </w:tc>
        <w:tc>
          <w:tcPr>
            <w:tcW w:w="80" w:type="dxa"/>
            <w:vAlign w:val="bottom"/>
            <w:tcBorders>
              <w:top w:val="single" w:sz="8" w:color="0000EE"/>
              <w:bottom w:val="single" w:sz="8" w:color="F0FFFF"/>
            </w:tcBorders>
            <w:shd w:val="clear" w:color="auto" w:fill="F0FFFF"/>
          </w:tcPr>
          <w:p>
            <w:pPr>
              <w:spacing w:after="0"/>
              <w:rPr>
                <w:sz w:val="3"/>
                <w:szCs w:val="3"/>
                <w:color w:val="auto"/>
              </w:rPr>
            </w:pPr>
          </w:p>
        </w:tc>
        <w:tc>
          <w:tcPr>
            <w:tcW w:w="260" w:type="dxa"/>
            <w:vAlign w:val="bottom"/>
            <w:tcBorders>
              <w:top w:val="single" w:sz="8" w:color="0000EE"/>
              <w:bottom w:val="single" w:sz="8" w:color="F0FFFF"/>
            </w:tcBorders>
            <w:shd w:val="clear" w:color="auto" w:fill="F0FFFF"/>
          </w:tcPr>
          <w:p>
            <w:pPr>
              <w:spacing w:after="0"/>
              <w:rPr>
                <w:sz w:val="3"/>
                <w:szCs w:val="3"/>
                <w:color w:val="auto"/>
              </w:rPr>
            </w:pPr>
          </w:p>
        </w:tc>
        <w:tc>
          <w:tcPr>
            <w:tcW w:w="200" w:type="dxa"/>
            <w:vAlign w:val="bottom"/>
            <w:tcBorders>
              <w:top w:val="single" w:sz="8" w:color="0000EE"/>
              <w:bottom w:val="single" w:sz="8" w:color="F0FFFF"/>
            </w:tcBorders>
            <w:shd w:val="clear" w:color="auto" w:fill="F0FFFF"/>
          </w:tcPr>
          <w:p>
            <w:pPr>
              <w:spacing w:after="0"/>
              <w:rPr>
                <w:sz w:val="3"/>
                <w:szCs w:val="3"/>
                <w:color w:val="auto"/>
              </w:rPr>
            </w:pPr>
          </w:p>
        </w:tc>
        <w:tc>
          <w:tcPr>
            <w:tcW w:w="16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28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52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300" w:type="dxa"/>
            <w:vAlign w:val="bottom"/>
            <w:tcBorders>
              <w:top w:val="single" w:sz="8" w:color="F0FFFF"/>
              <w:bottom w:val="single" w:sz="8" w:color="F0FFFF"/>
            </w:tcBorders>
            <w:shd w:val="clear" w:color="auto" w:fill="F0FFFF"/>
          </w:tcPr>
          <w:p>
            <w:pPr>
              <w:spacing w:after="0"/>
              <w:rPr>
                <w:sz w:val="3"/>
                <w:szCs w:val="3"/>
                <w:color w:val="auto"/>
              </w:rPr>
            </w:pPr>
          </w:p>
        </w:tc>
        <w:tc>
          <w:tcPr>
            <w:tcW w:w="480" w:type="dxa"/>
            <w:vAlign w:val="bottom"/>
            <w:tcBorders>
              <w:top w:val="single" w:sz="8" w:color="F0FFFF"/>
              <w:bottom w:val="single" w:sz="8" w:color="F0FFFF"/>
            </w:tcBorders>
            <w:shd w:val="clear" w:color="auto" w:fill="F0FFFF"/>
          </w:tcPr>
          <w:p>
            <w:pPr>
              <w:spacing w:after="0"/>
              <w:rPr>
                <w:sz w:val="3"/>
                <w:szCs w:val="3"/>
                <w:color w:val="auto"/>
              </w:rPr>
            </w:pPr>
          </w:p>
        </w:tc>
        <w:tc>
          <w:tcPr>
            <w:tcW w:w="720" w:type="dxa"/>
            <w:vAlign w:val="bottom"/>
            <w:tcBorders>
              <w:top w:val="single" w:sz="8" w:color="F0FFFF"/>
              <w:bottom w:val="single" w:sz="8" w:color="F0FFFF"/>
            </w:tcBorders>
            <w:shd w:val="clear" w:color="auto" w:fill="F0FFFF"/>
          </w:tcPr>
          <w:p>
            <w:pPr>
              <w:spacing w:after="0"/>
              <w:rPr>
                <w:sz w:val="3"/>
                <w:szCs w:val="3"/>
                <w:color w:val="auto"/>
              </w:rPr>
            </w:pPr>
          </w:p>
        </w:tc>
        <w:tc>
          <w:tcPr>
            <w:tcW w:w="860" w:type="dxa"/>
            <w:vAlign w:val="bottom"/>
            <w:tcBorders>
              <w:top w:val="single" w:sz="8" w:color="F0FFFF"/>
              <w:bottom w:val="single" w:sz="8" w:color="F0FFFF"/>
            </w:tcBorders>
            <w:vMerge w:val="continue"/>
            <w:shd w:val="clear" w:color="auto" w:fill="F0FFFF"/>
          </w:tcPr>
          <w:p>
            <w:pPr>
              <w:spacing w:after="0"/>
              <w:rPr>
                <w:sz w:val="3"/>
                <w:szCs w:val="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180" w:type="dxa"/>
            <w:vAlign w:val="bottom"/>
            <w:gridSpan w:val="42"/>
          </w:tcPr>
          <w:p>
            <w:pPr>
              <w:spacing w:after="0" w:line="104" w:lineRule="exact"/>
              <w:rPr>
                <w:sz w:val="20"/>
                <w:szCs w:val="20"/>
                <w:color w:val="auto"/>
              </w:rPr>
            </w:pPr>
            <w:r>
              <w:rPr>
                <w:rFonts w:ascii="Times New Roman" w:cs="Times New Roman" w:eastAsia="Times New Roman" w:hAnsi="Times New Roman"/>
                <w:sz w:val="11"/>
                <w:szCs w:val="11"/>
                <w:color w:val="0000EE"/>
              </w:rPr>
              <w:t>Closing Value of the Index</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40" w:type="dxa"/>
            <w:vAlign w:val="bottom"/>
            <w:shd w:val="clear" w:color="auto" w:fill="F0FFFF"/>
          </w:tcPr>
          <w:p>
            <w:pPr>
              <w:spacing w:after="0"/>
              <w:rPr>
                <w:sz w:val="10"/>
                <w:szCs w:val="10"/>
                <w:color w:val="auto"/>
              </w:rPr>
            </w:pPr>
          </w:p>
        </w:tc>
        <w:tc>
          <w:tcPr>
            <w:tcW w:w="5180" w:type="dxa"/>
            <w:vAlign w:val="bottom"/>
            <w:gridSpan w:val="42"/>
            <w:shd w:val="clear" w:color="auto" w:fill="F0FFFF"/>
          </w:tcPr>
          <w:p>
            <w:pPr>
              <w:spacing w:after="0" w:line="124" w:lineRule="exact"/>
              <w:rPr>
                <w:sz w:val="20"/>
                <w:szCs w:val="20"/>
                <w:color w:val="auto"/>
              </w:rPr>
            </w:pPr>
            <w:r>
              <w:rPr>
                <w:rFonts w:ascii="Times New Roman" w:cs="Times New Roman" w:eastAsia="Times New Roman" w:hAnsi="Times New Roman"/>
                <w:sz w:val="14"/>
                <w:szCs w:val="14"/>
                <w:color w:val="0000EE"/>
              </w:rPr>
              <w:t>Segment Index Performance</w:t>
            </w:r>
          </w:p>
        </w:tc>
        <w:tc>
          <w:tcPr>
            <w:tcW w:w="86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40" w:type="dxa"/>
            <w:vAlign w:val="bottom"/>
            <w:tcBorders>
              <w:top w:val="single" w:sz="8" w:color="F0FFFF"/>
              <w:bottom w:val="single" w:sz="8" w:color="F0FFFF"/>
            </w:tcBorders>
            <w:shd w:val="clear" w:color="auto" w:fill="F0FFFF"/>
          </w:tcPr>
          <w:p>
            <w:pPr>
              <w:spacing w:after="0"/>
              <w:rPr>
                <w:sz w:val="3"/>
                <w:szCs w:val="3"/>
                <w:color w:val="auto"/>
              </w:rPr>
            </w:pPr>
          </w:p>
        </w:tc>
        <w:tc>
          <w:tcPr>
            <w:tcW w:w="200" w:type="dxa"/>
            <w:vAlign w:val="bottom"/>
            <w:tcBorders>
              <w:top w:val="single" w:sz="8" w:color="0000EE"/>
              <w:bottom w:val="single" w:sz="8" w:color="F0FFFF"/>
            </w:tcBorders>
            <w:shd w:val="clear" w:color="auto" w:fill="F0FFFF"/>
          </w:tcPr>
          <w:p>
            <w:pPr>
              <w:spacing w:after="0"/>
              <w:rPr>
                <w:sz w:val="3"/>
                <w:szCs w:val="3"/>
                <w:color w:val="auto"/>
              </w:rPr>
            </w:pPr>
          </w:p>
        </w:tc>
        <w:tc>
          <w:tcPr>
            <w:tcW w:w="80" w:type="dxa"/>
            <w:vAlign w:val="bottom"/>
            <w:tcBorders>
              <w:top w:val="single" w:sz="8" w:color="0000EE"/>
              <w:bottom w:val="single" w:sz="8" w:color="F0FFFF"/>
            </w:tcBorders>
            <w:shd w:val="clear" w:color="auto" w:fill="F0FFFF"/>
          </w:tcPr>
          <w:p>
            <w:pPr>
              <w:spacing w:after="0"/>
              <w:rPr>
                <w:sz w:val="3"/>
                <w:szCs w:val="3"/>
                <w:color w:val="auto"/>
              </w:rPr>
            </w:pPr>
          </w:p>
        </w:tc>
        <w:tc>
          <w:tcPr>
            <w:tcW w:w="100" w:type="dxa"/>
            <w:vAlign w:val="bottom"/>
            <w:tcBorders>
              <w:top w:val="single" w:sz="8" w:color="0000EE"/>
              <w:bottom w:val="single" w:sz="8" w:color="F0FFFF"/>
            </w:tcBorders>
            <w:shd w:val="clear" w:color="auto" w:fill="F0FFFF"/>
          </w:tcPr>
          <w:p>
            <w:pPr>
              <w:spacing w:after="0"/>
              <w:rPr>
                <w:sz w:val="3"/>
                <w:szCs w:val="3"/>
                <w:color w:val="auto"/>
              </w:rPr>
            </w:pPr>
          </w:p>
        </w:tc>
        <w:tc>
          <w:tcPr>
            <w:tcW w:w="4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60" w:type="dxa"/>
            <w:vAlign w:val="bottom"/>
            <w:tcBorders>
              <w:top w:val="single" w:sz="8" w:color="0000EE"/>
              <w:bottom w:val="single" w:sz="8" w:color="F0FFFF"/>
            </w:tcBorders>
            <w:shd w:val="clear" w:color="auto" w:fill="F0FFFF"/>
          </w:tcPr>
          <w:p>
            <w:pPr>
              <w:spacing w:after="0"/>
              <w:rPr>
                <w:sz w:val="3"/>
                <w:szCs w:val="3"/>
                <w:color w:val="auto"/>
              </w:rPr>
            </w:pPr>
          </w:p>
        </w:tc>
        <w:tc>
          <w:tcPr>
            <w:tcW w:w="60" w:type="dxa"/>
            <w:vAlign w:val="bottom"/>
            <w:tcBorders>
              <w:top w:val="single" w:sz="8" w:color="0000EE"/>
              <w:bottom w:val="single" w:sz="8" w:color="F0FFFF"/>
            </w:tcBorders>
            <w:shd w:val="clear" w:color="auto" w:fill="F0FFFF"/>
          </w:tcPr>
          <w:p>
            <w:pPr>
              <w:spacing w:after="0"/>
              <w:rPr>
                <w:sz w:val="3"/>
                <w:szCs w:val="3"/>
                <w:color w:val="auto"/>
              </w:rPr>
            </w:pPr>
          </w:p>
        </w:tc>
        <w:tc>
          <w:tcPr>
            <w:tcW w:w="40" w:type="dxa"/>
            <w:vAlign w:val="bottom"/>
            <w:tcBorders>
              <w:top w:val="single" w:sz="8" w:color="0000EE"/>
              <w:bottom w:val="single" w:sz="8" w:color="F0FFFF"/>
            </w:tcBorders>
            <w:shd w:val="clear" w:color="auto" w:fill="F0FFFF"/>
          </w:tcPr>
          <w:p>
            <w:pPr>
              <w:spacing w:after="0"/>
              <w:rPr>
                <w:sz w:val="3"/>
                <w:szCs w:val="3"/>
                <w:color w:val="auto"/>
              </w:rPr>
            </w:pPr>
          </w:p>
        </w:tc>
        <w:tc>
          <w:tcPr>
            <w:tcW w:w="6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6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60" w:type="dxa"/>
            <w:vAlign w:val="bottom"/>
            <w:tcBorders>
              <w:top w:val="single" w:sz="8" w:color="0000EE"/>
              <w:bottom w:val="single" w:sz="8" w:color="F0FFFF"/>
            </w:tcBorders>
            <w:shd w:val="clear" w:color="auto" w:fill="F0FFFF"/>
          </w:tcPr>
          <w:p>
            <w:pPr>
              <w:spacing w:after="0"/>
              <w:rPr>
                <w:sz w:val="3"/>
                <w:szCs w:val="3"/>
                <w:color w:val="auto"/>
              </w:rPr>
            </w:pPr>
          </w:p>
        </w:tc>
        <w:tc>
          <w:tcPr>
            <w:tcW w:w="80" w:type="dxa"/>
            <w:vAlign w:val="bottom"/>
            <w:tcBorders>
              <w:top w:val="single" w:sz="8" w:color="0000EE"/>
              <w:bottom w:val="single" w:sz="8" w:color="F0FFFF"/>
            </w:tcBorders>
            <w:shd w:val="clear" w:color="auto" w:fill="F0FFFF"/>
          </w:tcPr>
          <w:p>
            <w:pPr>
              <w:spacing w:after="0"/>
              <w:rPr>
                <w:sz w:val="3"/>
                <w:szCs w:val="3"/>
                <w:color w:val="auto"/>
              </w:rPr>
            </w:pPr>
          </w:p>
        </w:tc>
        <w:tc>
          <w:tcPr>
            <w:tcW w:w="80" w:type="dxa"/>
            <w:vAlign w:val="bottom"/>
            <w:tcBorders>
              <w:top w:val="single" w:sz="8" w:color="0000EE"/>
              <w:bottom w:val="single" w:sz="8" w:color="F0FFFF"/>
            </w:tcBorders>
            <w:shd w:val="clear" w:color="auto" w:fill="F0FFFF"/>
          </w:tcPr>
          <w:p>
            <w:pPr>
              <w:spacing w:after="0"/>
              <w:rPr>
                <w:sz w:val="3"/>
                <w:szCs w:val="3"/>
                <w:color w:val="auto"/>
              </w:rPr>
            </w:pPr>
          </w:p>
        </w:tc>
        <w:tc>
          <w:tcPr>
            <w:tcW w:w="60" w:type="dxa"/>
            <w:vAlign w:val="bottom"/>
            <w:tcBorders>
              <w:top w:val="single" w:sz="8" w:color="0000EE"/>
              <w:bottom w:val="single" w:sz="8" w:color="F0FFFF"/>
            </w:tcBorders>
            <w:shd w:val="clear" w:color="auto" w:fill="F0FFFF"/>
          </w:tcPr>
          <w:p>
            <w:pPr>
              <w:spacing w:after="0"/>
              <w:rPr>
                <w:sz w:val="3"/>
                <w:szCs w:val="3"/>
                <w:color w:val="auto"/>
              </w:rPr>
            </w:pPr>
          </w:p>
        </w:tc>
        <w:tc>
          <w:tcPr>
            <w:tcW w:w="4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8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60" w:type="dxa"/>
            <w:vAlign w:val="bottom"/>
            <w:tcBorders>
              <w:top w:val="single" w:sz="8" w:color="0000EE"/>
              <w:bottom w:val="single" w:sz="8" w:color="F0FFFF"/>
            </w:tcBorders>
            <w:shd w:val="clear" w:color="auto" w:fill="F0FFFF"/>
          </w:tcPr>
          <w:p>
            <w:pPr>
              <w:spacing w:after="0"/>
              <w:rPr>
                <w:sz w:val="3"/>
                <w:szCs w:val="3"/>
                <w:color w:val="auto"/>
              </w:rPr>
            </w:pPr>
          </w:p>
        </w:tc>
        <w:tc>
          <w:tcPr>
            <w:tcW w:w="40" w:type="dxa"/>
            <w:vAlign w:val="bottom"/>
            <w:tcBorders>
              <w:top w:val="single" w:sz="8" w:color="0000EE"/>
              <w:bottom w:val="single" w:sz="8" w:color="F0FFFF"/>
            </w:tcBorders>
            <w:shd w:val="clear" w:color="auto" w:fill="F0FFFF"/>
          </w:tcPr>
          <w:p>
            <w:pPr>
              <w:spacing w:after="0"/>
              <w:rPr>
                <w:sz w:val="3"/>
                <w:szCs w:val="3"/>
                <w:color w:val="auto"/>
              </w:rPr>
            </w:pPr>
          </w:p>
        </w:tc>
        <w:tc>
          <w:tcPr>
            <w:tcW w:w="1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80" w:type="dxa"/>
            <w:vAlign w:val="bottom"/>
            <w:tcBorders>
              <w:top w:val="single" w:sz="8" w:color="0000EE"/>
              <w:bottom w:val="single" w:sz="8" w:color="F0FFFF"/>
            </w:tcBorders>
            <w:shd w:val="clear" w:color="auto" w:fill="F0FFFF"/>
          </w:tcPr>
          <w:p>
            <w:pPr>
              <w:spacing w:after="0"/>
              <w:rPr>
                <w:sz w:val="3"/>
                <w:szCs w:val="3"/>
                <w:color w:val="auto"/>
              </w:rPr>
            </w:pPr>
          </w:p>
        </w:tc>
        <w:tc>
          <w:tcPr>
            <w:tcW w:w="300" w:type="dxa"/>
            <w:vAlign w:val="bottom"/>
            <w:tcBorders>
              <w:top w:val="single" w:sz="8" w:color="F0FFFF"/>
              <w:bottom w:val="single" w:sz="8" w:color="F0FFFF"/>
            </w:tcBorders>
            <w:shd w:val="clear" w:color="auto" w:fill="F0FFFF"/>
          </w:tcPr>
          <w:p>
            <w:pPr>
              <w:spacing w:after="0"/>
              <w:rPr>
                <w:sz w:val="3"/>
                <w:szCs w:val="3"/>
                <w:color w:val="auto"/>
              </w:rPr>
            </w:pPr>
          </w:p>
        </w:tc>
        <w:tc>
          <w:tcPr>
            <w:tcW w:w="200" w:type="dxa"/>
            <w:vAlign w:val="bottom"/>
            <w:tcBorders>
              <w:top w:val="single" w:sz="8" w:color="F0FFFF"/>
              <w:bottom w:val="single" w:sz="8" w:color="F0FFFF"/>
            </w:tcBorders>
            <w:shd w:val="clear" w:color="auto" w:fill="F0FFFF"/>
          </w:tcPr>
          <w:p>
            <w:pPr>
              <w:spacing w:after="0"/>
              <w:rPr>
                <w:sz w:val="3"/>
                <w:szCs w:val="3"/>
                <w:color w:val="auto"/>
              </w:rPr>
            </w:pPr>
          </w:p>
        </w:tc>
        <w:tc>
          <w:tcPr>
            <w:tcW w:w="60" w:type="dxa"/>
            <w:vAlign w:val="bottom"/>
            <w:tcBorders>
              <w:top w:val="single" w:sz="8" w:color="F0FFFF"/>
              <w:bottom w:val="single" w:sz="8" w:color="F0FFFF"/>
            </w:tcBorders>
            <w:shd w:val="clear" w:color="auto" w:fill="F0FFFF"/>
          </w:tcPr>
          <w:p>
            <w:pPr>
              <w:spacing w:after="0"/>
              <w:rPr>
                <w:sz w:val="3"/>
                <w:szCs w:val="3"/>
                <w:color w:val="auto"/>
              </w:rPr>
            </w:pPr>
          </w:p>
        </w:tc>
        <w:tc>
          <w:tcPr>
            <w:tcW w:w="80" w:type="dxa"/>
            <w:vAlign w:val="bottom"/>
            <w:tcBorders>
              <w:top w:val="single" w:sz="8" w:color="F0FFFF"/>
              <w:bottom w:val="single" w:sz="8" w:color="F0FFFF"/>
            </w:tcBorders>
            <w:shd w:val="clear" w:color="auto" w:fill="F0FFFF"/>
          </w:tcPr>
          <w:p>
            <w:pPr>
              <w:spacing w:after="0"/>
              <w:rPr>
                <w:sz w:val="3"/>
                <w:szCs w:val="3"/>
                <w:color w:val="auto"/>
              </w:rPr>
            </w:pPr>
          </w:p>
        </w:tc>
        <w:tc>
          <w:tcPr>
            <w:tcW w:w="260" w:type="dxa"/>
            <w:vAlign w:val="bottom"/>
            <w:tcBorders>
              <w:top w:val="single" w:sz="8" w:color="F0FFFF"/>
              <w:bottom w:val="single" w:sz="8" w:color="F0FFFF"/>
            </w:tcBorders>
            <w:shd w:val="clear" w:color="auto" w:fill="F0FFFF"/>
          </w:tcPr>
          <w:p>
            <w:pPr>
              <w:spacing w:after="0"/>
              <w:rPr>
                <w:sz w:val="3"/>
                <w:szCs w:val="3"/>
                <w:color w:val="auto"/>
              </w:rPr>
            </w:pPr>
          </w:p>
        </w:tc>
        <w:tc>
          <w:tcPr>
            <w:tcW w:w="200" w:type="dxa"/>
            <w:vAlign w:val="bottom"/>
            <w:tcBorders>
              <w:top w:val="single" w:sz="8" w:color="F0FFFF"/>
              <w:bottom w:val="single" w:sz="8" w:color="F0FFFF"/>
            </w:tcBorders>
            <w:shd w:val="clear" w:color="auto" w:fill="F0FFFF"/>
          </w:tcPr>
          <w:p>
            <w:pPr>
              <w:spacing w:after="0"/>
              <w:rPr>
                <w:sz w:val="3"/>
                <w:szCs w:val="3"/>
                <w:color w:val="auto"/>
              </w:rPr>
            </w:pPr>
          </w:p>
        </w:tc>
        <w:tc>
          <w:tcPr>
            <w:tcW w:w="16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28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52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300" w:type="dxa"/>
            <w:vAlign w:val="bottom"/>
            <w:tcBorders>
              <w:top w:val="single" w:sz="8" w:color="F0FFFF"/>
              <w:bottom w:val="single" w:sz="8" w:color="F0FFFF"/>
            </w:tcBorders>
            <w:shd w:val="clear" w:color="auto" w:fill="F0FFFF"/>
          </w:tcPr>
          <w:p>
            <w:pPr>
              <w:spacing w:after="0"/>
              <w:rPr>
                <w:sz w:val="3"/>
                <w:szCs w:val="3"/>
                <w:color w:val="auto"/>
              </w:rPr>
            </w:pPr>
          </w:p>
        </w:tc>
        <w:tc>
          <w:tcPr>
            <w:tcW w:w="480" w:type="dxa"/>
            <w:vAlign w:val="bottom"/>
            <w:tcBorders>
              <w:top w:val="single" w:sz="8" w:color="F0FFFF"/>
              <w:bottom w:val="single" w:sz="8" w:color="F0FFFF"/>
            </w:tcBorders>
            <w:shd w:val="clear" w:color="auto" w:fill="F0FFFF"/>
          </w:tcPr>
          <w:p>
            <w:pPr>
              <w:spacing w:after="0"/>
              <w:rPr>
                <w:sz w:val="3"/>
                <w:szCs w:val="3"/>
                <w:color w:val="auto"/>
              </w:rPr>
            </w:pPr>
          </w:p>
        </w:tc>
        <w:tc>
          <w:tcPr>
            <w:tcW w:w="720" w:type="dxa"/>
            <w:vAlign w:val="bottom"/>
            <w:tcBorders>
              <w:top w:val="single" w:sz="8" w:color="F0FFFF"/>
              <w:bottom w:val="single" w:sz="8" w:color="F0FFFF"/>
            </w:tcBorders>
            <w:shd w:val="clear" w:color="auto" w:fill="F0FFFF"/>
          </w:tcPr>
          <w:p>
            <w:pPr>
              <w:spacing w:after="0"/>
              <w:rPr>
                <w:sz w:val="3"/>
                <w:szCs w:val="3"/>
                <w:color w:val="auto"/>
              </w:rPr>
            </w:pPr>
          </w:p>
        </w:tc>
        <w:tc>
          <w:tcPr>
            <w:tcW w:w="860" w:type="dxa"/>
            <w:vAlign w:val="bottom"/>
            <w:tcBorders>
              <w:top w:val="single" w:sz="8" w:color="F0FFFF"/>
              <w:bottom w:val="single" w:sz="8" w:color="F0FFFF"/>
            </w:tcBorders>
            <w:vMerge w:val="continue"/>
            <w:shd w:val="clear" w:color="auto" w:fill="F0FFFF"/>
          </w:tcPr>
          <w:p>
            <w:pPr>
              <w:spacing w:after="0"/>
              <w:rPr>
                <w:sz w:val="3"/>
                <w:szCs w:val="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5420" w:type="dxa"/>
            <w:vAlign w:val="bottom"/>
            <w:gridSpan w:val="43"/>
          </w:tcPr>
          <w:p>
            <w:pPr>
              <w:spacing w:after="0" w:line="104" w:lineRule="exact"/>
              <w:rPr>
                <w:sz w:val="20"/>
                <w:szCs w:val="20"/>
                <w:color w:val="auto"/>
              </w:rPr>
            </w:pPr>
            <w:r>
              <w:rPr>
                <w:rFonts w:ascii="Times New Roman" w:cs="Times New Roman" w:eastAsia="Times New Roman" w:hAnsi="Times New Roman"/>
                <w:sz w:val="11"/>
                <w:szCs w:val="11"/>
                <w:color w:val="0000EE"/>
              </w:rPr>
              <w:t>BUFFER RATES</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42"/>
        </w:trPr>
        <w:tc>
          <w:tcPr>
            <w:tcW w:w="20" w:type="dxa"/>
            <w:vAlign w:val="bottom"/>
            <w:tcBorders>
              <w:top w:val="single" w:sz="8" w:color="0000EE"/>
            </w:tcBorders>
          </w:tcPr>
          <w:p>
            <w:pPr>
              <w:spacing w:after="0"/>
              <w:rPr>
                <w:sz w:val="3"/>
                <w:szCs w:val="3"/>
                <w:color w:val="auto"/>
              </w:rPr>
            </w:pPr>
          </w:p>
        </w:tc>
        <w:tc>
          <w:tcPr>
            <w:tcW w:w="240" w:type="dxa"/>
            <w:vAlign w:val="bottom"/>
            <w:tcBorders>
              <w:top w:val="single" w:sz="8" w:color="0000EE"/>
            </w:tcBorders>
          </w:tcPr>
          <w:p>
            <w:pPr>
              <w:spacing w:after="0"/>
              <w:rPr>
                <w:sz w:val="3"/>
                <w:szCs w:val="3"/>
                <w:color w:val="auto"/>
              </w:rPr>
            </w:pPr>
          </w:p>
        </w:tc>
        <w:tc>
          <w:tcPr>
            <w:tcW w:w="20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420" w:type="dxa"/>
            <w:vAlign w:val="bottom"/>
            <w:gridSpan w:val="43"/>
            <w:shd w:val="clear" w:color="auto" w:fill="F0FFFF"/>
          </w:tcPr>
          <w:p>
            <w:pPr>
              <w:spacing w:after="0" w:line="124" w:lineRule="exact"/>
              <w:rPr>
                <w:sz w:val="20"/>
                <w:szCs w:val="20"/>
                <w:color w:val="auto"/>
              </w:rPr>
            </w:pPr>
            <w:r>
              <w:rPr>
                <w:rFonts w:ascii="Times New Roman" w:cs="Times New Roman" w:eastAsia="Times New Roman" w:hAnsi="Times New Roman"/>
                <w:sz w:val="14"/>
                <w:szCs w:val="14"/>
                <w:color w:val="0000EE"/>
              </w:rPr>
              <w:t>CAP RATE</w:t>
            </w:r>
          </w:p>
        </w:tc>
        <w:tc>
          <w:tcPr>
            <w:tcW w:w="86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42"/>
        </w:trPr>
        <w:tc>
          <w:tcPr>
            <w:tcW w:w="20" w:type="dxa"/>
            <w:vAlign w:val="bottom"/>
            <w:tcBorders>
              <w:top w:val="single" w:sz="8" w:color="0000EE"/>
            </w:tcBorders>
          </w:tcPr>
          <w:p>
            <w:pPr>
              <w:spacing w:after="0"/>
              <w:rPr>
                <w:sz w:val="3"/>
                <w:szCs w:val="3"/>
                <w:color w:val="auto"/>
              </w:rPr>
            </w:pPr>
          </w:p>
        </w:tc>
        <w:tc>
          <w:tcPr>
            <w:tcW w:w="240" w:type="dxa"/>
            <w:vAlign w:val="bottom"/>
            <w:tcBorders>
              <w:top w:val="single" w:sz="8" w:color="0000EE"/>
              <w:bottom w:val="single" w:sz="8" w:color="F0FFFF"/>
            </w:tcBorders>
            <w:shd w:val="clear" w:color="auto" w:fill="F0FFFF"/>
          </w:tcPr>
          <w:p>
            <w:pPr>
              <w:spacing w:after="0"/>
              <w:rPr>
                <w:sz w:val="3"/>
                <w:szCs w:val="3"/>
                <w:color w:val="auto"/>
              </w:rPr>
            </w:pPr>
          </w:p>
        </w:tc>
        <w:tc>
          <w:tcPr>
            <w:tcW w:w="200" w:type="dxa"/>
            <w:vAlign w:val="bottom"/>
            <w:tcBorders>
              <w:top w:val="single" w:sz="8" w:color="0000EE"/>
              <w:bottom w:val="single" w:sz="8" w:color="F0FFFF"/>
            </w:tcBorders>
            <w:shd w:val="clear" w:color="auto" w:fill="F0FFFF"/>
          </w:tcPr>
          <w:p>
            <w:pPr>
              <w:spacing w:after="0"/>
              <w:rPr>
                <w:sz w:val="3"/>
                <w:szCs w:val="3"/>
                <w:color w:val="auto"/>
              </w:rPr>
            </w:pPr>
          </w:p>
        </w:tc>
        <w:tc>
          <w:tcPr>
            <w:tcW w:w="80" w:type="dxa"/>
            <w:vAlign w:val="bottom"/>
            <w:tcBorders>
              <w:top w:val="single" w:sz="8" w:color="0000EE"/>
              <w:bottom w:val="single" w:sz="8" w:color="F0FFFF"/>
            </w:tcBorders>
            <w:shd w:val="clear" w:color="auto" w:fill="F0FFFF"/>
          </w:tcPr>
          <w:p>
            <w:pPr>
              <w:spacing w:after="0"/>
              <w:rPr>
                <w:sz w:val="3"/>
                <w:szCs w:val="3"/>
                <w:color w:val="auto"/>
              </w:rPr>
            </w:pPr>
          </w:p>
        </w:tc>
        <w:tc>
          <w:tcPr>
            <w:tcW w:w="100" w:type="dxa"/>
            <w:vAlign w:val="bottom"/>
            <w:tcBorders>
              <w:top w:val="single" w:sz="8" w:color="0000EE"/>
              <w:bottom w:val="single" w:sz="8" w:color="F0FFFF"/>
            </w:tcBorders>
            <w:shd w:val="clear" w:color="auto" w:fill="F0FFFF"/>
          </w:tcPr>
          <w:p>
            <w:pPr>
              <w:spacing w:after="0"/>
              <w:rPr>
                <w:sz w:val="3"/>
                <w:szCs w:val="3"/>
                <w:color w:val="auto"/>
              </w:rPr>
            </w:pPr>
          </w:p>
        </w:tc>
        <w:tc>
          <w:tcPr>
            <w:tcW w:w="4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60" w:type="dxa"/>
            <w:vAlign w:val="bottom"/>
            <w:tcBorders>
              <w:top w:val="single" w:sz="8" w:color="F0FFFF"/>
              <w:bottom w:val="single" w:sz="8" w:color="F0FFFF"/>
            </w:tcBorders>
            <w:shd w:val="clear" w:color="auto" w:fill="F0FFFF"/>
          </w:tcPr>
          <w:p>
            <w:pPr>
              <w:spacing w:after="0"/>
              <w:rPr>
                <w:sz w:val="3"/>
                <w:szCs w:val="3"/>
                <w:color w:val="auto"/>
              </w:rPr>
            </w:pPr>
          </w:p>
        </w:tc>
        <w:tc>
          <w:tcPr>
            <w:tcW w:w="60" w:type="dxa"/>
            <w:vAlign w:val="bottom"/>
            <w:tcBorders>
              <w:top w:val="single" w:sz="8" w:color="F0FFFF"/>
              <w:bottom w:val="single" w:sz="8" w:color="F0FFFF"/>
            </w:tcBorders>
            <w:shd w:val="clear" w:color="auto" w:fill="F0FFFF"/>
          </w:tcPr>
          <w:p>
            <w:pPr>
              <w:spacing w:after="0"/>
              <w:rPr>
                <w:sz w:val="3"/>
                <w:szCs w:val="3"/>
                <w:color w:val="auto"/>
              </w:rPr>
            </w:pPr>
          </w:p>
        </w:tc>
        <w:tc>
          <w:tcPr>
            <w:tcW w:w="40" w:type="dxa"/>
            <w:vAlign w:val="bottom"/>
            <w:tcBorders>
              <w:top w:val="single" w:sz="8" w:color="F0FFFF"/>
              <w:bottom w:val="single" w:sz="8" w:color="F0FFFF"/>
            </w:tcBorders>
            <w:shd w:val="clear" w:color="auto" w:fill="F0FFFF"/>
          </w:tcPr>
          <w:p>
            <w:pPr>
              <w:spacing w:after="0"/>
              <w:rPr>
                <w:sz w:val="3"/>
                <w:szCs w:val="3"/>
                <w:color w:val="auto"/>
              </w:rPr>
            </w:pPr>
          </w:p>
        </w:tc>
        <w:tc>
          <w:tcPr>
            <w:tcW w:w="6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6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60" w:type="dxa"/>
            <w:vAlign w:val="bottom"/>
            <w:tcBorders>
              <w:top w:val="single" w:sz="8" w:color="F0FFFF"/>
              <w:bottom w:val="single" w:sz="8" w:color="F0FFFF"/>
            </w:tcBorders>
            <w:shd w:val="clear" w:color="auto" w:fill="F0FFFF"/>
          </w:tcPr>
          <w:p>
            <w:pPr>
              <w:spacing w:after="0"/>
              <w:rPr>
                <w:sz w:val="3"/>
                <w:szCs w:val="3"/>
                <w:color w:val="auto"/>
              </w:rPr>
            </w:pPr>
          </w:p>
        </w:tc>
        <w:tc>
          <w:tcPr>
            <w:tcW w:w="80" w:type="dxa"/>
            <w:vAlign w:val="bottom"/>
            <w:tcBorders>
              <w:top w:val="single" w:sz="8" w:color="F0FFFF"/>
              <w:bottom w:val="single" w:sz="8" w:color="F0FFFF"/>
            </w:tcBorders>
            <w:shd w:val="clear" w:color="auto" w:fill="F0FFFF"/>
          </w:tcPr>
          <w:p>
            <w:pPr>
              <w:spacing w:after="0"/>
              <w:rPr>
                <w:sz w:val="3"/>
                <w:szCs w:val="3"/>
                <w:color w:val="auto"/>
              </w:rPr>
            </w:pPr>
          </w:p>
        </w:tc>
        <w:tc>
          <w:tcPr>
            <w:tcW w:w="80" w:type="dxa"/>
            <w:vAlign w:val="bottom"/>
            <w:tcBorders>
              <w:top w:val="single" w:sz="8" w:color="F0FFFF"/>
              <w:bottom w:val="single" w:sz="8" w:color="F0FFFF"/>
            </w:tcBorders>
            <w:shd w:val="clear" w:color="auto" w:fill="F0FFFF"/>
          </w:tcPr>
          <w:p>
            <w:pPr>
              <w:spacing w:after="0"/>
              <w:rPr>
                <w:sz w:val="3"/>
                <w:szCs w:val="3"/>
                <w:color w:val="auto"/>
              </w:rPr>
            </w:pPr>
          </w:p>
        </w:tc>
        <w:tc>
          <w:tcPr>
            <w:tcW w:w="60" w:type="dxa"/>
            <w:vAlign w:val="bottom"/>
            <w:tcBorders>
              <w:top w:val="single" w:sz="8" w:color="F0FFFF"/>
              <w:bottom w:val="single" w:sz="8" w:color="F0FFFF"/>
            </w:tcBorders>
            <w:shd w:val="clear" w:color="auto" w:fill="F0FFFF"/>
          </w:tcPr>
          <w:p>
            <w:pPr>
              <w:spacing w:after="0"/>
              <w:rPr>
                <w:sz w:val="3"/>
                <w:szCs w:val="3"/>
                <w:color w:val="auto"/>
              </w:rPr>
            </w:pPr>
          </w:p>
        </w:tc>
        <w:tc>
          <w:tcPr>
            <w:tcW w:w="4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8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60" w:type="dxa"/>
            <w:vAlign w:val="bottom"/>
            <w:tcBorders>
              <w:top w:val="single" w:sz="8" w:color="F0FFFF"/>
              <w:bottom w:val="single" w:sz="8" w:color="F0FFFF"/>
            </w:tcBorders>
            <w:shd w:val="clear" w:color="auto" w:fill="F0FFFF"/>
          </w:tcPr>
          <w:p>
            <w:pPr>
              <w:spacing w:after="0"/>
              <w:rPr>
                <w:sz w:val="3"/>
                <w:szCs w:val="3"/>
                <w:color w:val="auto"/>
              </w:rPr>
            </w:pPr>
          </w:p>
        </w:tc>
        <w:tc>
          <w:tcPr>
            <w:tcW w:w="40" w:type="dxa"/>
            <w:vAlign w:val="bottom"/>
            <w:tcBorders>
              <w:top w:val="single" w:sz="8" w:color="F0FFFF"/>
              <w:bottom w:val="single" w:sz="8" w:color="F0FFFF"/>
            </w:tcBorders>
            <w:shd w:val="clear" w:color="auto" w:fill="F0FFFF"/>
          </w:tcPr>
          <w:p>
            <w:pPr>
              <w:spacing w:after="0"/>
              <w:rPr>
                <w:sz w:val="3"/>
                <w:szCs w:val="3"/>
                <w:color w:val="auto"/>
              </w:rPr>
            </w:pPr>
          </w:p>
        </w:tc>
        <w:tc>
          <w:tcPr>
            <w:tcW w:w="12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80" w:type="dxa"/>
            <w:vAlign w:val="bottom"/>
            <w:tcBorders>
              <w:top w:val="single" w:sz="8" w:color="F0FFFF"/>
              <w:bottom w:val="single" w:sz="8" w:color="F0FFFF"/>
            </w:tcBorders>
            <w:shd w:val="clear" w:color="auto" w:fill="F0FFFF"/>
          </w:tcPr>
          <w:p>
            <w:pPr>
              <w:spacing w:after="0"/>
              <w:rPr>
                <w:sz w:val="3"/>
                <w:szCs w:val="3"/>
                <w:color w:val="auto"/>
              </w:rPr>
            </w:pPr>
          </w:p>
        </w:tc>
        <w:tc>
          <w:tcPr>
            <w:tcW w:w="300" w:type="dxa"/>
            <w:vAlign w:val="bottom"/>
            <w:tcBorders>
              <w:top w:val="single" w:sz="8" w:color="F0FFFF"/>
              <w:bottom w:val="single" w:sz="8" w:color="F0FFFF"/>
            </w:tcBorders>
            <w:shd w:val="clear" w:color="auto" w:fill="F0FFFF"/>
          </w:tcPr>
          <w:p>
            <w:pPr>
              <w:spacing w:after="0"/>
              <w:rPr>
                <w:sz w:val="3"/>
                <w:szCs w:val="3"/>
                <w:color w:val="auto"/>
              </w:rPr>
            </w:pPr>
          </w:p>
        </w:tc>
        <w:tc>
          <w:tcPr>
            <w:tcW w:w="200" w:type="dxa"/>
            <w:vAlign w:val="bottom"/>
            <w:tcBorders>
              <w:top w:val="single" w:sz="8" w:color="F0FFFF"/>
              <w:bottom w:val="single" w:sz="8" w:color="F0FFFF"/>
            </w:tcBorders>
            <w:shd w:val="clear" w:color="auto" w:fill="F0FFFF"/>
          </w:tcPr>
          <w:p>
            <w:pPr>
              <w:spacing w:after="0"/>
              <w:rPr>
                <w:sz w:val="3"/>
                <w:szCs w:val="3"/>
                <w:color w:val="auto"/>
              </w:rPr>
            </w:pPr>
          </w:p>
        </w:tc>
        <w:tc>
          <w:tcPr>
            <w:tcW w:w="60" w:type="dxa"/>
            <w:vAlign w:val="bottom"/>
            <w:tcBorders>
              <w:top w:val="single" w:sz="8" w:color="F0FFFF"/>
              <w:bottom w:val="single" w:sz="8" w:color="F0FFFF"/>
            </w:tcBorders>
            <w:shd w:val="clear" w:color="auto" w:fill="F0FFFF"/>
          </w:tcPr>
          <w:p>
            <w:pPr>
              <w:spacing w:after="0"/>
              <w:rPr>
                <w:sz w:val="3"/>
                <w:szCs w:val="3"/>
                <w:color w:val="auto"/>
              </w:rPr>
            </w:pPr>
          </w:p>
        </w:tc>
        <w:tc>
          <w:tcPr>
            <w:tcW w:w="80" w:type="dxa"/>
            <w:vAlign w:val="bottom"/>
            <w:tcBorders>
              <w:top w:val="single" w:sz="8" w:color="F0FFFF"/>
              <w:bottom w:val="single" w:sz="8" w:color="F0FFFF"/>
            </w:tcBorders>
            <w:shd w:val="clear" w:color="auto" w:fill="F0FFFF"/>
          </w:tcPr>
          <w:p>
            <w:pPr>
              <w:spacing w:after="0"/>
              <w:rPr>
                <w:sz w:val="3"/>
                <w:szCs w:val="3"/>
                <w:color w:val="auto"/>
              </w:rPr>
            </w:pPr>
          </w:p>
        </w:tc>
        <w:tc>
          <w:tcPr>
            <w:tcW w:w="260" w:type="dxa"/>
            <w:vAlign w:val="bottom"/>
            <w:tcBorders>
              <w:top w:val="single" w:sz="8" w:color="F0FFFF"/>
              <w:bottom w:val="single" w:sz="8" w:color="F0FFFF"/>
            </w:tcBorders>
            <w:shd w:val="clear" w:color="auto" w:fill="F0FFFF"/>
          </w:tcPr>
          <w:p>
            <w:pPr>
              <w:spacing w:after="0"/>
              <w:rPr>
                <w:sz w:val="3"/>
                <w:szCs w:val="3"/>
                <w:color w:val="auto"/>
              </w:rPr>
            </w:pPr>
          </w:p>
        </w:tc>
        <w:tc>
          <w:tcPr>
            <w:tcW w:w="200" w:type="dxa"/>
            <w:vAlign w:val="bottom"/>
            <w:tcBorders>
              <w:top w:val="single" w:sz="8" w:color="F0FFFF"/>
              <w:bottom w:val="single" w:sz="8" w:color="F0FFFF"/>
            </w:tcBorders>
            <w:shd w:val="clear" w:color="auto" w:fill="F0FFFF"/>
          </w:tcPr>
          <w:p>
            <w:pPr>
              <w:spacing w:after="0"/>
              <w:rPr>
                <w:sz w:val="3"/>
                <w:szCs w:val="3"/>
                <w:color w:val="auto"/>
              </w:rPr>
            </w:pPr>
          </w:p>
        </w:tc>
        <w:tc>
          <w:tcPr>
            <w:tcW w:w="16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28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52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300" w:type="dxa"/>
            <w:vAlign w:val="bottom"/>
            <w:tcBorders>
              <w:top w:val="single" w:sz="8" w:color="F0FFFF"/>
              <w:bottom w:val="single" w:sz="8" w:color="F0FFFF"/>
            </w:tcBorders>
            <w:shd w:val="clear" w:color="auto" w:fill="F0FFFF"/>
          </w:tcPr>
          <w:p>
            <w:pPr>
              <w:spacing w:after="0"/>
              <w:rPr>
                <w:sz w:val="3"/>
                <w:szCs w:val="3"/>
                <w:color w:val="auto"/>
              </w:rPr>
            </w:pPr>
          </w:p>
        </w:tc>
        <w:tc>
          <w:tcPr>
            <w:tcW w:w="480" w:type="dxa"/>
            <w:vAlign w:val="bottom"/>
            <w:tcBorders>
              <w:top w:val="single" w:sz="8" w:color="F0FFFF"/>
              <w:bottom w:val="single" w:sz="8" w:color="F0FFFF"/>
            </w:tcBorders>
            <w:shd w:val="clear" w:color="auto" w:fill="F0FFFF"/>
          </w:tcPr>
          <w:p>
            <w:pPr>
              <w:spacing w:after="0"/>
              <w:rPr>
                <w:sz w:val="3"/>
                <w:szCs w:val="3"/>
                <w:color w:val="auto"/>
              </w:rPr>
            </w:pPr>
          </w:p>
        </w:tc>
        <w:tc>
          <w:tcPr>
            <w:tcW w:w="720" w:type="dxa"/>
            <w:vAlign w:val="bottom"/>
            <w:tcBorders>
              <w:top w:val="single" w:sz="8" w:color="F0FFFF"/>
              <w:bottom w:val="single" w:sz="8" w:color="F0FFFF"/>
            </w:tcBorders>
            <w:shd w:val="clear" w:color="auto" w:fill="F0FFFF"/>
          </w:tcPr>
          <w:p>
            <w:pPr>
              <w:spacing w:after="0"/>
              <w:rPr>
                <w:sz w:val="3"/>
                <w:szCs w:val="3"/>
                <w:color w:val="auto"/>
              </w:rPr>
            </w:pPr>
          </w:p>
        </w:tc>
        <w:tc>
          <w:tcPr>
            <w:tcW w:w="860" w:type="dxa"/>
            <w:vAlign w:val="bottom"/>
            <w:tcBorders>
              <w:top w:val="single" w:sz="8" w:color="F0FFFF"/>
              <w:bottom w:val="single" w:sz="8" w:color="F0FFFF"/>
            </w:tcBorders>
            <w:vMerge w:val="continue"/>
            <w:shd w:val="clear" w:color="auto" w:fill="F0FFFF"/>
          </w:tcPr>
          <w:p>
            <w:pPr>
              <w:spacing w:after="0"/>
              <w:rPr>
                <w:sz w:val="3"/>
                <w:szCs w:val="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5420" w:type="dxa"/>
            <w:vAlign w:val="bottom"/>
            <w:gridSpan w:val="43"/>
          </w:tcPr>
          <w:p>
            <w:pPr>
              <w:spacing w:after="0" w:line="104" w:lineRule="exact"/>
              <w:rPr>
                <w:sz w:val="20"/>
                <w:szCs w:val="20"/>
                <w:color w:val="auto"/>
              </w:rPr>
            </w:pPr>
            <w:r>
              <w:rPr>
                <w:rFonts w:ascii="Times New Roman" w:cs="Times New Roman" w:eastAsia="Times New Roman" w:hAnsi="Times New Roman"/>
                <w:sz w:val="11"/>
                <w:szCs w:val="11"/>
                <w:color w:val="0000EE"/>
              </w:rPr>
              <w:t>ADDITION OR DISCONTINUANCE OF AN INDEXED ACCOUNT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42"/>
        </w:trPr>
        <w:tc>
          <w:tcPr>
            <w:tcW w:w="20" w:type="dxa"/>
            <w:vAlign w:val="bottom"/>
            <w:tcBorders>
              <w:top w:val="single" w:sz="8" w:color="0000EE"/>
            </w:tcBorders>
          </w:tcPr>
          <w:p>
            <w:pPr>
              <w:spacing w:after="0"/>
              <w:rPr>
                <w:sz w:val="3"/>
                <w:szCs w:val="3"/>
                <w:color w:val="auto"/>
              </w:rPr>
            </w:pPr>
          </w:p>
        </w:tc>
        <w:tc>
          <w:tcPr>
            <w:tcW w:w="240" w:type="dxa"/>
            <w:vAlign w:val="bottom"/>
            <w:tcBorders>
              <w:top w:val="single" w:sz="8" w:color="0000EE"/>
            </w:tcBorders>
          </w:tcPr>
          <w:p>
            <w:pPr>
              <w:spacing w:after="0"/>
              <w:rPr>
                <w:sz w:val="3"/>
                <w:szCs w:val="3"/>
                <w:color w:val="auto"/>
              </w:rPr>
            </w:pPr>
          </w:p>
        </w:tc>
        <w:tc>
          <w:tcPr>
            <w:tcW w:w="20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300" w:type="dxa"/>
            <w:vAlign w:val="bottom"/>
            <w:tcBorders>
              <w:top w:val="single" w:sz="8" w:color="0000EE"/>
            </w:tcBorders>
          </w:tcPr>
          <w:p>
            <w:pPr>
              <w:spacing w:after="0"/>
              <w:rPr>
                <w:sz w:val="3"/>
                <w:szCs w:val="3"/>
                <w:color w:val="auto"/>
              </w:rPr>
            </w:pPr>
          </w:p>
        </w:tc>
        <w:tc>
          <w:tcPr>
            <w:tcW w:w="20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260" w:type="dxa"/>
            <w:vAlign w:val="bottom"/>
            <w:tcBorders>
              <w:top w:val="single" w:sz="8" w:color="0000EE"/>
            </w:tcBorders>
          </w:tcPr>
          <w:p>
            <w:pPr>
              <w:spacing w:after="0"/>
              <w:rPr>
                <w:sz w:val="3"/>
                <w:szCs w:val="3"/>
                <w:color w:val="auto"/>
              </w:rPr>
            </w:pPr>
          </w:p>
        </w:tc>
        <w:tc>
          <w:tcPr>
            <w:tcW w:w="20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8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520" w:type="dxa"/>
            <w:vAlign w:val="bottom"/>
            <w:tcBorders>
              <w:top w:val="single" w:sz="8" w:color="0000EE"/>
            </w:tcBorders>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420" w:type="dxa"/>
            <w:vAlign w:val="bottom"/>
            <w:gridSpan w:val="43"/>
            <w:shd w:val="clear" w:color="auto" w:fill="F0FFFF"/>
          </w:tcPr>
          <w:p>
            <w:pPr>
              <w:spacing w:after="0" w:line="124" w:lineRule="exact"/>
              <w:rPr>
                <w:sz w:val="20"/>
                <w:szCs w:val="20"/>
                <w:color w:val="auto"/>
              </w:rPr>
            </w:pPr>
            <w:r>
              <w:rPr>
                <w:rFonts w:ascii="Times New Roman" w:cs="Times New Roman" w:eastAsia="Times New Roman" w:hAnsi="Times New Roman"/>
                <w:sz w:val="14"/>
                <w:szCs w:val="14"/>
                <w:color w:val="0000EE"/>
              </w:rPr>
              <w:t>HOLDING ACCOUNTS</w:t>
            </w:r>
          </w:p>
        </w:tc>
        <w:tc>
          <w:tcPr>
            <w:tcW w:w="86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42"/>
        </w:trPr>
        <w:tc>
          <w:tcPr>
            <w:tcW w:w="20" w:type="dxa"/>
            <w:vAlign w:val="bottom"/>
            <w:tcBorders>
              <w:top w:val="single" w:sz="8" w:color="0000EE"/>
            </w:tcBorders>
          </w:tcPr>
          <w:p>
            <w:pPr>
              <w:spacing w:after="0"/>
              <w:rPr>
                <w:sz w:val="3"/>
                <w:szCs w:val="3"/>
                <w:color w:val="auto"/>
              </w:rPr>
            </w:pPr>
          </w:p>
        </w:tc>
        <w:tc>
          <w:tcPr>
            <w:tcW w:w="240" w:type="dxa"/>
            <w:vAlign w:val="bottom"/>
            <w:tcBorders>
              <w:top w:val="single" w:sz="8" w:color="0000EE"/>
              <w:bottom w:val="single" w:sz="8" w:color="F0FFFF"/>
            </w:tcBorders>
            <w:shd w:val="clear" w:color="auto" w:fill="F0FFFF"/>
          </w:tcPr>
          <w:p>
            <w:pPr>
              <w:spacing w:after="0"/>
              <w:rPr>
                <w:sz w:val="3"/>
                <w:szCs w:val="3"/>
                <w:color w:val="auto"/>
              </w:rPr>
            </w:pPr>
          </w:p>
        </w:tc>
        <w:tc>
          <w:tcPr>
            <w:tcW w:w="200" w:type="dxa"/>
            <w:vAlign w:val="bottom"/>
            <w:tcBorders>
              <w:top w:val="single" w:sz="8" w:color="0000EE"/>
              <w:bottom w:val="single" w:sz="8" w:color="F0FFFF"/>
            </w:tcBorders>
            <w:shd w:val="clear" w:color="auto" w:fill="F0FFFF"/>
          </w:tcPr>
          <w:p>
            <w:pPr>
              <w:spacing w:after="0"/>
              <w:rPr>
                <w:sz w:val="3"/>
                <w:szCs w:val="3"/>
                <w:color w:val="auto"/>
              </w:rPr>
            </w:pPr>
          </w:p>
        </w:tc>
        <w:tc>
          <w:tcPr>
            <w:tcW w:w="80" w:type="dxa"/>
            <w:vAlign w:val="bottom"/>
            <w:tcBorders>
              <w:top w:val="single" w:sz="8" w:color="0000EE"/>
              <w:bottom w:val="single" w:sz="8" w:color="F0FFFF"/>
            </w:tcBorders>
            <w:shd w:val="clear" w:color="auto" w:fill="F0FFFF"/>
          </w:tcPr>
          <w:p>
            <w:pPr>
              <w:spacing w:after="0"/>
              <w:rPr>
                <w:sz w:val="3"/>
                <w:szCs w:val="3"/>
                <w:color w:val="auto"/>
              </w:rPr>
            </w:pPr>
          </w:p>
        </w:tc>
        <w:tc>
          <w:tcPr>
            <w:tcW w:w="100" w:type="dxa"/>
            <w:vAlign w:val="bottom"/>
            <w:tcBorders>
              <w:top w:val="single" w:sz="8" w:color="0000EE"/>
              <w:bottom w:val="single" w:sz="8" w:color="F0FFFF"/>
            </w:tcBorders>
            <w:shd w:val="clear" w:color="auto" w:fill="F0FFFF"/>
          </w:tcPr>
          <w:p>
            <w:pPr>
              <w:spacing w:after="0"/>
              <w:rPr>
                <w:sz w:val="3"/>
                <w:szCs w:val="3"/>
                <w:color w:val="auto"/>
              </w:rPr>
            </w:pPr>
          </w:p>
        </w:tc>
        <w:tc>
          <w:tcPr>
            <w:tcW w:w="4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60" w:type="dxa"/>
            <w:vAlign w:val="bottom"/>
            <w:tcBorders>
              <w:top w:val="single" w:sz="8" w:color="0000EE"/>
              <w:bottom w:val="single" w:sz="8" w:color="F0FFFF"/>
            </w:tcBorders>
            <w:shd w:val="clear" w:color="auto" w:fill="F0FFFF"/>
          </w:tcPr>
          <w:p>
            <w:pPr>
              <w:spacing w:after="0"/>
              <w:rPr>
                <w:sz w:val="3"/>
                <w:szCs w:val="3"/>
                <w:color w:val="auto"/>
              </w:rPr>
            </w:pPr>
          </w:p>
        </w:tc>
        <w:tc>
          <w:tcPr>
            <w:tcW w:w="60" w:type="dxa"/>
            <w:vAlign w:val="bottom"/>
            <w:tcBorders>
              <w:top w:val="single" w:sz="8" w:color="0000EE"/>
              <w:bottom w:val="single" w:sz="8" w:color="F0FFFF"/>
            </w:tcBorders>
            <w:shd w:val="clear" w:color="auto" w:fill="F0FFFF"/>
          </w:tcPr>
          <w:p>
            <w:pPr>
              <w:spacing w:after="0"/>
              <w:rPr>
                <w:sz w:val="3"/>
                <w:szCs w:val="3"/>
                <w:color w:val="auto"/>
              </w:rPr>
            </w:pPr>
          </w:p>
        </w:tc>
        <w:tc>
          <w:tcPr>
            <w:tcW w:w="40" w:type="dxa"/>
            <w:vAlign w:val="bottom"/>
            <w:tcBorders>
              <w:top w:val="single" w:sz="8" w:color="0000EE"/>
              <w:bottom w:val="single" w:sz="8" w:color="F0FFFF"/>
            </w:tcBorders>
            <w:shd w:val="clear" w:color="auto" w:fill="F0FFFF"/>
          </w:tcPr>
          <w:p>
            <w:pPr>
              <w:spacing w:after="0"/>
              <w:rPr>
                <w:sz w:val="3"/>
                <w:szCs w:val="3"/>
                <w:color w:val="auto"/>
              </w:rPr>
            </w:pPr>
          </w:p>
        </w:tc>
        <w:tc>
          <w:tcPr>
            <w:tcW w:w="6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6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60" w:type="dxa"/>
            <w:vAlign w:val="bottom"/>
            <w:tcBorders>
              <w:top w:val="single" w:sz="8" w:color="0000EE"/>
              <w:bottom w:val="single" w:sz="8" w:color="F0FFFF"/>
            </w:tcBorders>
            <w:shd w:val="clear" w:color="auto" w:fill="F0FFFF"/>
          </w:tcPr>
          <w:p>
            <w:pPr>
              <w:spacing w:after="0"/>
              <w:rPr>
                <w:sz w:val="3"/>
                <w:szCs w:val="3"/>
                <w:color w:val="auto"/>
              </w:rPr>
            </w:pPr>
          </w:p>
        </w:tc>
        <w:tc>
          <w:tcPr>
            <w:tcW w:w="80" w:type="dxa"/>
            <w:vAlign w:val="bottom"/>
            <w:tcBorders>
              <w:top w:val="single" w:sz="8" w:color="0000EE"/>
              <w:bottom w:val="single" w:sz="8" w:color="F0FFFF"/>
            </w:tcBorders>
            <w:shd w:val="clear" w:color="auto" w:fill="F0FFFF"/>
          </w:tcPr>
          <w:p>
            <w:pPr>
              <w:spacing w:after="0"/>
              <w:rPr>
                <w:sz w:val="3"/>
                <w:szCs w:val="3"/>
                <w:color w:val="auto"/>
              </w:rPr>
            </w:pPr>
          </w:p>
        </w:tc>
        <w:tc>
          <w:tcPr>
            <w:tcW w:w="80" w:type="dxa"/>
            <w:vAlign w:val="bottom"/>
            <w:tcBorders>
              <w:top w:val="single" w:sz="8" w:color="0000EE"/>
              <w:bottom w:val="single" w:sz="8" w:color="F0FFFF"/>
            </w:tcBorders>
            <w:shd w:val="clear" w:color="auto" w:fill="F0FFFF"/>
          </w:tcPr>
          <w:p>
            <w:pPr>
              <w:spacing w:after="0"/>
              <w:rPr>
                <w:sz w:val="3"/>
                <w:szCs w:val="3"/>
                <w:color w:val="auto"/>
              </w:rPr>
            </w:pPr>
          </w:p>
        </w:tc>
        <w:tc>
          <w:tcPr>
            <w:tcW w:w="60" w:type="dxa"/>
            <w:vAlign w:val="bottom"/>
            <w:tcBorders>
              <w:top w:val="single" w:sz="8" w:color="0000EE"/>
              <w:bottom w:val="single" w:sz="8" w:color="F0FFFF"/>
            </w:tcBorders>
            <w:shd w:val="clear" w:color="auto" w:fill="F0FFFF"/>
          </w:tcPr>
          <w:p>
            <w:pPr>
              <w:spacing w:after="0"/>
              <w:rPr>
                <w:sz w:val="3"/>
                <w:szCs w:val="3"/>
                <w:color w:val="auto"/>
              </w:rPr>
            </w:pPr>
          </w:p>
        </w:tc>
        <w:tc>
          <w:tcPr>
            <w:tcW w:w="4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8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60" w:type="dxa"/>
            <w:vAlign w:val="bottom"/>
            <w:tcBorders>
              <w:top w:val="single" w:sz="8" w:color="F0FFFF"/>
              <w:bottom w:val="single" w:sz="8" w:color="F0FFFF"/>
            </w:tcBorders>
            <w:shd w:val="clear" w:color="auto" w:fill="F0FFFF"/>
          </w:tcPr>
          <w:p>
            <w:pPr>
              <w:spacing w:after="0"/>
              <w:rPr>
                <w:sz w:val="3"/>
                <w:szCs w:val="3"/>
                <w:color w:val="auto"/>
              </w:rPr>
            </w:pPr>
          </w:p>
        </w:tc>
        <w:tc>
          <w:tcPr>
            <w:tcW w:w="40" w:type="dxa"/>
            <w:vAlign w:val="bottom"/>
            <w:tcBorders>
              <w:top w:val="single" w:sz="8" w:color="F0FFFF"/>
              <w:bottom w:val="single" w:sz="8" w:color="F0FFFF"/>
            </w:tcBorders>
            <w:shd w:val="clear" w:color="auto" w:fill="F0FFFF"/>
          </w:tcPr>
          <w:p>
            <w:pPr>
              <w:spacing w:after="0"/>
              <w:rPr>
                <w:sz w:val="3"/>
                <w:szCs w:val="3"/>
                <w:color w:val="auto"/>
              </w:rPr>
            </w:pPr>
          </w:p>
        </w:tc>
        <w:tc>
          <w:tcPr>
            <w:tcW w:w="12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80" w:type="dxa"/>
            <w:vAlign w:val="bottom"/>
            <w:tcBorders>
              <w:top w:val="single" w:sz="8" w:color="F0FFFF"/>
              <w:bottom w:val="single" w:sz="8" w:color="F0FFFF"/>
            </w:tcBorders>
            <w:shd w:val="clear" w:color="auto" w:fill="F0FFFF"/>
          </w:tcPr>
          <w:p>
            <w:pPr>
              <w:spacing w:after="0"/>
              <w:rPr>
                <w:sz w:val="3"/>
                <w:szCs w:val="3"/>
                <w:color w:val="auto"/>
              </w:rPr>
            </w:pPr>
          </w:p>
        </w:tc>
        <w:tc>
          <w:tcPr>
            <w:tcW w:w="300" w:type="dxa"/>
            <w:vAlign w:val="bottom"/>
            <w:tcBorders>
              <w:top w:val="single" w:sz="8" w:color="F0FFFF"/>
              <w:bottom w:val="single" w:sz="8" w:color="F0FFFF"/>
            </w:tcBorders>
            <w:shd w:val="clear" w:color="auto" w:fill="F0FFFF"/>
          </w:tcPr>
          <w:p>
            <w:pPr>
              <w:spacing w:after="0"/>
              <w:rPr>
                <w:sz w:val="3"/>
                <w:szCs w:val="3"/>
                <w:color w:val="auto"/>
              </w:rPr>
            </w:pPr>
          </w:p>
        </w:tc>
        <w:tc>
          <w:tcPr>
            <w:tcW w:w="200" w:type="dxa"/>
            <w:vAlign w:val="bottom"/>
            <w:tcBorders>
              <w:top w:val="single" w:sz="8" w:color="F0FFFF"/>
              <w:bottom w:val="single" w:sz="8" w:color="F0FFFF"/>
            </w:tcBorders>
            <w:shd w:val="clear" w:color="auto" w:fill="F0FFFF"/>
          </w:tcPr>
          <w:p>
            <w:pPr>
              <w:spacing w:after="0"/>
              <w:rPr>
                <w:sz w:val="3"/>
                <w:szCs w:val="3"/>
                <w:color w:val="auto"/>
              </w:rPr>
            </w:pPr>
          </w:p>
        </w:tc>
        <w:tc>
          <w:tcPr>
            <w:tcW w:w="60" w:type="dxa"/>
            <w:vAlign w:val="bottom"/>
            <w:tcBorders>
              <w:top w:val="single" w:sz="8" w:color="F0FFFF"/>
              <w:bottom w:val="single" w:sz="8" w:color="F0FFFF"/>
            </w:tcBorders>
            <w:shd w:val="clear" w:color="auto" w:fill="F0FFFF"/>
          </w:tcPr>
          <w:p>
            <w:pPr>
              <w:spacing w:after="0"/>
              <w:rPr>
                <w:sz w:val="3"/>
                <w:szCs w:val="3"/>
                <w:color w:val="auto"/>
              </w:rPr>
            </w:pPr>
          </w:p>
        </w:tc>
        <w:tc>
          <w:tcPr>
            <w:tcW w:w="80" w:type="dxa"/>
            <w:vAlign w:val="bottom"/>
            <w:tcBorders>
              <w:top w:val="single" w:sz="8" w:color="F0FFFF"/>
              <w:bottom w:val="single" w:sz="8" w:color="F0FFFF"/>
            </w:tcBorders>
            <w:shd w:val="clear" w:color="auto" w:fill="F0FFFF"/>
          </w:tcPr>
          <w:p>
            <w:pPr>
              <w:spacing w:after="0"/>
              <w:rPr>
                <w:sz w:val="3"/>
                <w:szCs w:val="3"/>
                <w:color w:val="auto"/>
              </w:rPr>
            </w:pPr>
          </w:p>
        </w:tc>
        <w:tc>
          <w:tcPr>
            <w:tcW w:w="260" w:type="dxa"/>
            <w:vAlign w:val="bottom"/>
            <w:tcBorders>
              <w:top w:val="single" w:sz="8" w:color="F0FFFF"/>
              <w:bottom w:val="single" w:sz="8" w:color="F0FFFF"/>
            </w:tcBorders>
            <w:shd w:val="clear" w:color="auto" w:fill="F0FFFF"/>
          </w:tcPr>
          <w:p>
            <w:pPr>
              <w:spacing w:after="0"/>
              <w:rPr>
                <w:sz w:val="3"/>
                <w:szCs w:val="3"/>
                <w:color w:val="auto"/>
              </w:rPr>
            </w:pPr>
          </w:p>
        </w:tc>
        <w:tc>
          <w:tcPr>
            <w:tcW w:w="200" w:type="dxa"/>
            <w:vAlign w:val="bottom"/>
            <w:tcBorders>
              <w:top w:val="single" w:sz="8" w:color="F0FFFF"/>
              <w:bottom w:val="single" w:sz="8" w:color="F0FFFF"/>
            </w:tcBorders>
            <w:shd w:val="clear" w:color="auto" w:fill="F0FFFF"/>
          </w:tcPr>
          <w:p>
            <w:pPr>
              <w:spacing w:after="0"/>
              <w:rPr>
                <w:sz w:val="3"/>
                <w:szCs w:val="3"/>
                <w:color w:val="auto"/>
              </w:rPr>
            </w:pPr>
          </w:p>
        </w:tc>
        <w:tc>
          <w:tcPr>
            <w:tcW w:w="16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28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52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300" w:type="dxa"/>
            <w:vAlign w:val="bottom"/>
            <w:tcBorders>
              <w:top w:val="single" w:sz="8" w:color="F0FFFF"/>
              <w:bottom w:val="single" w:sz="8" w:color="F0FFFF"/>
            </w:tcBorders>
            <w:shd w:val="clear" w:color="auto" w:fill="F0FFFF"/>
          </w:tcPr>
          <w:p>
            <w:pPr>
              <w:spacing w:after="0"/>
              <w:rPr>
                <w:sz w:val="3"/>
                <w:szCs w:val="3"/>
                <w:color w:val="auto"/>
              </w:rPr>
            </w:pPr>
          </w:p>
        </w:tc>
        <w:tc>
          <w:tcPr>
            <w:tcW w:w="480" w:type="dxa"/>
            <w:vAlign w:val="bottom"/>
            <w:tcBorders>
              <w:top w:val="single" w:sz="8" w:color="F0FFFF"/>
              <w:bottom w:val="single" w:sz="8" w:color="F0FFFF"/>
            </w:tcBorders>
            <w:shd w:val="clear" w:color="auto" w:fill="F0FFFF"/>
          </w:tcPr>
          <w:p>
            <w:pPr>
              <w:spacing w:after="0"/>
              <w:rPr>
                <w:sz w:val="3"/>
                <w:szCs w:val="3"/>
                <w:color w:val="auto"/>
              </w:rPr>
            </w:pPr>
          </w:p>
        </w:tc>
        <w:tc>
          <w:tcPr>
            <w:tcW w:w="720" w:type="dxa"/>
            <w:vAlign w:val="bottom"/>
            <w:tcBorders>
              <w:top w:val="single" w:sz="8" w:color="F0FFFF"/>
              <w:bottom w:val="single" w:sz="8" w:color="F0FFFF"/>
            </w:tcBorders>
            <w:shd w:val="clear" w:color="auto" w:fill="F0FFFF"/>
          </w:tcPr>
          <w:p>
            <w:pPr>
              <w:spacing w:after="0"/>
              <w:rPr>
                <w:sz w:val="3"/>
                <w:szCs w:val="3"/>
                <w:color w:val="auto"/>
              </w:rPr>
            </w:pPr>
          </w:p>
        </w:tc>
        <w:tc>
          <w:tcPr>
            <w:tcW w:w="860" w:type="dxa"/>
            <w:vAlign w:val="bottom"/>
            <w:tcBorders>
              <w:top w:val="single" w:sz="8" w:color="F0FFFF"/>
              <w:bottom w:val="single" w:sz="8" w:color="F0FFFF"/>
            </w:tcBorders>
            <w:vMerge w:val="continue"/>
            <w:shd w:val="clear" w:color="auto" w:fill="F0FFFF"/>
          </w:tcPr>
          <w:p>
            <w:pPr>
              <w:spacing w:after="0"/>
              <w:rPr>
                <w:sz w:val="3"/>
                <w:szCs w:val="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5420" w:type="dxa"/>
            <w:vAlign w:val="bottom"/>
            <w:gridSpan w:val="43"/>
          </w:tcPr>
          <w:p>
            <w:pPr>
              <w:spacing w:after="0" w:line="104" w:lineRule="exact"/>
              <w:rPr>
                <w:sz w:val="20"/>
                <w:szCs w:val="20"/>
                <w:color w:val="auto"/>
              </w:rPr>
            </w:pPr>
            <w:r>
              <w:rPr>
                <w:rFonts w:ascii="Times New Roman" w:cs="Times New Roman" w:eastAsia="Times New Roman" w:hAnsi="Times New Roman"/>
                <w:sz w:val="11"/>
                <w:szCs w:val="11"/>
                <w:color w:val="0000EE"/>
              </w:rPr>
              <w:t>SEGMENT VALUE</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42"/>
        </w:trPr>
        <w:tc>
          <w:tcPr>
            <w:tcW w:w="20" w:type="dxa"/>
            <w:vAlign w:val="bottom"/>
            <w:tcBorders>
              <w:top w:val="single" w:sz="8" w:color="0000EE"/>
            </w:tcBorders>
          </w:tcPr>
          <w:p>
            <w:pPr>
              <w:spacing w:after="0"/>
              <w:rPr>
                <w:sz w:val="3"/>
                <w:szCs w:val="3"/>
                <w:color w:val="auto"/>
              </w:rPr>
            </w:pPr>
          </w:p>
        </w:tc>
        <w:tc>
          <w:tcPr>
            <w:tcW w:w="240" w:type="dxa"/>
            <w:vAlign w:val="bottom"/>
            <w:tcBorders>
              <w:top w:val="single" w:sz="8" w:color="0000EE"/>
            </w:tcBorders>
          </w:tcPr>
          <w:p>
            <w:pPr>
              <w:spacing w:after="0"/>
              <w:rPr>
                <w:sz w:val="3"/>
                <w:szCs w:val="3"/>
                <w:color w:val="auto"/>
              </w:rPr>
            </w:pPr>
          </w:p>
        </w:tc>
        <w:tc>
          <w:tcPr>
            <w:tcW w:w="20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420" w:type="dxa"/>
            <w:vAlign w:val="bottom"/>
            <w:gridSpan w:val="43"/>
            <w:shd w:val="clear" w:color="auto" w:fill="F0FFFF"/>
          </w:tcPr>
          <w:p>
            <w:pPr>
              <w:spacing w:after="0" w:line="124" w:lineRule="exact"/>
              <w:rPr>
                <w:sz w:val="20"/>
                <w:szCs w:val="20"/>
                <w:color w:val="auto"/>
              </w:rPr>
            </w:pPr>
            <w:r>
              <w:rPr>
                <w:rFonts w:ascii="Times New Roman" w:cs="Times New Roman" w:eastAsia="Times New Roman" w:hAnsi="Times New Roman"/>
                <w:sz w:val="14"/>
                <w:szCs w:val="14"/>
                <w:color w:val="0000EE"/>
              </w:rPr>
              <w:t>CALCULATING YOUR SEGMENT VALUE ON A SEGMENT MATURITY DATE</w:t>
            </w:r>
          </w:p>
        </w:tc>
        <w:tc>
          <w:tcPr>
            <w:tcW w:w="86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42"/>
        </w:trPr>
        <w:tc>
          <w:tcPr>
            <w:tcW w:w="20" w:type="dxa"/>
            <w:vAlign w:val="bottom"/>
            <w:tcBorders>
              <w:top w:val="single" w:sz="8" w:color="0000EE"/>
            </w:tcBorders>
          </w:tcPr>
          <w:p>
            <w:pPr>
              <w:spacing w:after="0"/>
              <w:rPr>
                <w:sz w:val="3"/>
                <w:szCs w:val="3"/>
                <w:color w:val="auto"/>
              </w:rPr>
            </w:pPr>
          </w:p>
        </w:tc>
        <w:tc>
          <w:tcPr>
            <w:tcW w:w="240" w:type="dxa"/>
            <w:vAlign w:val="bottom"/>
            <w:tcBorders>
              <w:top w:val="single" w:sz="8" w:color="0000EE"/>
              <w:bottom w:val="single" w:sz="8" w:color="F0FFFF"/>
            </w:tcBorders>
            <w:shd w:val="clear" w:color="auto" w:fill="F0FFFF"/>
          </w:tcPr>
          <w:p>
            <w:pPr>
              <w:spacing w:after="0"/>
              <w:rPr>
                <w:sz w:val="3"/>
                <w:szCs w:val="3"/>
                <w:color w:val="auto"/>
              </w:rPr>
            </w:pPr>
          </w:p>
        </w:tc>
        <w:tc>
          <w:tcPr>
            <w:tcW w:w="200" w:type="dxa"/>
            <w:vAlign w:val="bottom"/>
            <w:tcBorders>
              <w:top w:val="single" w:sz="8" w:color="0000EE"/>
              <w:bottom w:val="single" w:sz="8" w:color="F0FFFF"/>
            </w:tcBorders>
            <w:shd w:val="clear" w:color="auto" w:fill="F0FFFF"/>
          </w:tcPr>
          <w:p>
            <w:pPr>
              <w:spacing w:after="0"/>
              <w:rPr>
                <w:sz w:val="3"/>
                <w:szCs w:val="3"/>
                <w:color w:val="auto"/>
              </w:rPr>
            </w:pPr>
          </w:p>
        </w:tc>
        <w:tc>
          <w:tcPr>
            <w:tcW w:w="80" w:type="dxa"/>
            <w:vAlign w:val="bottom"/>
            <w:tcBorders>
              <w:top w:val="single" w:sz="8" w:color="0000EE"/>
              <w:bottom w:val="single" w:sz="8" w:color="F0FFFF"/>
            </w:tcBorders>
            <w:shd w:val="clear" w:color="auto" w:fill="F0FFFF"/>
          </w:tcPr>
          <w:p>
            <w:pPr>
              <w:spacing w:after="0"/>
              <w:rPr>
                <w:sz w:val="3"/>
                <w:szCs w:val="3"/>
                <w:color w:val="auto"/>
              </w:rPr>
            </w:pPr>
          </w:p>
        </w:tc>
        <w:tc>
          <w:tcPr>
            <w:tcW w:w="100" w:type="dxa"/>
            <w:vAlign w:val="bottom"/>
            <w:tcBorders>
              <w:top w:val="single" w:sz="8" w:color="0000EE"/>
              <w:bottom w:val="single" w:sz="8" w:color="F0FFFF"/>
            </w:tcBorders>
            <w:shd w:val="clear" w:color="auto" w:fill="F0FFFF"/>
          </w:tcPr>
          <w:p>
            <w:pPr>
              <w:spacing w:after="0"/>
              <w:rPr>
                <w:sz w:val="3"/>
                <w:szCs w:val="3"/>
                <w:color w:val="auto"/>
              </w:rPr>
            </w:pPr>
          </w:p>
        </w:tc>
        <w:tc>
          <w:tcPr>
            <w:tcW w:w="4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60" w:type="dxa"/>
            <w:vAlign w:val="bottom"/>
            <w:tcBorders>
              <w:top w:val="single" w:sz="8" w:color="0000EE"/>
              <w:bottom w:val="single" w:sz="8" w:color="F0FFFF"/>
            </w:tcBorders>
            <w:shd w:val="clear" w:color="auto" w:fill="F0FFFF"/>
          </w:tcPr>
          <w:p>
            <w:pPr>
              <w:spacing w:after="0"/>
              <w:rPr>
                <w:sz w:val="3"/>
                <w:szCs w:val="3"/>
                <w:color w:val="auto"/>
              </w:rPr>
            </w:pPr>
          </w:p>
        </w:tc>
        <w:tc>
          <w:tcPr>
            <w:tcW w:w="60" w:type="dxa"/>
            <w:vAlign w:val="bottom"/>
            <w:tcBorders>
              <w:top w:val="single" w:sz="8" w:color="0000EE"/>
              <w:bottom w:val="single" w:sz="8" w:color="F0FFFF"/>
            </w:tcBorders>
            <w:shd w:val="clear" w:color="auto" w:fill="F0FFFF"/>
          </w:tcPr>
          <w:p>
            <w:pPr>
              <w:spacing w:after="0"/>
              <w:rPr>
                <w:sz w:val="3"/>
                <w:szCs w:val="3"/>
                <w:color w:val="auto"/>
              </w:rPr>
            </w:pPr>
          </w:p>
        </w:tc>
        <w:tc>
          <w:tcPr>
            <w:tcW w:w="40" w:type="dxa"/>
            <w:vAlign w:val="bottom"/>
            <w:tcBorders>
              <w:top w:val="single" w:sz="8" w:color="0000EE"/>
              <w:bottom w:val="single" w:sz="8" w:color="F0FFFF"/>
            </w:tcBorders>
            <w:shd w:val="clear" w:color="auto" w:fill="F0FFFF"/>
          </w:tcPr>
          <w:p>
            <w:pPr>
              <w:spacing w:after="0"/>
              <w:rPr>
                <w:sz w:val="3"/>
                <w:szCs w:val="3"/>
                <w:color w:val="auto"/>
              </w:rPr>
            </w:pPr>
          </w:p>
        </w:tc>
        <w:tc>
          <w:tcPr>
            <w:tcW w:w="6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6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60" w:type="dxa"/>
            <w:vAlign w:val="bottom"/>
            <w:tcBorders>
              <w:top w:val="single" w:sz="8" w:color="0000EE"/>
              <w:bottom w:val="single" w:sz="8" w:color="F0FFFF"/>
            </w:tcBorders>
            <w:shd w:val="clear" w:color="auto" w:fill="F0FFFF"/>
          </w:tcPr>
          <w:p>
            <w:pPr>
              <w:spacing w:after="0"/>
              <w:rPr>
                <w:sz w:val="3"/>
                <w:szCs w:val="3"/>
                <w:color w:val="auto"/>
              </w:rPr>
            </w:pPr>
          </w:p>
        </w:tc>
        <w:tc>
          <w:tcPr>
            <w:tcW w:w="80" w:type="dxa"/>
            <w:vAlign w:val="bottom"/>
            <w:tcBorders>
              <w:top w:val="single" w:sz="8" w:color="0000EE"/>
              <w:bottom w:val="single" w:sz="8" w:color="F0FFFF"/>
            </w:tcBorders>
            <w:shd w:val="clear" w:color="auto" w:fill="F0FFFF"/>
          </w:tcPr>
          <w:p>
            <w:pPr>
              <w:spacing w:after="0"/>
              <w:rPr>
                <w:sz w:val="3"/>
                <w:szCs w:val="3"/>
                <w:color w:val="auto"/>
              </w:rPr>
            </w:pPr>
          </w:p>
        </w:tc>
        <w:tc>
          <w:tcPr>
            <w:tcW w:w="80" w:type="dxa"/>
            <w:vAlign w:val="bottom"/>
            <w:tcBorders>
              <w:top w:val="single" w:sz="8" w:color="0000EE"/>
              <w:bottom w:val="single" w:sz="8" w:color="F0FFFF"/>
            </w:tcBorders>
            <w:shd w:val="clear" w:color="auto" w:fill="F0FFFF"/>
          </w:tcPr>
          <w:p>
            <w:pPr>
              <w:spacing w:after="0"/>
              <w:rPr>
                <w:sz w:val="3"/>
                <w:szCs w:val="3"/>
                <w:color w:val="auto"/>
              </w:rPr>
            </w:pPr>
          </w:p>
        </w:tc>
        <w:tc>
          <w:tcPr>
            <w:tcW w:w="60" w:type="dxa"/>
            <w:vAlign w:val="bottom"/>
            <w:tcBorders>
              <w:top w:val="single" w:sz="8" w:color="0000EE"/>
              <w:bottom w:val="single" w:sz="8" w:color="F0FFFF"/>
            </w:tcBorders>
            <w:shd w:val="clear" w:color="auto" w:fill="F0FFFF"/>
          </w:tcPr>
          <w:p>
            <w:pPr>
              <w:spacing w:after="0"/>
              <w:rPr>
                <w:sz w:val="3"/>
                <w:szCs w:val="3"/>
                <w:color w:val="auto"/>
              </w:rPr>
            </w:pPr>
          </w:p>
        </w:tc>
        <w:tc>
          <w:tcPr>
            <w:tcW w:w="4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8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60" w:type="dxa"/>
            <w:vAlign w:val="bottom"/>
            <w:tcBorders>
              <w:top w:val="single" w:sz="8" w:color="0000EE"/>
              <w:bottom w:val="single" w:sz="8" w:color="F0FFFF"/>
            </w:tcBorders>
            <w:shd w:val="clear" w:color="auto" w:fill="F0FFFF"/>
          </w:tcPr>
          <w:p>
            <w:pPr>
              <w:spacing w:after="0"/>
              <w:rPr>
                <w:sz w:val="3"/>
                <w:szCs w:val="3"/>
                <w:color w:val="auto"/>
              </w:rPr>
            </w:pPr>
          </w:p>
        </w:tc>
        <w:tc>
          <w:tcPr>
            <w:tcW w:w="40" w:type="dxa"/>
            <w:vAlign w:val="bottom"/>
            <w:tcBorders>
              <w:top w:val="single" w:sz="8" w:color="0000EE"/>
              <w:bottom w:val="single" w:sz="8" w:color="F0FFFF"/>
            </w:tcBorders>
            <w:shd w:val="clear" w:color="auto" w:fill="F0FFFF"/>
          </w:tcPr>
          <w:p>
            <w:pPr>
              <w:spacing w:after="0"/>
              <w:rPr>
                <w:sz w:val="3"/>
                <w:szCs w:val="3"/>
                <w:color w:val="auto"/>
              </w:rPr>
            </w:pPr>
          </w:p>
        </w:tc>
        <w:tc>
          <w:tcPr>
            <w:tcW w:w="1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80" w:type="dxa"/>
            <w:vAlign w:val="bottom"/>
            <w:tcBorders>
              <w:top w:val="single" w:sz="8" w:color="0000EE"/>
              <w:bottom w:val="single" w:sz="8" w:color="F0FFFF"/>
            </w:tcBorders>
            <w:shd w:val="clear" w:color="auto" w:fill="F0FFFF"/>
          </w:tcPr>
          <w:p>
            <w:pPr>
              <w:spacing w:after="0"/>
              <w:rPr>
                <w:sz w:val="3"/>
                <w:szCs w:val="3"/>
                <w:color w:val="auto"/>
              </w:rPr>
            </w:pPr>
          </w:p>
        </w:tc>
        <w:tc>
          <w:tcPr>
            <w:tcW w:w="300" w:type="dxa"/>
            <w:vAlign w:val="bottom"/>
            <w:tcBorders>
              <w:top w:val="single" w:sz="8" w:color="0000EE"/>
              <w:bottom w:val="single" w:sz="8" w:color="F0FFFF"/>
            </w:tcBorders>
            <w:shd w:val="clear" w:color="auto" w:fill="F0FFFF"/>
          </w:tcPr>
          <w:p>
            <w:pPr>
              <w:spacing w:after="0"/>
              <w:rPr>
                <w:sz w:val="3"/>
                <w:szCs w:val="3"/>
                <w:color w:val="auto"/>
              </w:rPr>
            </w:pPr>
          </w:p>
        </w:tc>
        <w:tc>
          <w:tcPr>
            <w:tcW w:w="200" w:type="dxa"/>
            <w:vAlign w:val="bottom"/>
            <w:tcBorders>
              <w:top w:val="single" w:sz="8" w:color="0000EE"/>
              <w:bottom w:val="single" w:sz="8" w:color="F0FFFF"/>
            </w:tcBorders>
            <w:shd w:val="clear" w:color="auto" w:fill="F0FFFF"/>
          </w:tcPr>
          <w:p>
            <w:pPr>
              <w:spacing w:after="0"/>
              <w:rPr>
                <w:sz w:val="3"/>
                <w:szCs w:val="3"/>
                <w:color w:val="auto"/>
              </w:rPr>
            </w:pPr>
          </w:p>
        </w:tc>
        <w:tc>
          <w:tcPr>
            <w:tcW w:w="60" w:type="dxa"/>
            <w:vAlign w:val="bottom"/>
            <w:tcBorders>
              <w:top w:val="single" w:sz="8" w:color="0000EE"/>
              <w:bottom w:val="single" w:sz="8" w:color="F0FFFF"/>
            </w:tcBorders>
            <w:shd w:val="clear" w:color="auto" w:fill="F0FFFF"/>
          </w:tcPr>
          <w:p>
            <w:pPr>
              <w:spacing w:after="0"/>
              <w:rPr>
                <w:sz w:val="3"/>
                <w:szCs w:val="3"/>
                <w:color w:val="auto"/>
              </w:rPr>
            </w:pPr>
          </w:p>
        </w:tc>
        <w:tc>
          <w:tcPr>
            <w:tcW w:w="80" w:type="dxa"/>
            <w:vAlign w:val="bottom"/>
            <w:tcBorders>
              <w:top w:val="single" w:sz="8" w:color="0000EE"/>
              <w:bottom w:val="single" w:sz="8" w:color="F0FFFF"/>
            </w:tcBorders>
            <w:shd w:val="clear" w:color="auto" w:fill="F0FFFF"/>
          </w:tcPr>
          <w:p>
            <w:pPr>
              <w:spacing w:after="0"/>
              <w:rPr>
                <w:sz w:val="3"/>
                <w:szCs w:val="3"/>
                <w:color w:val="auto"/>
              </w:rPr>
            </w:pPr>
          </w:p>
        </w:tc>
        <w:tc>
          <w:tcPr>
            <w:tcW w:w="260" w:type="dxa"/>
            <w:vAlign w:val="bottom"/>
            <w:tcBorders>
              <w:top w:val="single" w:sz="8" w:color="0000EE"/>
              <w:bottom w:val="single" w:sz="8" w:color="F0FFFF"/>
            </w:tcBorders>
            <w:shd w:val="clear" w:color="auto" w:fill="F0FFFF"/>
          </w:tcPr>
          <w:p>
            <w:pPr>
              <w:spacing w:after="0"/>
              <w:rPr>
                <w:sz w:val="3"/>
                <w:szCs w:val="3"/>
                <w:color w:val="auto"/>
              </w:rPr>
            </w:pPr>
          </w:p>
        </w:tc>
        <w:tc>
          <w:tcPr>
            <w:tcW w:w="200" w:type="dxa"/>
            <w:vAlign w:val="bottom"/>
            <w:tcBorders>
              <w:top w:val="single" w:sz="8" w:color="0000EE"/>
              <w:bottom w:val="single" w:sz="8" w:color="F0FFFF"/>
            </w:tcBorders>
            <w:shd w:val="clear" w:color="auto" w:fill="F0FFFF"/>
          </w:tcPr>
          <w:p>
            <w:pPr>
              <w:spacing w:after="0"/>
              <w:rPr>
                <w:sz w:val="3"/>
                <w:szCs w:val="3"/>
                <w:color w:val="auto"/>
              </w:rPr>
            </w:pPr>
          </w:p>
        </w:tc>
        <w:tc>
          <w:tcPr>
            <w:tcW w:w="16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28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5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300" w:type="dxa"/>
            <w:vAlign w:val="bottom"/>
            <w:tcBorders>
              <w:top w:val="single" w:sz="8" w:color="0000EE"/>
              <w:bottom w:val="single" w:sz="8" w:color="F0FFFF"/>
            </w:tcBorders>
            <w:shd w:val="clear" w:color="auto" w:fill="F0FFFF"/>
          </w:tcPr>
          <w:p>
            <w:pPr>
              <w:spacing w:after="0"/>
              <w:rPr>
                <w:sz w:val="3"/>
                <w:szCs w:val="3"/>
                <w:color w:val="auto"/>
              </w:rPr>
            </w:pPr>
          </w:p>
        </w:tc>
        <w:tc>
          <w:tcPr>
            <w:tcW w:w="480" w:type="dxa"/>
            <w:vAlign w:val="bottom"/>
            <w:tcBorders>
              <w:top w:val="single" w:sz="8" w:color="0000EE"/>
              <w:bottom w:val="single" w:sz="8" w:color="F0FFFF"/>
            </w:tcBorders>
            <w:shd w:val="clear" w:color="auto" w:fill="F0FFFF"/>
          </w:tcPr>
          <w:p>
            <w:pPr>
              <w:spacing w:after="0"/>
              <w:rPr>
                <w:sz w:val="3"/>
                <w:szCs w:val="3"/>
                <w:color w:val="auto"/>
              </w:rPr>
            </w:pPr>
          </w:p>
        </w:tc>
        <w:tc>
          <w:tcPr>
            <w:tcW w:w="720" w:type="dxa"/>
            <w:vAlign w:val="bottom"/>
            <w:tcBorders>
              <w:top w:val="single" w:sz="8" w:color="F0FFFF"/>
              <w:bottom w:val="single" w:sz="8" w:color="F0FFFF"/>
            </w:tcBorders>
            <w:shd w:val="clear" w:color="auto" w:fill="F0FFFF"/>
          </w:tcPr>
          <w:p>
            <w:pPr>
              <w:spacing w:after="0"/>
              <w:rPr>
                <w:sz w:val="3"/>
                <w:szCs w:val="3"/>
                <w:color w:val="auto"/>
              </w:rPr>
            </w:pPr>
          </w:p>
        </w:tc>
        <w:tc>
          <w:tcPr>
            <w:tcW w:w="860" w:type="dxa"/>
            <w:vAlign w:val="bottom"/>
            <w:tcBorders>
              <w:top w:val="single" w:sz="8" w:color="F0FFFF"/>
              <w:bottom w:val="single" w:sz="8" w:color="F0FFFF"/>
            </w:tcBorders>
            <w:vMerge w:val="continue"/>
            <w:shd w:val="clear" w:color="auto" w:fill="F0FFFF"/>
          </w:tcPr>
          <w:p>
            <w:pPr>
              <w:spacing w:after="0"/>
              <w:rPr>
                <w:sz w:val="3"/>
                <w:szCs w:val="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5420" w:type="dxa"/>
            <w:vAlign w:val="bottom"/>
            <w:gridSpan w:val="43"/>
          </w:tcPr>
          <w:p>
            <w:pPr>
              <w:spacing w:after="0" w:line="104" w:lineRule="exact"/>
              <w:rPr>
                <w:sz w:val="20"/>
                <w:szCs w:val="20"/>
                <w:color w:val="auto"/>
              </w:rPr>
            </w:pPr>
            <w:r>
              <w:rPr>
                <w:rFonts w:ascii="Times New Roman" w:cs="Times New Roman" w:eastAsia="Times New Roman" w:hAnsi="Times New Roman"/>
                <w:sz w:val="11"/>
                <w:szCs w:val="11"/>
                <w:color w:val="0000EE"/>
              </w:rPr>
              <w:t>INTERIM SEGMENT VALUE CALCULATION</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42"/>
        </w:trPr>
        <w:tc>
          <w:tcPr>
            <w:tcW w:w="20" w:type="dxa"/>
            <w:vAlign w:val="bottom"/>
            <w:tcBorders>
              <w:top w:val="single" w:sz="8" w:color="0000EE"/>
            </w:tcBorders>
          </w:tcPr>
          <w:p>
            <w:pPr>
              <w:spacing w:after="0"/>
              <w:rPr>
                <w:sz w:val="3"/>
                <w:szCs w:val="3"/>
                <w:color w:val="auto"/>
              </w:rPr>
            </w:pPr>
          </w:p>
        </w:tc>
        <w:tc>
          <w:tcPr>
            <w:tcW w:w="240" w:type="dxa"/>
            <w:vAlign w:val="bottom"/>
            <w:tcBorders>
              <w:top w:val="single" w:sz="8" w:color="0000EE"/>
            </w:tcBorders>
          </w:tcPr>
          <w:p>
            <w:pPr>
              <w:spacing w:after="0"/>
              <w:rPr>
                <w:sz w:val="3"/>
                <w:szCs w:val="3"/>
                <w:color w:val="auto"/>
              </w:rPr>
            </w:pPr>
          </w:p>
        </w:tc>
        <w:tc>
          <w:tcPr>
            <w:tcW w:w="20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300" w:type="dxa"/>
            <w:vAlign w:val="bottom"/>
            <w:tcBorders>
              <w:top w:val="single" w:sz="8" w:color="0000EE"/>
            </w:tcBorders>
          </w:tcPr>
          <w:p>
            <w:pPr>
              <w:spacing w:after="0"/>
              <w:rPr>
                <w:sz w:val="3"/>
                <w:szCs w:val="3"/>
                <w:color w:val="auto"/>
              </w:rPr>
            </w:pPr>
          </w:p>
        </w:tc>
        <w:tc>
          <w:tcPr>
            <w:tcW w:w="20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260" w:type="dxa"/>
            <w:vAlign w:val="bottom"/>
            <w:tcBorders>
              <w:top w:val="single" w:sz="8" w:color="0000EE"/>
            </w:tcBorders>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40" w:type="dxa"/>
            <w:vAlign w:val="bottom"/>
            <w:shd w:val="clear" w:color="auto" w:fill="F0FFFF"/>
          </w:tcPr>
          <w:p>
            <w:pPr>
              <w:spacing w:after="0"/>
              <w:rPr>
                <w:sz w:val="10"/>
                <w:szCs w:val="10"/>
                <w:color w:val="auto"/>
              </w:rPr>
            </w:pPr>
          </w:p>
        </w:tc>
        <w:tc>
          <w:tcPr>
            <w:tcW w:w="5180" w:type="dxa"/>
            <w:vAlign w:val="bottom"/>
            <w:gridSpan w:val="42"/>
            <w:shd w:val="clear" w:color="auto" w:fill="F0FFFF"/>
          </w:tcPr>
          <w:p>
            <w:pPr>
              <w:spacing w:after="0" w:line="124" w:lineRule="exact"/>
              <w:rPr>
                <w:sz w:val="20"/>
                <w:szCs w:val="20"/>
                <w:color w:val="auto"/>
              </w:rPr>
            </w:pPr>
            <w:r>
              <w:rPr>
                <w:rFonts w:ascii="Times New Roman" w:cs="Times New Roman" w:eastAsia="Times New Roman" w:hAnsi="Times New Roman"/>
                <w:sz w:val="14"/>
                <w:szCs w:val="14"/>
                <w:color w:val="0000EE"/>
              </w:rPr>
              <w:t>Accrued Index Return</w:t>
            </w:r>
          </w:p>
        </w:tc>
        <w:tc>
          <w:tcPr>
            <w:tcW w:w="86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40" w:type="dxa"/>
            <w:vAlign w:val="bottom"/>
            <w:tcBorders>
              <w:top w:val="single" w:sz="8" w:color="F0FFFF"/>
              <w:bottom w:val="single" w:sz="8" w:color="F0FFFF"/>
            </w:tcBorders>
            <w:shd w:val="clear" w:color="auto" w:fill="F0FFFF"/>
          </w:tcPr>
          <w:p>
            <w:pPr>
              <w:spacing w:after="0"/>
              <w:rPr>
                <w:sz w:val="3"/>
                <w:szCs w:val="3"/>
                <w:color w:val="auto"/>
              </w:rPr>
            </w:pPr>
          </w:p>
        </w:tc>
        <w:tc>
          <w:tcPr>
            <w:tcW w:w="200" w:type="dxa"/>
            <w:vAlign w:val="bottom"/>
            <w:tcBorders>
              <w:top w:val="single" w:sz="8" w:color="0000EE"/>
              <w:bottom w:val="single" w:sz="8" w:color="F0FFFF"/>
            </w:tcBorders>
            <w:shd w:val="clear" w:color="auto" w:fill="F0FFFF"/>
          </w:tcPr>
          <w:p>
            <w:pPr>
              <w:spacing w:after="0"/>
              <w:rPr>
                <w:sz w:val="3"/>
                <w:szCs w:val="3"/>
                <w:color w:val="auto"/>
              </w:rPr>
            </w:pPr>
          </w:p>
        </w:tc>
        <w:tc>
          <w:tcPr>
            <w:tcW w:w="80" w:type="dxa"/>
            <w:vAlign w:val="bottom"/>
            <w:tcBorders>
              <w:top w:val="single" w:sz="8" w:color="0000EE"/>
              <w:bottom w:val="single" w:sz="8" w:color="F0FFFF"/>
            </w:tcBorders>
            <w:shd w:val="clear" w:color="auto" w:fill="F0FFFF"/>
          </w:tcPr>
          <w:p>
            <w:pPr>
              <w:spacing w:after="0"/>
              <w:rPr>
                <w:sz w:val="3"/>
                <w:szCs w:val="3"/>
                <w:color w:val="auto"/>
              </w:rPr>
            </w:pPr>
          </w:p>
        </w:tc>
        <w:tc>
          <w:tcPr>
            <w:tcW w:w="100" w:type="dxa"/>
            <w:vAlign w:val="bottom"/>
            <w:tcBorders>
              <w:top w:val="single" w:sz="8" w:color="0000EE"/>
              <w:bottom w:val="single" w:sz="8" w:color="F0FFFF"/>
            </w:tcBorders>
            <w:shd w:val="clear" w:color="auto" w:fill="F0FFFF"/>
          </w:tcPr>
          <w:p>
            <w:pPr>
              <w:spacing w:after="0"/>
              <w:rPr>
                <w:sz w:val="3"/>
                <w:szCs w:val="3"/>
                <w:color w:val="auto"/>
              </w:rPr>
            </w:pPr>
          </w:p>
        </w:tc>
        <w:tc>
          <w:tcPr>
            <w:tcW w:w="4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60" w:type="dxa"/>
            <w:vAlign w:val="bottom"/>
            <w:tcBorders>
              <w:top w:val="single" w:sz="8" w:color="0000EE"/>
              <w:bottom w:val="single" w:sz="8" w:color="F0FFFF"/>
            </w:tcBorders>
            <w:shd w:val="clear" w:color="auto" w:fill="F0FFFF"/>
          </w:tcPr>
          <w:p>
            <w:pPr>
              <w:spacing w:after="0"/>
              <w:rPr>
                <w:sz w:val="3"/>
                <w:szCs w:val="3"/>
                <w:color w:val="auto"/>
              </w:rPr>
            </w:pPr>
          </w:p>
        </w:tc>
        <w:tc>
          <w:tcPr>
            <w:tcW w:w="60" w:type="dxa"/>
            <w:vAlign w:val="bottom"/>
            <w:tcBorders>
              <w:top w:val="single" w:sz="8" w:color="0000EE"/>
              <w:bottom w:val="single" w:sz="8" w:color="F0FFFF"/>
            </w:tcBorders>
            <w:shd w:val="clear" w:color="auto" w:fill="F0FFFF"/>
          </w:tcPr>
          <w:p>
            <w:pPr>
              <w:spacing w:after="0"/>
              <w:rPr>
                <w:sz w:val="3"/>
                <w:szCs w:val="3"/>
                <w:color w:val="auto"/>
              </w:rPr>
            </w:pPr>
          </w:p>
        </w:tc>
        <w:tc>
          <w:tcPr>
            <w:tcW w:w="40" w:type="dxa"/>
            <w:vAlign w:val="bottom"/>
            <w:tcBorders>
              <w:top w:val="single" w:sz="8" w:color="0000EE"/>
              <w:bottom w:val="single" w:sz="8" w:color="F0FFFF"/>
            </w:tcBorders>
            <w:shd w:val="clear" w:color="auto" w:fill="F0FFFF"/>
          </w:tcPr>
          <w:p>
            <w:pPr>
              <w:spacing w:after="0"/>
              <w:rPr>
                <w:sz w:val="3"/>
                <w:szCs w:val="3"/>
                <w:color w:val="auto"/>
              </w:rPr>
            </w:pPr>
          </w:p>
        </w:tc>
        <w:tc>
          <w:tcPr>
            <w:tcW w:w="6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6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60" w:type="dxa"/>
            <w:vAlign w:val="bottom"/>
            <w:tcBorders>
              <w:top w:val="single" w:sz="8" w:color="0000EE"/>
              <w:bottom w:val="single" w:sz="8" w:color="F0FFFF"/>
            </w:tcBorders>
            <w:shd w:val="clear" w:color="auto" w:fill="F0FFFF"/>
          </w:tcPr>
          <w:p>
            <w:pPr>
              <w:spacing w:after="0"/>
              <w:rPr>
                <w:sz w:val="3"/>
                <w:szCs w:val="3"/>
                <w:color w:val="auto"/>
              </w:rPr>
            </w:pPr>
          </w:p>
        </w:tc>
        <w:tc>
          <w:tcPr>
            <w:tcW w:w="80" w:type="dxa"/>
            <w:vAlign w:val="bottom"/>
            <w:tcBorders>
              <w:top w:val="single" w:sz="8" w:color="0000EE"/>
              <w:bottom w:val="single" w:sz="8" w:color="F0FFFF"/>
            </w:tcBorders>
            <w:shd w:val="clear" w:color="auto" w:fill="F0FFFF"/>
          </w:tcPr>
          <w:p>
            <w:pPr>
              <w:spacing w:after="0"/>
              <w:rPr>
                <w:sz w:val="3"/>
                <w:szCs w:val="3"/>
                <w:color w:val="auto"/>
              </w:rPr>
            </w:pPr>
          </w:p>
        </w:tc>
        <w:tc>
          <w:tcPr>
            <w:tcW w:w="80" w:type="dxa"/>
            <w:vAlign w:val="bottom"/>
            <w:tcBorders>
              <w:top w:val="single" w:sz="8" w:color="0000EE"/>
              <w:bottom w:val="single" w:sz="8" w:color="F0FFFF"/>
            </w:tcBorders>
            <w:shd w:val="clear" w:color="auto" w:fill="F0FFFF"/>
          </w:tcPr>
          <w:p>
            <w:pPr>
              <w:spacing w:after="0"/>
              <w:rPr>
                <w:sz w:val="3"/>
                <w:szCs w:val="3"/>
                <w:color w:val="auto"/>
              </w:rPr>
            </w:pPr>
          </w:p>
        </w:tc>
        <w:tc>
          <w:tcPr>
            <w:tcW w:w="60" w:type="dxa"/>
            <w:vAlign w:val="bottom"/>
            <w:tcBorders>
              <w:top w:val="single" w:sz="8" w:color="0000EE"/>
              <w:bottom w:val="single" w:sz="8" w:color="F0FFFF"/>
            </w:tcBorders>
            <w:shd w:val="clear" w:color="auto" w:fill="F0FFFF"/>
          </w:tcPr>
          <w:p>
            <w:pPr>
              <w:spacing w:after="0"/>
              <w:rPr>
                <w:sz w:val="3"/>
                <w:szCs w:val="3"/>
                <w:color w:val="auto"/>
              </w:rPr>
            </w:pPr>
          </w:p>
        </w:tc>
        <w:tc>
          <w:tcPr>
            <w:tcW w:w="4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8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60" w:type="dxa"/>
            <w:vAlign w:val="bottom"/>
            <w:tcBorders>
              <w:top w:val="single" w:sz="8" w:color="F0FFFF"/>
              <w:bottom w:val="single" w:sz="8" w:color="F0FFFF"/>
            </w:tcBorders>
            <w:shd w:val="clear" w:color="auto" w:fill="F0FFFF"/>
          </w:tcPr>
          <w:p>
            <w:pPr>
              <w:spacing w:after="0"/>
              <w:rPr>
                <w:sz w:val="3"/>
                <w:szCs w:val="3"/>
                <w:color w:val="auto"/>
              </w:rPr>
            </w:pPr>
          </w:p>
        </w:tc>
        <w:tc>
          <w:tcPr>
            <w:tcW w:w="40" w:type="dxa"/>
            <w:vAlign w:val="bottom"/>
            <w:tcBorders>
              <w:top w:val="single" w:sz="8" w:color="F0FFFF"/>
              <w:bottom w:val="single" w:sz="8" w:color="F0FFFF"/>
            </w:tcBorders>
            <w:shd w:val="clear" w:color="auto" w:fill="F0FFFF"/>
          </w:tcPr>
          <w:p>
            <w:pPr>
              <w:spacing w:after="0"/>
              <w:rPr>
                <w:sz w:val="3"/>
                <w:szCs w:val="3"/>
                <w:color w:val="auto"/>
              </w:rPr>
            </w:pPr>
          </w:p>
        </w:tc>
        <w:tc>
          <w:tcPr>
            <w:tcW w:w="12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80" w:type="dxa"/>
            <w:vAlign w:val="bottom"/>
            <w:tcBorders>
              <w:top w:val="single" w:sz="8" w:color="F0FFFF"/>
              <w:bottom w:val="single" w:sz="8" w:color="F0FFFF"/>
            </w:tcBorders>
            <w:shd w:val="clear" w:color="auto" w:fill="F0FFFF"/>
          </w:tcPr>
          <w:p>
            <w:pPr>
              <w:spacing w:after="0"/>
              <w:rPr>
                <w:sz w:val="3"/>
                <w:szCs w:val="3"/>
                <w:color w:val="auto"/>
              </w:rPr>
            </w:pPr>
          </w:p>
        </w:tc>
        <w:tc>
          <w:tcPr>
            <w:tcW w:w="300" w:type="dxa"/>
            <w:vAlign w:val="bottom"/>
            <w:tcBorders>
              <w:top w:val="single" w:sz="8" w:color="F0FFFF"/>
              <w:bottom w:val="single" w:sz="8" w:color="F0FFFF"/>
            </w:tcBorders>
            <w:shd w:val="clear" w:color="auto" w:fill="F0FFFF"/>
          </w:tcPr>
          <w:p>
            <w:pPr>
              <w:spacing w:after="0"/>
              <w:rPr>
                <w:sz w:val="3"/>
                <w:szCs w:val="3"/>
                <w:color w:val="auto"/>
              </w:rPr>
            </w:pPr>
          </w:p>
        </w:tc>
        <w:tc>
          <w:tcPr>
            <w:tcW w:w="200" w:type="dxa"/>
            <w:vAlign w:val="bottom"/>
            <w:tcBorders>
              <w:top w:val="single" w:sz="8" w:color="F0FFFF"/>
              <w:bottom w:val="single" w:sz="8" w:color="F0FFFF"/>
            </w:tcBorders>
            <w:shd w:val="clear" w:color="auto" w:fill="F0FFFF"/>
          </w:tcPr>
          <w:p>
            <w:pPr>
              <w:spacing w:after="0"/>
              <w:rPr>
                <w:sz w:val="3"/>
                <w:szCs w:val="3"/>
                <w:color w:val="auto"/>
              </w:rPr>
            </w:pPr>
          </w:p>
        </w:tc>
        <w:tc>
          <w:tcPr>
            <w:tcW w:w="60" w:type="dxa"/>
            <w:vAlign w:val="bottom"/>
            <w:tcBorders>
              <w:top w:val="single" w:sz="8" w:color="F0FFFF"/>
              <w:bottom w:val="single" w:sz="8" w:color="F0FFFF"/>
            </w:tcBorders>
            <w:shd w:val="clear" w:color="auto" w:fill="F0FFFF"/>
          </w:tcPr>
          <w:p>
            <w:pPr>
              <w:spacing w:after="0"/>
              <w:rPr>
                <w:sz w:val="3"/>
                <w:szCs w:val="3"/>
                <w:color w:val="auto"/>
              </w:rPr>
            </w:pPr>
          </w:p>
        </w:tc>
        <w:tc>
          <w:tcPr>
            <w:tcW w:w="80" w:type="dxa"/>
            <w:vAlign w:val="bottom"/>
            <w:tcBorders>
              <w:top w:val="single" w:sz="8" w:color="F0FFFF"/>
              <w:bottom w:val="single" w:sz="8" w:color="F0FFFF"/>
            </w:tcBorders>
            <w:shd w:val="clear" w:color="auto" w:fill="F0FFFF"/>
          </w:tcPr>
          <w:p>
            <w:pPr>
              <w:spacing w:after="0"/>
              <w:rPr>
                <w:sz w:val="3"/>
                <w:szCs w:val="3"/>
                <w:color w:val="auto"/>
              </w:rPr>
            </w:pPr>
          </w:p>
        </w:tc>
        <w:tc>
          <w:tcPr>
            <w:tcW w:w="260" w:type="dxa"/>
            <w:vAlign w:val="bottom"/>
            <w:tcBorders>
              <w:top w:val="single" w:sz="8" w:color="F0FFFF"/>
              <w:bottom w:val="single" w:sz="8" w:color="F0FFFF"/>
            </w:tcBorders>
            <w:shd w:val="clear" w:color="auto" w:fill="F0FFFF"/>
          </w:tcPr>
          <w:p>
            <w:pPr>
              <w:spacing w:after="0"/>
              <w:rPr>
                <w:sz w:val="3"/>
                <w:szCs w:val="3"/>
                <w:color w:val="auto"/>
              </w:rPr>
            </w:pPr>
          </w:p>
        </w:tc>
        <w:tc>
          <w:tcPr>
            <w:tcW w:w="200" w:type="dxa"/>
            <w:vAlign w:val="bottom"/>
            <w:tcBorders>
              <w:top w:val="single" w:sz="8" w:color="F0FFFF"/>
              <w:bottom w:val="single" w:sz="8" w:color="F0FFFF"/>
            </w:tcBorders>
            <w:shd w:val="clear" w:color="auto" w:fill="F0FFFF"/>
          </w:tcPr>
          <w:p>
            <w:pPr>
              <w:spacing w:after="0"/>
              <w:rPr>
                <w:sz w:val="3"/>
                <w:szCs w:val="3"/>
                <w:color w:val="auto"/>
              </w:rPr>
            </w:pPr>
          </w:p>
        </w:tc>
        <w:tc>
          <w:tcPr>
            <w:tcW w:w="16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28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52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300" w:type="dxa"/>
            <w:vAlign w:val="bottom"/>
            <w:tcBorders>
              <w:top w:val="single" w:sz="8" w:color="F0FFFF"/>
              <w:bottom w:val="single" w:sz="8" w:color="F0FFFF"/>
            </w:tcBorders>
            <w:shd w:val="clear" w:color="auto" w:fill="F0FFFF"/>
          </w:tcPr>
          <w:p>
            <w:pPr>
              <w:spacing w:after="0"/>
              <w:rPr>
                <w:sz w:val="3"/>
                <w:szCs w:val="3"/>
                <w:color w:val="auto"/>
              </w:rPr>
            </w:pPr>
          </w:p>
        </w:tc>
        <w:tc>
          <w:tcPr>
            <w:tcW w:w="480" w:type="dxa"/>
            <w:vAlign w:val="bottom"/>
            <w:tcBorders>
              <w:top w:val="single" w:sz="8" w:color="F0FFFF"/>
              <w:bottom w:val="single" w:sz="8" w:color="F0FFFF"/>
            </w:tcBorders>
            <w:shd w:val="clear" w:color="auto" w:fill="F0FFFF"/>
          </w:tcPr>
          <w:p>
            <w:pPr>
              <w:spacing w:after="0"/>
              <w:rPr>
                <w:sz w:val="3"/>
                <w:szCs w:val="3"/>
                <w:color w:val="auto"/>
              </w:rPr>
            </w:pPr>
          </w:p>
        </w:tc>
        <w:tc>
          <w:tcPr>
            <w:tcW w:w="720" w:type="dxa"/>
            <w:vAlign w:val="bottom"/>
            <w:tcBorders>
              <w:top w:val="single" w:sz="8" w:color="F0FFFF"/>
              <w:bottom w:val="single" w:sz="8" w:color="F0FFFF"/>
            </w:tcBorders>
            <w:shd w:val="clear" w:color="auto" w:fill="F0FFFF"/>
          </w:tcPr>
          <w:p>
            <w:pPr>
              <w:spacing w:after="0"/>
              <w:rPr>
                <w:sz w:val="3"/>
                <w:szCs w:val="3"/>
                <w:color w:val="auto"/>
              </w:rPr>
            </w:pPr>
          </w:p>
        </w:tc>
        <w:tc>
          <w:tcPr>
            <w:tcW w:w="860" w:type="dxa"/>
            <w:vAlign w:val="bottom"/>
            <w:tcBorders>
              <w:top w:val="single" w:sz="8" w:color="F0FFFF"/>
              <w:bottom w:val="single" w:sz="8" w:color="F0FFFF"/>
            </w:tcBorders>
            <w:vMerge w:val="continue"/>
            <w:shd w:val="clear" w:color="auto" w:fill="F0FFFF"/>
          </w:tcPr>
          <w:p>
            <w:pPr>
              <w:spacing w:after="0"/>
              <w:rPr>
                <w:sz w:val="3"/>
                <w:szCs w:val="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180" w:type="dxa"/>
            <w:vAlign w:val="bottom"/>
            <w:gridSpan w:val="42"/>
          </w:tcPr>
          <w:p>
            <w:pPr>
              <w:spacing w:after="0" w:line="104" w:lineRule="exact"/>
              <w:rPr>
                <w:sz w:val="20"/>
                <w:szCs w:val="20"/>
                <w:color w:val="auto"/>
              </w:rPr>
            </w:pPr>
            <w:r>
              <w:rPr>
                <w:rFonts w:ascii="Times New Roman" w:cs="Times New Roman" w:eastAsia="Times New Roman" w:hAnsi="Times New Roman"/>
                <w:sz w:val="11"/>
                <w:szCs w:val="11"/>
                <w:color w:val="0000EE"/>
              </w:rPr>
              <w:t>Accrued Buffer Rate</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40" w:type="dxa"/>
            <w:vAlign w:val="bottom"/>
            <w:shd w:val="clear" w:color="auto" w:fill="F0FFFF"/>
          </w:tcPr>
          <w:p>
            <w:pPr>
              <w:spacing w:after="0"/>
              <w:rPr>
                <w:sz w:val="10"/>
                <w:szCs w:val="10"/>
                <w:color w:val="auto"/>
              </w:rPr>
            </w:pPr>
          </w:p>
        </w:tc>
        <w:tc>
          <w:tcPr>
            <w:tcW w:w="5180" w:type="dxa"/>
            <w:vAlign w:val="bottom"/>
            <w:gridSpan w:val="42"/>
            <w:shd w:val="clear" w:color="auto" w:fill="F0FFFF"/>
          </w:tcPr>
          <w:p>
            <w:pPr>
              <w:spacing w:after="0" w:line="124" w:lineRule="exact"/>
              <w:rPr>
                <w:sz w:val="20"/>
                <w:szCs w:val="20"/>
                <w:color w:val="auto"/>
              </w:rPr>
            </w:pPr>
            <w:r>
              <w:rPr>
                <w:rFonts w:ascii="Times New Roman" w:cs="Times New Roman" w:eastAsia="Times New Roman" w:hAnsi="Times New Roman"/>
                <w:sz w:val="14"/>
                <w:szCs w:val="14"/>
                <w:color w:val="0000EE"/>
              </w:rPr>
              <w:t>Accrued Cap Rate</w:t>
            </w:r>
          </w:p>
        </w:tc>
        <w:tc>
          <w:tcPr>
            <w:tcW w:w="86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40" w:type="dxa"/>
            <w:vAlign w:val="bottom"/>
            <w:tcBorders>
              <w:top w:val="single" w:sz="8" w:color="F0FFFF"/>
              <w:bottom w:val="single" w:sz="8" w:color="F0FFFF"/>
            </w:tcBorders>
            <w:shd w:val="clear" w:color="auto" w:fill="F0FFFF"/>
          </w:tcPr>
          <w:p>
            <w:pPr>
              <w:spacing w:after="0"/>
              <w:rPr>
                <w:sz w:val="3"/>
                <w:szCs w:val="3"/>
                <w:color w:val="auto"/>
              </w:rPr>
            </w:pPr>
          </w:p>
        </w:tc>
        <w:tc>
          <w:tcPr>
            <w:tcW w:w="200" w:type="dxa"/>
            <w:vAlign w:val="bottom"/>
            <w:tcBorders>
              <w:top w:val="single" w:sz="8" w:color="0000EE"/>
              <w:bottom w:val="single" w:sz="8" w:color="F0FFFF"/>
            </w:tcBorders>
            <w:shd w:val="clear" w:color="auto" w:fill="F0FFFF"/>
          </w:tcPr>
          <w:p>
            <w:pPr>
              <w:spacing w:after="0"/>
              <w:rPr>
                <w:sz w:val="3"/>
                <w:szCs w:val="3"/>
                <w:color w:val="auto"/>
              </w:rPr>
            </w:pPr>
          </w:p>
        </w:tc>
        <w:tc>
          <w:tcPr>
            <w:tcW w:w="80" w:type="dxa"/>
            <w:vAlign w:val="bottom"/>
            <w:tcBorders>
              <w:top w:val="single" w:sz="8" w:color="0000EE"/>
              <w:bottom w:val="single" w:sz="8" w:color="F0FFFF"/>
            </w:tcBorders>
            <w:shd w:val="clear" w:color="auto" w:fill="F0FFFF"/>
          </w:tcPr>
          <w:p>
            <w:pPr>
              <w:spacing w:after="0"/>
              <w:rPr>
                <w:sz w:val="3"/>
                <w:szCs w:val="3"/>
                <w:color w:val="auto"/>
              </w:rPr>
            </w:pPr>
          </w:p>
        </w:tc>
        <w:tc>
          <w:tcPr>
            <w:tcW w:w="100" w:type="dxa"/>
            <w:vAlign w:val="bottom"/>
            <w:tcBorders>
              <w:top w:val="single" w:sz="8" w:color="0000EE"/>
              <w:bottom w:val="single" w:sz="8" w:color="F0FFFF"/>
            </w:tcBorders>
            <w:shd w:val="clear" w:color="auto" w:fill="F0FFFF"/>
          </w:tcPr>
          <w:p>
            <w:pPr>
              <w:spacing w:after="0"/>
              <w:rPr>
                <w:sz w:val="3"/>
                <w:szCs w:val="3"/>
                <w:color w:val="auto"/>
              </w:rPr>
            </w:pPr>
          </w:p>
        </w:tc>
        <w:tc>
          <w:tcPr>
            <w:tcW w:w="4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60" w:type="dxa"/>
            <w:vAlign w:val="bottom"/>
            <w:tcBorders>
              <w:top w:val="single" w:sz="8" w:color="0000EE"/>
              <w:bottom w:val="single" w:sz="8" w:color="F0FFFF"/>
            </w:tcBorders>
            <w:shd w:val="clear" w:color="auto" w:fill="F0FFFF"/>
          </w:tcPr>
          <w:p>
            <w:pPr>
              <w:spacing w:after="0"/>
              <w:rPr>
                <w:sz w:val="3"/>
                <w:szCs w:val="3"/>
                <w:color w:val="auto"/>
              </w:rPr>
            </w:pPr>
          </w:p>
        </w:tc>
        <w:tc>
          <w:tcPr>
            <w:tcW w:w="60" w:type="dxa"/>
            <w:vAlign w:val="bottom"/>
            <w:tcBorders>
              <w:top w:val="single" w:sz="8" w:color="0000EE"/>
              <w:bottom w:val="single" w:sz="8" w:color="F0FFFF"/>
            </w:tcBorders>
            <w:shd w:val="clear" w:color="auto" w:fill="F0FFFF"/>
          </w:tcPr>
          <w:p>
            <w:pPr>
              <w:spacing w:after="0"/>
              <w:rPr>
                <w:sz w:val="3"/>
                <w:szCs w:val="3"/>
                <w:color w:val="auto"/>
              </w:rPr>
            </w:pPr>
          </w:p>
        </w:tc>
        <w:tc>
          <w:tcPr>
            <w:tcW w:w="40" w:type="dxa"/>
            <w:vAlign w:val="bottom"/>
            <w:tcBorders>
              <w:top w:val="single" w:sz="8" w:color="0000EE"/>
              <w:bottom w:val="single" w:sz="8" w:color="F0FFFF"/>
            </w:tcBorders>
            <w:shd w:val="clear" w:color="auto" w:fill="F0FFFF"/>
          </w:tcPr>
          <w:p>
            <w:pPr>
              <w:spacing w:after="0"/>
              <w:rPr>
                <w:sz w:val="3"/>
                <w:szCs w:val="3"/>
                <w:color w:val="auto"/>
              </w:rPr>
            </w:pPr>
          </w:p>
        </w:tc>
        <w:tc>
          <w:tcPr>
            <w:tcW w:w="6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6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60" w:type="dxa"/>
            <w:vAlign w:val="bottom"/>
            <w:tcBorders>
              <w:top w:val="single" w:sz="8" w:color="0000EE"/>
              <w:bottom w:val="single" w:sz="8" w:color="F0FFFF"/>
            </w:tcBorders>
            <w:shd w:val="clear" w:color="auto" w:fill="F0FFFF"/>
          </w:tcPr>
          <w:p>
            <w:pPr>
              <w:spacing w:after="0"/>
              <w:rPr>
                <w:sz w:val="3"/>
                <w:szCs w:val="3"/>
                <w:color w:val="auto"/>
              </w:rPr>
            </w:pPr>
          </w:p>
        </w:tc>
        <w:tc>
          <w:tcPr>
            <w:tcW w:w="80" w:type="dxa"/>
            <w:vAlign w:val="bottom"/>
            <w:tcBorders>
              <w:top w:val="single" w:sz="8" w:color="0000EE"/>
              <w:bottom w:val="single" w:sz="8" w:color="F0FFFF"/>
            </w:tcBorders>
            <w:shd w:val="clear" w:color="auto" w:fill="F0FFFF"/>
          </w:tcPr>
          <w:p>
            <w:pPr>
              <w:spacing w:after="0"/>
              <w:rPr>
                <w:sz w:val="3"/>
                <w:szCs w:val="3"/>
                <w:color w:val="auto"/>
              </w:rPr>
            </w:pPr>
          </w:p>
        </w:tc>
        <w:tc>
          <w:tcPr>
            <w:tcW w:w="80" w:type="dxa"/>
            <w:vAlign w:val="bottom"/>
            <w:tcBorders>
              <w:top w:val="single" w:sz="8" w:color="0000EE"/>
              <w:bottom w:val="single" w:sz="8" w:color="F0FFFF"/>
            </w:tcBorders>
            <w:shd w:val="clear" w:color="auto" w:fill="F0FFFF"/>
          </w:tcPr>
          <w:p>
            <w:pPr>
              <w:spacing w:after="0"/>
              <w:rPr>
                <w:sz w:val="3"/>
                <w:szCs w:val="3"/>
                <w:color w:val="auto"/>
              </w:rPr>
            </w:pPr>
          </w:p>
        </w:tc>
        <w:tc>
          <w:tcPr>
            <w:tcW w:w="60" w:type="dxa"/>
            <w:vAlign w:val="bottom"/>
            <w:tcBorders>
              <w:top w:val="single" w:sz="8" w:color="F0FFFF"/>
              <w:bottom w:val="single" w:sz="8" w:color="F0FFFF"/>
            </w:tcBorders>
            <w:shd w:val="clear" w:color="auto" w:fill="F0FFFF"/>
          </w:tcPr>
          <w:p>
            <w:pPr>
              <w:spacing w:after="0"/>
              <w:rPr>
                <w:sz w:val="3"/>
                <w:szCs w:val="3"/>
                <w:color w:val="auto"/>
              </w:rPr>
            </w:pPr>
          </w:p>
        </w:tc>
        <w:tc>
          <w:tcPr>
            <w:tcW w:w="4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8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60" w:type="dxa"/>
            <w:vAlign w:val="bottom"/>
            <w:tcBorders>
              <w:top w:val="single" w:sz="8" w:color="F0FFFF"/>
              <w:bottom w:val="single" w:sz="8" w:color="F0FFFF"/>
            </w:tcBorders>
            <w:shd w:val="clear" w:color="auto" w:fill="F0FFFF"/>
          </w:tcPr>
          <w:p>
            <w:pPr>
              <w:spacing w:after="0"/>
              <w:rPr>
                <w:sz w:val="3"/>
                <w:szCs w:val="3"/>
                <w:color w:val="auto"/>
              </w:rPr>
            </w:pPr>
          </w:p>
        </w:tc>
        <w:tc>
          <w:tcPr>
            <w:tcW w:w="40" w:type="dxa"/>
            <w:vAlign w:val="bottom"/>
            <w:tcBorders>
              <w:top w:val="single" w:sz="8" w:color="F0FFFF"/>
              <w:bottom w:val="single" w:sz="8" w:color="F0FFFF"/>
            </w:tcBorders>
            <w:shd w:val="clear" w:color="auto" w:fill="F0FFFF"/>
          </w:tcPr>
          <w:p>
            <w:pPr>
              <w:spacing w:after="0"/>
              <w:rPr>
                <w:sz w:val="3"/>
                <w:szCs w:val="3"/>
                <w:color w:val="auto"/>
              </w:rPr>
            </w:pPr>
          </w:p>
        </w:tc>
        <w:tc>
          <w:tcPr>
            <w:tcW w:w="12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80" w:type="dxa"/>
            <w:vAlign w:val="bottom"/>
            <w:tcBorders>
              <w:top w:val="single" w:sz="8" w:color="F0FFFF"/>
              <w:bottom w:val="single" w:sz="8" w:color="F0FFFF"/>
            </w:tcBorders>
            <w:shd w:val="clear" w:color="auto" w:fill="F0FFFF"/>
          </w:tcPr>
          <w:p>
            <w:pPr>
              <w:spacing w:after="0"/>
              <w:rPr>
                <w:sz w:val="3"/>
                <w:szCs w:val="3"/>
                <w:color w:val="auto"/>
              </w:rPr>
            </w:pPr>
          </w:p>
        </w:tc>
        <w:tc>
          <w:tcPr>
            <w:tcW w:w="300" w:type="dxa"/>
            <w:vAlign w:val="bottom"/>
            <w:tcBorders>
              <w:top w:val="single" w:sz="8" w:color="F0FFFF"/>
              <w:bottom w:val="single" w:sz="8" w:color="F0FFFF"/>
            </w:tcBorders>
            <w:shd w:val="clear" w:color="auto" w:fill="F0FFFF"/>
          </w:tcPr>
          <w:p>
            <w:pPr>
              <w:spacing w:after="0"/>
              <w:rPr>
                <w:sz w:val="3"/>
                <w:szCs w:val="3"/>
                <w:color w:val="auto"/>
              </w:rPr>
            </w:pPr>
          </w:p>
        </w:tc>
        <w:tc>
          <w:tcPr>
            <w:tcW w:w="200" w:type="dxa"/>
            <w:vAlign w:val="bottom"/>
            <w:tcBorders>
              <w:top w:val="single" w:sz="8" w:color="F0FFFF"/>
              <w:bottom w:val="single" w:sz="8" w:color="F0FFFF"/>
            </w:tcBorders>
            <w:shd w:val="clear" w:color="auto" w:fill="F0FFFF"/>
          </w:tcPr>
          <w:p>
            <w:pPr>
              <w:spacing w:after="0"/>
              <w:rPr>
                <w:sz w:val="3"/>
                <w:szCs w:val="3"/>
                <w:color w:val="auto"/>
              </w:rPr>
            </w:pPr>
          </w:p>
        </w:tc>
        <w:tc>
          <w:tcPr>
            <w:tcW w:w="60" w:type="dxa"/>
            <w:vAlign w:val="bottom"/>
            <w:tcBorders>
              <w:top w:val="single" w:sz="8" w:color="F0FFFF"/>
              <w:bottom w:val="single" w:sz="8" w:color="F0FFFF"/>
            </w:tcBorders>
            <w:shd w:val="clear" w:color="auto" w:fill="F0FFFF"/>
          </w:tcPr>
          <w:p>
            <w:pPr>
              <w:spacing w:after="0"/>
              <w:rPr>
                <w:sz w:val="3"/>
                <w:szCs w:val="3"/>
                <w:color w:val="auto"/>
              </w:rPr>
            </w:pPr>
          </w:p>
        </w:tc>
        <w:tc>
          <w:tcPr>
            <w:tcW w:w="80" w:type="dxa"/>
            <w:vAlign w:val="bottom"/>
            <w:tcBorders>
              <w:top w:val="single" w:sz="8" w:color="F0FFFF"/>
              <w:bottom w:val="single" w:sz="8" w:color="F0FFFF"/>
            </w:tcBorders>
            <w:shd w:val="clear" w:color="auto" w:fill="F0FFFF"/>
          </w:tcPr>
          <w:p>
            <w:pPr>
              <w:spacing w:after="0"/>
              <w:rPr>
                <w:sz w:val="3"/>
                <w:szCs w:val="3"/>
                <w:color w:val="auto"/>
              </w:rPr>
            </w:pPr>
          </w:p>
        </w:tc>
        <w:tc>
          <w:tcPr>
            <w:tcW w:w="260" w:type="dxa"/>
            <w:vAlign w:val="bottom"/>
            <w:tcBorders>
              <w:top w:val="single" w:sz="8" w:color="F0FFFF"/>
              <w:bottom w:val="single" w:sz="8" w:color="F0FFFF"/>
            </w:tcBorders>
            <w:shd w:val="clear" w:color="auto" w:fill="F0FFFF"/>
          </w:tcPr>
          <w:p>
            <w:pPr>
              <w:spacing w:after="0"/>
              <w:rPr>
                <w:sz w:val="3"/>
                <w:szCs w:val="3"/>
                <w:color w:val="auto"/>
              </w:rPr>
            </w:pPr>
          </w:p>
        </w:tc>
        <w:tc>
          <w:tcPr>
            <w:tcW w:w="200" w:type="dxa"/>
            <w:vAlign w:val="bottom"/>
            <w:tcBorders>
              <w:top w:val="single" w:sz="8" w:color="F0FFFF"/>
              <w:bottom w:val="single" w:sz="8" w:color="F0FFFF"/>
            </w:tcBorders>
            <w:shd w:val="clear" w:color="auto" w:fill="F0FFFF"/>
          </w:tcPr>
          <w:p>
            <w:pPr>
              <w:spacing w:after="0"/>
              <w:rPr>
                <w:sz w:val="3"/>
                <w:szCs w:val="3"/>
                <w:color w:val="auto"/>
              </w:rPr>
            </w:pPr>
          </w:p>
        </w:tc>
        <w:tc>
          <w:tcPr>
            <w:tcW w:w="16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28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52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300" w:type="dxa"/>
            <w:vAlign w:val="bottom"/>
            <w:tcBorders>
              <w:top w:val="single" w:sz="8" w:color="F0FFFF"/>
              <w:bottom w:val="single" w:sz="8" w:color="F0FFFF"/>
            </w:tcBorders>
            <w:shd w:val="clear" w:color="auto" w:fill="F0FFFF"/>
          </w:tcPr>
          <w:p>
            <w:pPr>
              <w:spacing w:after="0"/>
              <w:rPr>
                <w:sz w:val="3"/>
                <w:szCs w:val="3"/>
                <w:color w:val="auto"/>
              </w:rPr>
            </w:pPr>
          </w:p>
        </w:tc>
        <w:tc>
          <w:tcPr>
            <w:tcW w:w="480" w:type="dxa"/>
            <w:vAlign w:val="bottom"/>
            <w:tcBorders>
              <w:top w:val="single" w:sz="8" w:color="F0FFFF"/>
              <w:bottom w:val="single" w:sz="8" w:color="F0FFFF"/>
            </w:tcBorders>
            <w:shd w:val="clear" w:color="auto" w:fill="F0FFFF"/>
          </w:tcPr>
          <w:p>
            <w:pPr>
              <w:spacing w:after="0"/>
              <w:rPr>
                <w:sz w:val="3"/>
                <w:szCs w:val="3"/>
                <w:color w:val="auto"/>
              </w:rPr>
            </w:pPr>
          </w:p>
        </w:tc>
        <w:tc>
          <w:tcPr>
            <w:tcW w:w="720" w:type="dxa"/>
            <w:vAlign w:val="bottom"/>
            <w:tcBorders>
              <w:top w:val="single" w:sz="8" w:color="F0FFFF"/>
              <w:bottom w:val="single" w:sz="8" w:color="F0FFFF"/>
            </w:tcBorders>
            <w:shd w:val="clear" w:color="auto" w:fill="F0FFFF"/>
          </w:tcPr>
          <w:p>
            <w:pPr>
              <w:spacing w:after="0"/>
              <w:rPr>
                <w:sz w:val="3"/>
                <w:szCs w:val="3"/>
                <w:color w:val="auto"/>
              </w:rPr>
            </w:pPr>
          </w:p>
        </w:tc>
        <w:tc>
          <w:tcPr>
            <w:tcW w:w="860" w:type="dxa"/>
            <w:vAlign w:val="bottom"/>
            <w:tcBorders>
              <w:top w:val="single" w:sz="8" w:color="F0FFFF"/>
              <w:bottom w:val="single" w:sz="8" w:color="F0FFFF"/>
            </w:tcBorders>
            <w:vMerge w:val="continue"/>
            <w:shd w:val="clear" w:color="auto" w:fill="F0FFFF"/>
          </w:tcPr>
          <w:p>
            <w:pPr>
              <w:spacing w:after="0"/>
              <w:rPr>
                <w:sz w:val="3"/>
                <w:szCs w:val="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180" w:type="dxa"/>
            <w:vAlign w:val="bottom"/>
            <w:gridSpan w:val="42"/>
          </w:tcPr>
          <w:p>
            <w:pPr>
              <w:spacing w:after="0" w:line="104" w:lineRule="exact"/>
              <w:rPr>
                <w:sz w:val="20"/>
                <w:szCs w:val="20"/>
                <w:color w:val="auto"/>
              </w:rPr>
            </w:pPr>
            <w:r>
              <w:rPr>
                <w:rFonts w:ascii="Times New Roman" w:cs="Times New Roman" w:eastAsia="Times New Roman" w:hAnsi="Times New Roman"/>
                <w:sz w:val="11"/>
                <w:szCs w:val="11"/>
                <w:color w:val="0000EE"/>
              </w:rPr>
              <w:t>Segment Performance Rate for Determination of Interim Segment Value</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300" w:type="dxa"/>
            <w:vAlign w:val="bottom"/>
            <w:tcBorders>
              <w:top w:val="single" w:sz="8" w:color="0000EE"/>
            </w:tcBorders>
          </w:tcPr>
          <w:p>
            <w:pPr>
              <w:spacing w:after="0"/>
              <w:rPr>
                <w:sz w:val="3"/>
                <w:szCs w:val="3"/>
                <w:color w:val="auto"/>
              </w:rPr>
            </w:pPr>
          </w:p>
        </w:tc>
        <w:tc>
          <w:tcPr>
            <w:tcW w:w="20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260" w:type="dxa"/>
            <w:vAlign w:val="bottom"/>
            <w:tcBorders>
              <w:top w:val="single" w:sz="8" w:color="0000EE"/>
            </w:tcBorders>
          </w:tcPr>
          <w:p>
            <w:pPr>
              <w:spacing w:after="0"/>
              <w:rPr>
                <w:sz w:val="3"/>
                <w:szCs w:val="3"/>
                <w:color w:val="auto"/>
              </w:rPr>
            </w:pPr>
          </w:p>
        </w:tc>
        <w:tc>
          <w:tcPr>
            <w:tcW w:w="20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8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5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300" w:type="dxa"/>
            <w:vAlign w:val="bottom"/>
            <w:tcBorders>
              <w:top w:val="single" w:sz="8" w:color="0000EE"/>
            </w:tcBorders>
          </w:tcPr>
          <w:p>
            <w:pPr>
              <w:spacing w:after="0"/>
              <w:rPr>
                <w:sz w:val="3"/>
                <w:szCs w:val="3"/>
                <w:color w:val="auto"/>
              </w:rPr>
            </w:pPr>
          </w:p>
        </w:tc>
        <w:tc>
          <w:tcPr>
            <w:tcW w:w="4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420" w:type="dxa"/>
            <w:vAlign w:val="bottom"/>
            <w:gridSpan w:val="43"/>
            <w:shd w:val="clear" w:color="auto" w:fill="F0FFFF"/>
          </w:tcPr>
          <w:p>
            <w:pPr>
              <w:spacing w:after="0" w:line="124" w:lineRule="exact"/>
              <w:rPr>
                <w:sz w:val="20"/>
                <w:szCs w:val="20"/>
                <w:color w:val="auto"/>
              </w:rPr>
            </w:pPr>
            <w:r>
              <w:rPr>
                <w:rFonts w:ascii="Times New Roman" w:cs="Times New Roman" w:eastAsia="Times New Roman" w:hAnsi="Times New Roman"/>
                <w:sz w:val="14"/>
                <w:szCs w:val="14"/>
                <w:color w:val="0000EE"/>
              </w:rPr>
              <w:t>TRANSFERS</w:t>
            </w:r>
          </w:p>
        </w:tc>
        <w:tc>
          <w:tcPr>
            <w:tcW w:w="86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42"/>
        </w:trPr>
        <w:tc>
          <w:tcPr>
            <w:tcW w:w="20" w:type="dxa"/>
            <w:vAlign w:val="bottom"/>
            <w:tcBorders>
              <w:top w:val="single" w:sz="8" w:color="0000EE"/>
            </w:tcBorders>
          </w:tcPr>
          <w:p>
            <w:pPr>
              <w:spacing w:after="0"/>
              <w:rPr>
                <w:sz w:val="3"/>
                <w:szCs w:val="3"/>
                <w:color w:val="auto"/>
              </w:rPr>
            </w:pPr>
          </w:p>
        </w:tc>
        <w:tc>
          <w:tcPr>
            <w:tcW w:w="240" w:type="dxa"/>
            <w:vAlign w:val="bottom"/>
            <w:tcBorders>
              <w:top w:val="single" w:sz="8" w:color="0000EE"/>
              <w:bottom w:val="single" w:sz="8" w:color="F0FFFF"/>
            </w:tcBorders>
            <w:shd w:val="clear" w:color="auto" w:fill="F0FFFF"/>
          </w:tcPr>
          <w:p>
            <w:pPr>
              <w:spacing w:after="0"/>
              <w:rPr>
                <w:sz w:val="3"/>
                <w:szCs w:val="3"/>
                <w:color w:val="auto"/>
              </w:rPr>
            </w:pPr>
          </w:p>
        </w:tc>
        <w:tc>
          <w:tcPr>
            <w:tcW w:w="200" w:type="dxa"/>
            <w:vAlign w:val="bottom"/>
            <w:tcBorders>
              <w:top w:val="single" w:sz="8" w:color="0000EE"/>
              <w:bottom w:val="single" w:sz="8" w:color="F0FFFF"/>
            </w:tcBorders>
            <w:shd w:val="clear" w:color="auto" w:fill="F0FFFF"/>
          </w:tcPr>
          <w:p>
            <w:pPr>
              <w:spacing w:after="0"/>
              <w:rPr>
                <w:sz w:val="3"/>
                <w:szCs w:val="3"/>
                <w:color w:val="auto"/>
              </w:rPr>
            </w:pPr>
          </w:p>
        </w:tc>
        <w:tc>
          <w:tcPr>
            <w:tcW w:w="80" w:type="dxa"/>
            <w:vAlign w:val="bottom"/>
            <w:tcBorders>
              <w:top w:val="single" w:sz="8" w:color="0000EE"/>
              <w:bottom w:val="single" w:sz="8" w:color="F0FFFF"/>
            </w:tcBorders>
            <w:shd w:val="clear" w:color="auto" w:fill="F0FFFF"/>
          </w:tcPr>
          <w:p>
            <w:pPr>
              <w:spacing w:after="0"/>
              <w:rPr>
                <w:sz w:val="3"/>
                <w:szCs w:val="3"/>
                <w:color w:val="auto"/>
              </w:rPr>
            </w:pPr>
          </w:p>
        </w:tc>
        <w:tc>
          <w:tcPr>
            <w:tcW w:w="100" w:type="dxa"/>
            <w:vAlign w:val="bottom"/>
            <w:tcBorders>
              <w:top w:val="single" w:sz="8" w:color="0000EE"/>
              <w:bottom w:val="single" w:sz="8" w:color="F0FFFF"/>
            </w:tcBorders>
            <w:shd w:val="clear" w:color="auto" w:fill="F0FFFF"/>
          </w:tcPr>
          <w:p>
            <w:pPr>
              <w:spacing w:after="0"/>
              <w:rPr>
                <w:sz w:val="3"/>
                <w:szCs w:val="3"/>
                <w:color w:val="auto"/>
              </w:rPr>
            </w:pPr>
          </w:p>
        </w:tc>
        <w:tc>
          <w:tcPr>
            <w:tcW w:w="4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60" w:type="dxa"/>
            <w:vAlign w:val="bottom"/>
            <w:tcBorders>
              <w:top w:val="single" w:sz="8" w:color="0000EE"/>
              <w:bottom w:val="single" w:sz="8" w:color="F0FFFF"/>
            </w:tcBorders>
            <w:shd w:val="clear" w:color="auto" w:fill="F0FFFF"/>
          </w:tcPr>
          <w:p>
            <w:pPr>
              <w:spacing w:after="0"/>
              <w:rPr>
                <w:sz w:val="3"/>
                <w:szCs w:val="3"/>
                <w:color w:val="auto"/>
              </w:rPr>
            </w:pPr>
          </w:p>
        </w:tc>
        <w:tc>
          <w:tcPr>
            <w:tcW w:w="60" w:type="dxa"/>
            <w:vAlign w:val="bottom"/>
            <w:tcBorders>
              <w:top w:val="single" w:sz="8" w:color="F0FFFF"/>
              <w:bottom w:val="single" w:sz="8" w:color="F0FFFF"/>
            </w:tcBorders>
            <w:shd w:val="clear" w:color="auto" w:fill="F0FFFF"/>
          </w:tcPr>
          <w:p>
            <w:pPr>
              <w:spacing w:after="0"/>
              <w:rPr>
                <w:sz w:val="3"/>
                <w:szCs w:val="3"/>
                <w:color w:val="auto"/>
              </w:rPr>
            </w:pPr>
          </w:p>
        </w:tc>
        <w:tc>
          <w:tcPr>
            <w:tcW w:w="40" w:type="dxa"/>
            <w:vAlign w:val="bottom"/>
            <w:tcBorders>
              <w:top w:val="single" w:sz="8" w:color="F0FFFF"/>
              <w:bottom w:val="single" w:sz="8" w:color="F0FFFF"/>
            </w:tcBorders>
            <w:shd w:val="clear" w:color="auto" w:fill="F0FFFF"/>
          </w:tcPr>
          <w:p>
            <w:pPr>
              <w:spacing w:after="0"/>
              <w:rPr>
                <w:sz w:val="3"/>
                <w:szCs w:val="3"/>
                <w:color w:val="auto"/>
              </w:rPr>
            </w:pPr>
          </w:p>
        </w:tc>
        <w:tc>
          <w:tcPr>
            <w:tcW w:w="6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6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60" w:type="dxa"/>
            <w:vAlign w:val="bottom"/>
            <w:tcBorders>
              <w:top w:val="single" w:sz="8" w:color="F0FFFF"/>
              <w:bottom w:val="single" w:sz="8" w:color="F0FFFF"/>
            </w:tcBorders>
            <w:shd w:val="clear" w:color="auto" w:fill="F0FFFF"/>
          </w:tcPr>
          <w:p>
            <w:pPr>
              <w:spacing w:after="0"/>
              <w:rPr>
                <w:sz w:val="3"/>
                <w:szCs w:val="3"/>
                <w:color w:val="auto"/>
              </w:rPr>
            </w:pPr>
          </w:p>
        </w:tc>
        <w:tc>
          <w:tcPr>
            <w:tcW w:w="80" w:type="dxa"/>
            <w:vAlign w:val="bottom"/>
            <w:tcBorders>
              <w:top w:val="single" w:sz="8" w:color="F0FFFF"/>
              <w:bottom w:val="single" w:sz="8" w:color="F0FFFF"/>
            </w:tcBorders>
            <w:shd w:val="clear" w:color="auto" w:fill="F0FFFF"/>
          </w:tcPr>
          <w:p>
            <w:pPr>
              <w:spacing w:after="0"/>
              <w:rPr>
                <w:sz w:val="3"/>
                <w:szCs w:val="3"/>
                <w:color w:val="auto"/>
              </w:rPr>
            </w:pPr>
          </w:p>
        </w:tc>
        <w:tc>
          <w:tcPr>
            <w:tcW w:w="80" w:type="dxa"/>
            <w:vAlign w:val="bottom"/>
            <w:tcBorders>
              <w:top w:val="single" w:sz="8" w:color="F0FFFF"/>
              <w:bottom w:val="single" w:sz="8" w:color="F0FFFF"/>
            </w:tcBorders>
            <w:shd w:val="clear" w:color="auto" w:fill="F0FFFF"/>
          </w:tcPr>
          <w:p>
            <w:pPr>
              <w:spacing w:after="0"/>
              <w:rPr>
                <w:sz w:val="3"/>
                <w:szCs w:val="3"/>
                <w:color w:val="auto"/>
              </w:rPr>
            </w:pPr>
          </w:p>
        </w:tc>
        <w:tc>
          <w:tcPr>
            <w:tcW w:w="60" w:type="dxa"/>
            <w:vAlign w:val="bottom"/>
            <w:tcBorders>
              <w:top w:val="single" w:sz="8" w:color="F0FFFF"/>
              <w:bottom w:val="single" w:sz="8" w:color="F0FFFF"/>
            </w:tcBorders>
            <w:shd w:val="clear" w:color="auto" w:fill="F0FFFF"/>
          </w:tcPr>
          <w:p>
            <w:pPr>
              <w:spacing w:after="0"/>
              <w:rPr>
                <w:sz w:val="3"/>
                <w:szCs w:val="3"/>
                <w:color w:val="auto"/>
              </w:rPr>
            </w:pPr>
          </w:p>
        </w:tc>
        <w:tc>
          <w:tcPr>
            <w:tcW w:w="4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8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60" w:type="dxa"/>
            <w:vAlign w:val="bottom"/>
            <w:tcBorders>
              <w:top w:val="single" w:sz="8" w:color="F0FFFF"/>
              <w:bottom w:val="single" w:sz="8" w:color="F0FFFF"/>
            </w:tcBorders>
            <w:shd w:val="clear" w:color="auto" w:fill="F0FFFF"/>
          </w:tcPr>
          <w:p>
            <w:pPr>
              <w:spacing w:after="0"/>
              <w:rPr>
                <w:sz w:val="3"/>
                <w:szCs w:val="3"/>
                <w:color w:val="auto"/>
              </w:rPr>
            </w:pPr>
          </w:p>
        </w:tc>
        <w:tc>
          <w:tcPr>
            <w:tcW w:w="40" w:type="dxa"/>
            <w:vAlign w:val="bottom"/>
            <w:tcBorders>
              <w:top w:val="single" w:sz="8" w:color="F0FFFF"/>
              <w:bottom w:val="single" w:sz="8" w:color="F0FFFF"/>
            </w:tcBorders>
            <w:shd w:val="clear" w:color="auto" w:fill="F0FFFF"/>
          </w:tcPr>
          <w:p>
            <w:pPr>
              <w:spacing w:after="0"/>
              <w:rPr>
                <w:sz w:val="3"/>
                <w:szCs w:val="3"/>
                <w:color w:val="auto"/>
              </w:rPr>
            </w:pPr>
          </w:p>
        </w:tc>
        <w:tc>
          <w:tcPr>
            <w:tcW w:w="12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80" w:type="dxa"/>
            <w:vAlign w:val="bottom"/>
            <w:tcBorders>
              <w:top w:val="single" w:sz="8" w:color="F0FFFF"/>
              <w:bottom w:val="single" w:sz="8" w:color="F0FFFF"/>
            </w:tcBorders>
            <w:shd w:val="clear" w:color="auto" w:fill="F0FFFF"/>
          </w:tcPr>
          <w:p>
            <w:pPr>
              <w:spacing w:after="0"/>
              <w:rPr>
                <w:sz w:val="3"/>
                <w:szCs w:val="3"/>
                <w:color w:val="auto"/>
              </w:rPr>
            </w:pPr>
          </w:p>
        </w:tc>
        <w:tc>
          <w:tcPr>
            <w:tcW w:w="300" w:type="dxa"/>
            <w:vAlign w:val="bottom"/>
            <w:tcBorders>
              <w:top w:val="single" w:sz="8" w:color="F0FFFF"/>
              <w:bottom w:val="single" w:sz="8" w:color="F0FFFF"/>
            </w:tcBorders>
            <w:shd w:val="clear" w:color="auto" w:fill="F0FFFF"/>
          </w:tcPr>
          <w:p>
            <w:pPr>
              <w:spacing w:after="0"/>
              <w:rPr>
                <w:sz w:val="3"/>
                <w:szCs w:val="3"/>
                <w:color w:val="auto"/>
              </w:rPr>
            </w:pPr>
          </w:p>
        </w:tc>
        <w:tc>
          <w:tcPr>
            <w:tcW w:w="200" w:type="dxa"/>
            <w:vAlign w:val="bottom"/>
            <w:tcBorders>
              <w:top w:val="single" w:sz="8" w:color="F0FFFF"/>
              <w:bottom w:val="single" w:sz="8" w:color="F0FFFF"/>
            </w:tcBorders>
            <w:shd w:val="clear" w:color="auto" w:fill="F0FFFF"/>
          </w:tcPr>
          <w:p>
            <w:pPr>
              <w:spacing w:after="0"/>
              <w:rPr>
                <w:sz w:val="3"/>
                <w:szCs w:val="3"/>
                <w:color w:val="auto"/>
              </w:rPr>
            </w:pPr>
          </w:p>
        </w:tc>
        <w:tc>
          <w:tcPr>
            <w:tcW w:w="60" w:type="dxa"/>
            <w:vAlign w:val="bottom"/>
            <w:tcBorders>
              <w:top w:val="single" w:sz="8" w:color="F0FFFF"/>
              <w:bottom w:val="single" w:sz="8" w:color="F0FFFF"/>
            </w:tcBorders>
            <w:shd w:val="clear" w:color="auto" w:fill="F0FFFF"/>
          </w:tcPr>
          <w:p>
            <w:pPr>
              <w:spacing w:after="0"/>
              <w:rPr>
                <w:sz w:val="3"/>
                <w:szCs w:val="3"/>
                <w:color w:val="auto"/>
              </w:rPr>
            </w:pPr>
          </w:p>
        </w:tc>
        <w:tc>
          <w:tcPr>
            <w:tcW w:w="80" w:type="dxa"/>
            <w:vAlign w:val="bottom"/>
            <w:tcBorders>
              <w:top w:val="single" w:sz="8" w:color="F0FFFF"/>
              <w:bottom w:val="single" w:sz="8" w:color="F0FFFF"/>
            </w:tcBorders>
            <w:shd w:val="clear" w:color="auto" w:fill="F0FFFF"/>
          </w:tcPr>
          <w:p>
            <w:pPr>
              <w:spacing w:after="0"/>
              <w:rPr>
                <w:sz w:val="3"/>
                <w:szCs w:val="3"/>
                <w:color w:val="auto"/>
              </w:rPr>
            </w:pPr>
          </w:p>
        </w:tc>
        <w:tc>
          <w:tcPr>
            <w:tcW w:w="260" w:type="dxa"/>
            <w:vAlign w:val="bottom"/>
            <w:tcBorders>
              <w:top w:val="single" w:sz="8" w:color="F0FFFF"/>
              <w:bottom w:val="single" w:sz="8" w:color="F0FFFF"/>
            </w:tcBorders>
            <w:shd w:val="clear" w:color="auto" w:fill="F0FFFF"/>
          </w:tcPr>
          <w:p>
            <w:pPr>
              <w:spacing w:after="0"/>
              <w:rPr>
                <w:sz w:val="3"/>
                <w:szCs w:val="3"/>
                <w:color w:val="auto"/>
              </w:rPr>
            </w:pPr>
          </w:p>
        </w:tc>
        <w:tc>
          <w:tcPr>
            <w:tcW w:w="200" w:type="dxa"/>
            <w:vAlign w:val="bottom"/>
            <w:tcBorders>
              <w:top w:val="single" w:sz="8" w:color="F0FFFF"/>
              <w:bottom w:val="single" w:sz="8" w:color="F0FFFF"/>
            </w:tcBorders>
            <w:shd w:val="clear" w:color="auto" w:fill="F0FFFF"/>
          </w:tcPr>
          <w:p>
            <w:pPr>
              <w:spacing w:after="0"/>
              <w:rPr>
                <w:sz w:val="3"/>
                <w:szCs w:val="3"/>
                <w:color w:val="auto"/>
              </w:rPr>
            </w:pPr>
          </w:p>
        </w:tc>
        <w:tc>
          <w:tcPr>
            <w:tcW w:w="16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28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52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300" w:type="dxa"/>
            <w:vAlign w:val="bottom"/>
            <w:tcBorders>
              <w:top w:val="single" w:sz="8" w:color="F0FFFF"/>
              <w:bottom w:val="single" w:sz="8" w:color="F0FFFF"/>
            </w:tcBorders>
            <w:shd w:val="clear" w:color="auto" w:fill="F0FFFF"/>
          </w:tcPr>
          <w:p>
            <w:pPr>
              <w:spacing w:after="0"/>
              <w:rPr>
                <w:sz w:val="3"/>
                <w:szCs w:val="3"/>
                <w:color w:val="auto"/>
              </w:rPr>
            </w:pPr>
          </w:p>
        </w:tc>
        <w:tc>
          <w:tcPr>
            <w:tcW w:w="480" w:type="dxa"/>
            <w:vAlign w:val="bottom"/>
            <w:tcBorders>
              <w:top w:val="single" w:sz="8" w:color="F0FFFF"/>
              <w:bottom w:val="single" w:sz="8" w:color="F0FFFF"/>
            </w:tcBorders>
            <w:shd w:val="clear" w:color="auto" w:fill="F0FFFF"/>
          </w:tcPr>
          <w:p>
            <w:pPr>
              <w:spacing w:after="0"/>
              <w:rPr>
                <w:sz w:val="3"/>
                <w:szCs w:val="3"/>
                <w:color w:val="auto"/>
              </w:rPr>
            </w:pPr>
          </w:p>
        </w:tc>
        <w:tc>
          <w:tcPr>
            <w:tcW w:w="720" w:type="dxa"/>
            <w:vAlign w:val="bottom"/>
            <w:tcBorders>
              <w:top w:val="single" w:sz="8" w:color="F0FFFF"/>
              <w:bottom w:val="single" w:sz="8" w:color="F0FFFF"/>
            </w:tcBorders>
            <w:shd w:val="clear" w:color="auto" w:fill="F0FFFF"/>
          </w:tcPr>
          <w:p>
            <w:pPr>
              <w:spacing w:after="0"/>
              <w:rPr>
                <w:sz w:val="3"/>
                <w:szCs w:val="3"/>
                <w:color w:val="auto"/>
              </w:rPr>
            </w:pPr>
          </w:p>
        </w:tc>
        <w:tc>
          <w:tcPr>
            <w:tcW w:w="860" w:type="dxa"/>
            <w:vAlign w:val="bottom"/>
            <w:tcBorders>
              <w:top w:val="single" w:sz="8" w:color="F0FFFF"/>
              <w:bottom w:val="single" w:sz="8" w:color="F0FFFF"/>
            </w:tcBorders>
            <w:vMerge w:val="continue"/>
            <w:shd w:val="clear" w:color="auto" w:fill="F0FFFF"/>
          </w:tcPr>
          <w:p>
            <w:pPr>
              <w:spacing w:after="0"/>
              <w:rPr>
                <w:sz w:val="3"/>
                <w:szCs w:val="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5420" w:type="dxa"/>
            <w:vAlign w:val="bottom"/>
            <w:gridSpan w:val="43"/>
          </w:tcPr>
          <w:p>
            <w:pPr>
              <w:spacing w:after="0" w:line="104" w:lineRule="exact"/>
              <w:rPr>
                <w:sz w:val="20"/>
                <w:szCs w:val="20"/>
                <w:color w:val="auto"/>
              </w:rPr>
            </w:pPr>
            <w:r>
              <w:rPr>
                <w:rFonts w:ascii="Times New Roman" w:cs="Times New Roman" w:eastAsia="Times New Roman" w:hAnsi="Times New Roman"/>
                <w:sz w:val="11"/>
                <w:szCs w:val="11"/>
                <w:color w:val="0000EE"/>
              </w:rPr>
              <w:t>AUTOMATIC CASH VALUE REBALANCING PROGRAM</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42"/>
        </w:trPr>
        <w:tc>
          <w:tcPr>
            <w:tcW w:w="20" w:type="dxa"/>
            <w:vAlign w:val="bottom"/>
            <w:tcBorders>
              <w:top w:val="single" w:sz="8" w:color="0000EE"/>
            </w:tcBorders>
          </w:tcPr>
          <w:p>
            <w:pPr>
              <w:spacing w:after="0"/>
              <w:rPr>
                <w:sz w:val="3"/>
                <w:szCs w:val="3"/>
                <w:color w:val="auto"/>
              </w:rPr>
            </w:pPr>
          </w:p>
        </w:tc>
        <w:tc>
          <w:tcPr>
            <w:tcW w:w="240" w:type="dxa"/>
            <w:vAlign w:val="bottom"/>
            <w:tcBorders>
              <w:top w:val="single" w:sz="8" w:color="0000EE"/>
            </w:tcBorders>
          </w:tcPr>
          <w:p>
            <w:pPr>
              <w:spacing w:after="0"/>
              <w:rPr>
                <w:sz w:val="3"/>
                <w:szCs w:val="3"/>
                <w:color w:val="auto"/>
              </w:rPr>
            </w:pPr>
          </w:p>
        </w:tc>
        <w:tc>
          <w:tcPr>
            <w:tcW w:w="20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300" w:type="dxa"/>
            <w:vAlign w:val="bottom"/>
            <w:tcBorders>
              <w:top w:val="single" w:sz="8" w:color="0000EE"/>
            </w:tcBorders>
          </w:tcPr>
          <w:p>
            <w:pPr>
              <w:spacing w:after="0"/>
              <w:rPr>
                <w:sz w:val="3"/>
                <w:szCs w:val="3"/>
                <w:color w:val="auto"/>
              </w:rPr>
            </w:pPr>
          </w:p>
        </w:tc>
        <w:tc>
          <w:tcPr>
            <w:tcW w:w="20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260" w:type="dxa"/>
            <w:vAlign w:val="bottom"/>
            <w:tcBorders>
              <w:top w:val="single" w:sz="8" w:color="0000EE"/>
            </w:tcBorders>
          </w:tcPr>
          <w:p>
            <w:pPr>
              <w:spacing w:after="0"/>
              <w:rPr>
                <w:sz w:val="3"/>
                <w:szCs w:val="3"/>
                <w:color w:val="auto"/>
              </w:rPr>
            </w:pPr>
          </w:p>
        </w:tc>
        <w:tc>
          <w:tcPr>
            <w:tcW w:w="20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8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52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420" w:type="dxa"/>
            <w:vAlign w:val="bottom"/>
            <w:gridSpan w:val="43"/>
            <w:shd w:val="clear" w:color="auto" w:fill="F0FFFF"/>
          </w:tcPr>
          <w:p>
            <w:pPr>
              <w:spacing w:after="0" w:line="124" w:lineRule="exact"/>
              <w:rPr>
                <w:sz w:val="20"/>
                <w:szCs w:val="20"/>
                <w:color w:val="auto"/>
              </w:rPr>
            </w:pPr>
            <w:r>
              <w:rPr>
                <w:rFonts w:ascii="Times New Roman" w:cs="Times New Roman" w:eastAsia="Times New Roman" w:hAnsi="Times New Roman"/>
                <w:sz w:val="14"/>
                <w:szCs w:val="14"/>
                <w:color w:val="0000EE"/>
              </w:rPr>
              <w:t>LOANS</w:t>
            </w:r>
          </w:p>
        </w:tc>
        <w:tc>
          <w:tcPr>
            <w:tcW w:w="86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42"/>
        </w:trPr>
        <w:tc>
          <w:tcPr>
            <w:tcW w:w="20" w:type="dxa"/>
            <w:vAlign w:val="bottom"/>
            <w:tcBorders>
              <w:top w:val="single" w:sz="8" w:color="0000EE"/>
            </w:tcBorders>
          </w:tcPr>
          <w:p>
            <w:pPr>
              <w:spacing w:after="0"/>
              <w:rPr>
                <w:sz w:val="3"/>
                <w:szCs w:val="3"/>
                <w:color w:val="auto"/>
              </w:rPr>
            </w:pPr>
          </w:p>
        </w:tc>
        <w:tc>
          <w:tcPr>
            <w:tcW w:w="240" w:type="dxa"/>
            <w:vAlign w:val="bottom"/>
            <w:tcBorders>
              <w:top w:val="single" w:sz="8" w:color="0000EE"/>
              <w:bottom w:val="single" w:sz="8" w:color="F0FFFF"/>
            </w:tcBorders>
            <w:shd w:val="clear" w:color="auto" w:fill="F0FFFF"/>
          </w:tcPr>
          <w:p>
            <w:pPr>
              <w:spacing w:after="0"/>
              <w:rPr>
                <w:sz w:val="3"/>
                <w:szCs w:val="3"/>
                <w:color w:val="auto"/>
              </w:rPr>
            </w:pPr>
          </w:p>
        </w:tc>
        <w:tc>
          <w:tcPr>
            <w:tcW w:w="200" w:type="dxa"/>
            <w:vAlign w:val="bottom"/>
            <w:tcBorders>
              <w:top w:val="single" w:sz="8" w:color="0000EE"/>
              <w:bottom w:val="single" w:sz="8" w:color="F0FFFF"/>
            </w:tcBorders>
            <w:shd w:val="clear" w:color="auto" w:fill="F0FFFF"/>
          </w:tcPr>
          <w:p>
            <w:pPr>
              <w:spacing w:after="0"/>
              <w:rPr>
                <w:sz w:val="3"/>
                <w:szCs w:val="3"/>
                <w:color w:val="auto"/>
              </w:rPr>
            </w:pPr>
          </w:p>
        </w:tc>
        <w:tc>
          <w:tcPr>
            <w:tcW w:w="80" w:type="dxa"/>
            <w:vAlign w:val="bottom"/>
            <w:tcBorders>
              <w:top w:val="single" w:sz="8" w:color="F0FFFF"/>
              <w:bottom w:val="single" w:sz="8" w:color="F0FFFF"/>
            </w:tcBorders>
            <w:shd w:val="clear" w:color="auto" w:fill="F0FFFF"/>
          </w:tcPr>
          <w:p>
            <w:pPr>
              <w:spacing w:after="0"/>
              <w:rPr>
                <w:sz w:val="3"/>
                <w:szCs w:val="3"/>
                <w:color w:val="auto"/>
              </w:rPr>
            </w:pPr>
          </w:p>
        </w:tc>
        <w:tc>
          <w:tcPr>
            <w:tcW w:w="100" w:type="dxa"/>
            <w:vAlign w:val="bottom"/>
            <w:tcBorders>
              <w:top w:val="single" w:sz="8" w:color="F0FFFF"/>
              <w:bottom w:val="single" w:sz="8" w:color="F0FFFF"/>
            </w:tcBorders>
            <w:shd w:val="clear" w:color="auto" w:fill="F0FFFF"/>
          </w:tcPr>
          <w:p>
            <w:pPr>
              <w:spacing w:after="0"/>
              <w:rPr>
                <w:sz w:val="3"/>
                <w:szCs w:val="3"/>
                <w:color w:val="auto"/>
              </w:rPr>
            </w:pPr>
          </w:p>
        </w:tc>
        <w:tc>
          <w:tcPr>
            <w:tcW w:w="4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60" w:type="dxa"/>
            <w:vAlign w:val="bottom"/>
            <w:tcBorders>
              <w:top w:val="single" w:sz="8" w:color="F0FFFF"/>
              <w:bottom w:val="single" w:sz="8" w:color="F0FFFF"/>
            </w:tcBorders>
            <w:shd w:val="clear" w:color="auto" w:fill="F0FFFF"/>
          </w:tcPr>
          <w:p>
            <w:pPr>
              <w:spacing w:after="0"/>
              <w:rPr>
                <w:sz w:val="3"/>
                <w:szCs w:val="3"/>
                <w:color w:val="auto"/>
              </w:rPr>
            </w:pPr>
          </w:p>
        </w:tc>
        <w:tc>
          <w:tcPr>
            <w:tcW w:w="60" w:type="dxa"/>
            <w:vAlign w:val="bottom"/>
            <w:tcBorders>
              <w:top w:val="single" w:sz="8" w:color="F0FFFF"/>
              <w:bottom w:val="single" w:sz="8" w:color="F0FFFF"/>
            </w:tcBorders>
            <w:shd w:val="clear" w:color="auto" w:fill="F0FFFF"/>
          </w:tcPr>
          <w:p>
            <w:pPr>
              <w:spacing w:after="0"/>
              <w:rPr>
                <w:sz w:val="3"/>
                <w:szCs w:val="3"/>
                <w:color w:val="auto"/>
              </w:rPr>
            </w:pPr>
          </w:p>
        </w:tc>
        <w:tc>
          <w:tcPr>
            <w:tcW w:w="40" w:type="dxa"/>
            <w:vAlign w:val="bottom"/>
            <w:tcBorders>
              <w:top w:val="single" w:sz="8" w:color="F0FFFF"/>
              <w:bottom w:val="single" w:sz="8" w:color="F0FFFF"/>
            </w:tcBorders>
            <w:shd w:val="clear" w:color="auto" w:fill="F0FFFF"/>
          </w:tcPr>
          <w:p>
            <w:pPr>
              <w:spacing w:after="0"/>
              <w:rPr>
                <w:sz w:val="3"/>
                <w:szCs w:val="3"/>
                <w:color w:val="auto"/>
              </w:rPr>
            </w:pPr>
          </w:p>
        </w:tc>
        <w:tc>
          <w:tcPr>
            <w:tcW w:w="6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6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60" w:type="dxa"/>
            <w:vAlign w:val="bottom"/>
            <w:tcBorders>
              <w:top w:val="single" w:sz="8" w:color="F0FFFF"/>
              <w:bottom w:val="single" w:sz="8" w:color="F0FFFF"/>
            </w:tcBorders>
            <w:shd w:val="clear" w:color="auto" w:fill="F0FFFF"/>
          </w:tcPr>
          <w:p>
            <w:pPr>
              <w:spacing w:after="0"/>
              <w:rPr>
                <w:sz w:val="3"/>
                <w:szCs w:val="3"/>
                <w:color w:val="auto"/>
              </w:rPr>
            </w:pPr>
          </w:p>
        </w:tc>
        <w:tc>
          <w:tcPr>
            <w:tcW w:w="80" w:type="dxa"/>
            <w:vAlign w:val="bottom"/>
            <w:tcBorders>
              <w:top w:val="single" w:sz="8" w:color="F0FFFF"/>
              <w:bottom w:val="single" w:sz="8" w:color="F0FFFF"/>
            </w:tcBorders>
            <w:shd w:val="clear" w:color="auto" w:fill="F0FFFF"/>
          </w:tcPr>
          <w:p>
            <w:pPr>
              <w:spacing w:after="0"/>
              <w:rPr>
                <w:sz w:val="3"/>
                <w:szCs w:val="3"/>
                <w:color w:val="auto"/>
              </w:rPr>
            </w:pPr>
          </w:p>
        </w:tc>
        <w:tc>
          <w:tcPr>
            <w:tcW w:w="80" w:type="dxa"/>
            <w:vAlign w:val="bottom"/>
            <w:tcBorders>
              <w:top w:val="single" w:sz="8" w:color="F0FFFF"/>
              <w:bottom w:val="single" w:sz="8" w:color="F0FFFF"/>
            </w:tcBorders>
            <w:shd w:val="clear" w:color="auto" w:fill="F0FFFF"/>
          </w:tcPr>
          <w:p>
            <w:pPr>
              <w:spacing w:after="0"/>
              <w:rPr>
                <w:sz w:val="3"/>
                <w:szCs w:val="3"/>
                <w:color w:val="auto"/>
              </w:rPr>
            </w:pPr>
          </w:p>
        </w:tc>
        <w:tc>
          <w:tcPr>
            <w:tcW w:w="60" w:type="dxa"/>
            <w:vAlign w:val="bottom"/>
            <w:tcBorders>
              <w:top w:val="single" w:sz="8" w:color="F0FFFF"/>
              <w:bottom w:val="single" w:sz="8" w:color="F0FFFF"/>
            </w:tcBorders>
            <w:shd w:val="clear" w:color="auto" w:fill="F0FFFF"/>
          </w:tcPr>
          <w:p>
            <w:pPr>
              <w:spacing w:after="0"/>
              <w:rPr>
                <w:sz w:val="3"/>
                <w:szCs w:val="3"/>
                <w:color w:val="auto"/>
              </w:rPr>
            </w:pPr>
          </w:p>
        </w:tc>
        <w:tc>
          <w:tcPr>
            <w:tcW w:w="4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8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60" w:type="dxa"/>
            <w:vAlign w:val="bottom"/>
            <w:tcBorders>
              <w:top w:val="single" w:sz="8" w:color="F0FFFF"/>
              <w:bottom w:val="single" w:sz="8" w:color="F0FFFF"/>
            </w:tcBorders>
            <w:shd w:val="clear" w:color="auto" w:fill="F0FFFF"/>
          </w:tcPr>
          <w:p>
            <w:pPr>
              <w:spacing w:after="0"/>
              <w:rPr>
                <w:sz w:val="3"/>
                <w:szCs w:val="3"/>
                <w:color w:val="auto"/>
              </w:rPr>
            </w:pPr>
          </w:p>
        </w:tc>
        <w:tc>
          <w:tcPr>
            <w:tcW w:w="40" w:type="dxa"/>
            <w:vAlign w:val="bottom"/>
            <w:tcBorders>
              <w:top w:val="single" w:sz="8" w:color="F0FFFF"/>
              <w:bottom w:val="single" w:sz="8" w:color="F0FFFF"/>
            </w:tcBorders>
            <w:shd w:val="clear" w:color="auto" w:fill="F0FFFF"/>
          </w:tcPr>
          <w:p>
            <w:pPr>
              <w:spacing w:after="0"/>
              <w:rPr>
                <w:sz w:val="3"/>
                <w:szCs w:val="3"/>
                <w:color w:val="auto"/>
              </w:rPr>
            </w:pPr>
          </w:p>
        </w:tc>
        <w:tc>
          <w:tcPr>
            <w:tcW w:w="12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80" w:type="dxa"/>
            <w:vAlign w:val="bottom"/>
            <w:tcBorders>
              <w:top w:val="single" w:sz="8" w:color="F0FFFF"/>
              <w:bottom w:val="single" w:sz="8" w:color="F0FFFF"/>
            </w:tcBorders>
            <w:shd w:val="clear" w:color="auto" w:fill="F0FFFF"/>
          </w:tcPr>
          <w:p>
            <w:pPr>
              <w:spacing w:after="0"/>
              <w:rPr>
                <w:sz w:val="3"/>
                <w:szCs w:val="3"/>
                <w:color w:val="auto"/>
              </w:rPr>
            </w:pPr>
          </w:p>
        </w:tc>
        <w:tc>
          <w:tcPr>
            <w:tcW w:w="300" w:type="dxa"/>
            <w:vAlign w:val="bottom"/>
            <w:tcBorders>
              <w:top w:val="single" w:sz="8" w:color="F0FFFF"/>
              <w:bottom w:val="single" w:sz="8" w:color="F0FFFF"/>
            </w:tcBorders>
            <w:shd w:val="clear" w:color="auto" w:fill="F0FFFF"/>
          </w:tcPr>
          <w:p>
            <w:pPr>
              <w:spacing w:after="0"/>
              <w:rPr>
                <w:sz w:val="3"/>
                <w:szCs w:val="3"/>
                <w:color w:val="auto"/>
              </w:rPr>
            </w:pPr>
          </w:p>
        </w:tc>
        <w:tc>
          <w:tcPr>
            <w:tcW w:w="200" w:type="dxa"/>
            <w:vAlign w:val="bottom"/>
            <w:tcBorders>
              <w:top w:val="single" w:sz="8" w:color="F0FFFF"/>
              <w:bottom w:val="single" w:sz="8" w:color="F0FFFF"/>
            </w:tcBorders>
            <w:shd w:val="clear" w:color="auto" w:fill="F0FFFF"/>
          </w:tcPr>
          <w:p>
            <w:pPr>
              <w:spacing w:after="0"/>
              <w:rPr>
                <w:sz w:val="3"/>
                <w:szCs w:val="3"/>
                <w:color w:val="auto"/>
              </w:rPr>
            </w:pPr>
          </w:p>
        </w:tc>
        <w:tc>
          <w:tcPr>
            <w:tcW w:w="60" w:type="dxa"/>
            <w:vAlign w:val="bottom"/>
            <w:tcBorders>
              <w:top w:val="single" w:sz="8" w:color="F0FFFF"/>
              <w:bottom w:val="single" w:sz="8" w:color="F0FFFF"/>
            </w:tcBorders>
            <w:shd w:val="clear" w:color="auto" w:fill="F0FFFF"/>
          </w:tcPr>
          <w:p>
            <w:pPr>
              <w:spacing w:after="0"/>
              <w:rPr>
                <w:sz w:val="3"/>
                <w:szCs w:val="3"/>
                <w:color w:val="auto"/>
              </w:rPr>
            </w:pPr>
          </w:p>
        </w:tc>
        <w:tc>
          <w:tcPr>
            <w:tcW w:w="80" w:type="dxa"/>
            <w:vAlign w:val="bottom"/>
            <w:tcBorders>
              <w:top w:val="single" w:sz="8" w:color="F0FFFF"/>
              <w:bottom w:val="single" w:sz="8" w:color="F0FFFF"/>
            </w:tcBorders>
            <w:shd w:val="clear" w:color="auto" w:fill="F0FFFF"/>
          </w:tcPr>
          <w:p>
            <w:pPr>
              <w:spacing w:after="0"/>
              <w:rPr>
                <w:sz w:val="3"/>
                <w:szCs w:val="3"/>
                <w:color w:val="auto"/>
              </w:rPr>
            </w:pPr>
          </w:p>
        </w:tc>
        <w:tc>
          <w:tcPr>
            <w:tcW w:w="260" w:type="dxa"/>
            <w:vAlign w:val="bottom"/>
            <w:tcBorders>
              <w:top w:val="single" w:sz="8" w:color="F0FFFF"/>
              <w:bottom w:val="single" w:sz="8" w:color="F0FFFF"/>
            </w:tcBorders>
            <w:shd w:val="clear" w:color="auto" w:fill="F0FFFF"/>
          </w:tcPr>
          <w:p>
            <w:pPr>
              <w:spacing w:after="0"/>
              <w:rPr>
                <w:sz w:val="3"/>
                <w:szCs w:val="3"/>
                <w:color w:val="auto"/>
              </w:rPr>
            </w:pPr>
          </w:p>
        </w:tc>
        <w:tc>
          <w:tcPr>
            <w:tcW w:w="200" w:type="dxa"/>
            <w:vAlign w:val="bottom"/>
            <w:tcBorders>
              <w:top w:val="single" w:sz="8" w:color="F0FFFF"/>
              <w:bottom w:val="single" w:sz="8" w:color="F0FFFF"/>
            </w:tcBorders>
            <w:shd w:val="clear" w:color="auto" w:fill="F0FFFF"/>
          </w:tcPr>
          <w:p>
            <w:pPr>
              <w:spacing w:after="0"/>
              <w:rPr>
                <w:sz w:val="3"/>
                <w:szCs w:val="3"/>
                <w:color w:val="auto"/>
              </w:rPr>
            </w:pPr>
          </w:p>
        </w:tc>
        <w:tc>
          <w:tcPr>
            <w:tcW w:w="16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28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52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300" w:type="dxa"/>
            <w:vAlign w:val="bottom"/>
            <w:tcBorders>
              <w:top w:val="single" w:sz="8" w:color="F0FFFF"/>
              <w:bottom w:val="single" w:sz="8" w:color="F0FFFF"/>
            </w:tcBorders>
            <w:shd w:val="clear" w:color="auto" w:fill="F0FFFF"/>
          </w:tcPr>
          <w:p>
            <w:pPr>
              <w:spacing w:after="0"/>
              <w:rPr>
                <w:sz w:val="3"/>
                <w:szCs w:val="3"/>
                <w:color w:val="auto"/>
              </w:rPr>
            </w:pPr>
          </w:p>
        </w:tc>
        <w:tc>
          <w:tcPr>
            <w:tcW w:w="480" w:type="dxa"/>
            <w:vAlign w:val="bottom"/>
            <w:tcBorders>
              <w:top w:val="single" w:sz="8" w:color="F0FFFF"/>
              <w:bottom w:val="single" w:sz="8" w:color="F0FFFF"/>
            </w:tcBorders>
            <w:shd w:val="clear" w:color="auto" w:fill="F0FFFF"/>
          </w:tcPr>
          <w:p>
            <w:pPr>
              <w:spacing w:after="0"/>
              <w:rPr>
                <w:sz w:val="3"/>
                <w:szCs w:val="3"/>
                <w:color w:val="auto"/>
              </w:rPr>
            </w:pPr>
          </w:p>
        </w:tc>
        <w:tc>
          <w:tcPr>
            <w:tcW w:w="720" w:type="dxa"/>
            <w:vAlign w:val="bottom"/>
            <w:tcBorders>
              <w:top w:val="single" w:sz="8" w:color="F0FFFF"/>
              <w:bottom w:val="single" w:sz="8" w:color="F0FFFF"/>
            </w:tcBorders>
            <w:shd w:val="clear" w:color="auto" w:fill="F0FFFF"/>
          </w:tcPr>
          <w:p>
            <w:pPr>
              <w:spacing w:after="0"/>
              <w:rPr>
                <w:sz w:val="3"/>
                <w:szCs w:val="3"/>
                <w:color w:val="auto"/>
              </w:rPr>
            </w:pPr>
          </w:p>
        </w:tc>
        <w:tc>
          <w:tcPr>
            <w:tcW w:w="860" w:type="dxa"/>
            <w:vAlign w:val="bottom"/>
            <w:tcBorders>
              <w:top w:val="single" w:sz="8" w:color="F0FFFF"/>
              <w:bottom w:val="single" w:sz="8" w:color="F0FFFF"/>
            </w:tcBorders>
            <w:vMerge w:val="continue"/>
            <w:shd w:val="clear" w:color="auto" w:fill="F0FFFF"/>
          </w:tcPr>
          <w:p>
            <w:pPr>
              <w:spacing w:after="0"/>
              <w:rPr>
                <w:sz w:val="3"/>
                <w:szCs w:val="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180" w:type="dxa"/>
            <w:vAlign w:val="bottom"/>
            <w:gridSpan w:val="42"/>
          </w:tcPr>
          <w:p>
            <w:pPr>
              <w:spacing w:after="0" w:line="104" w:lineRule="exact"/>
              <w:rPr>
                <w:sz w:val="20"/>
                <w:szCs w:val="20"/>
                <w:color w:val="auto"/>
              </w:rPr>
            </w:pPr>
            <w:r>
              <w:rPr>
                <w:rFonts w:ascii="Times New Roman" w:cs="Times New Roman" w:eastAsia="Times New Roman" w:hAnsi="Times New Roman"/>
                <w:sz w:val="11"/>
                <w:szCs w:val="11"/>
                <w:color w:val="0000EE"/>
              </w:rPr>
              <w:t>Loans that are not Distribution Payments under the GDR</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300" w:type="dxa"/>
            <w:vAlign w:val="bottom"/>
            <w:tcBorders>
              <w:top w:val="single" w:sz="8" w:color="0000EE"/>
            </w:tcBorders>
          </w:tcPr>
          <w:p>
            <w:pPr>
              <w:spacing w:after="0"/>
              <w:rPr>
                <w:sz w:val="3"/>
                <w:szCs w:val="3"/>
                <w:color w:val="auto"/>
              </w:rPr>
            </w:pPr>
          </w:p>
        </w:tc>
        <w:tc>
          <w:tcPr>
            <w:tcW w:w="20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260" w:type="dxa"/>
            <w:vAlign w:val="bottom"/>
            <w:tcBorders>
              <w:top w:val="single" w:sz="8" w:color="0000EE"/>
            </w:tcBorders>
          </w:tcPr>
          <w:p>
            <w:pPr>
              <w:spacing w:after="0"/>
              <w:rPr>
                <w:sz w:val="3"/>
                <w:szCs w:val="3"/>
                <w:color w:val="auto"/>
              </w:rPr>
            </w:pPr>
          </w:p>
        </w:tc>
        <w:tc>
          <w:tcPr>
            <w:tcW w:w="20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8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52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40" w:type="dxa"/>
            <w:vAlign w:val="bottom"/>
            <w:shd w:val="clear" w:color="auto" w:fill="F0FFFF"/>
          </w:tcPr>
          <w:p>
            <w:pPr>
              <w:spacing w:after="0"/>
              <w:rPr>
                <w:sz w:val="10"/>
                <w:szCs w:val="10"/>
                <w:color w:val="auto"/>
              </w:rPr>
            </w:pPr>
          </w:p>
        </w:tc>
        <w:tc>
          <w:tcPr>
            <w:tcW w:w="5180" w:type="dxa"/>
            <w:vAlign w:val="bottom"/>
            <w:gridSpan w:val="42"/>
            <w:shd w:val="clear" w:color="auto" w:fill="F0FFFF"/>
          </w:tcPr>
          <w:p>
            <w:pPr>
              <w:spacing w:after="0" w:line="124" w:lineRule="exact"/>
              <w:rPr>
                <w:sz w:val="20"/>
                <w:szCs w:val="20"/>
                <w:color w:val="auto"/>
              </w:rPr>
            </w:pPr>
            <w:r>
              <w:rPr>
                <w:rFonts w:ascii="Times New Roman" w:cs="Times New Roman" w:eastAsia="Times New Roman" w:hAnsi="Times New Roman"/>
                <w:sz w:val="14"/>
                <w:szCs w:val="14"/>
                <w:color w:val="0000EE"/>
              </w:rPr>
              <w:t>Loan Repayment</w:t>
            </w:r>
          </w:p>
        </w:tc>
        <w:tc>
          <w:tcPr>
            <w:tcW w:w="86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40" w:type="dxa"/>
            <w:vAlign w:val="bottom"/>
            <w:tcBorders>
              <w:top w:val="single" w:sz="8" w:color="F0FFFF"/>
              <w:bottom w:val="single" w:sz="8" w:color="F0FFFF"/>
            </w:tcBorders>
            <w:shd w:val="clear" w:color="auto" w:fill="F0FFFF"/>
          </w:tcPr>
          <w:p>
            <w:pPr>
              <w:spacing w:after="0"/>
              <w:rPr>
                <w:sz w:val="3"/>
                <w:szCs w:val="3"/>
                <w:color w:val="auto"/>
              </w:rPr>
            </w:pPr>
          </w:p>
        </w:tc>
        <w:tc>
          <w:tcPr>
            <w:tcW w:w="200" w:type="dxa"/>
            <w:vAlign w:val="bottom"/>
            <w:tcBorders>
              <w:top w:val="single" w:sz="8" w:color="0000EE"/>
              <w:bottom w:val="single" w:sz="8" w:color="F0FFFF"/>
            </w:tcBorders>
            <w:shd w:val="clear" w:color="auto" w:fill="F0FFFF"/>
          </w:tcPr>
          <w:p>
            <w:pPr>
              <w:spacing w:after="0"/>
              <w:rPr>
                <w:sz w:val="3"/>
                <w:szCs w:val="3"/>
                <w:color w:val="auto"/>
              </w:rPr>
            </w:pPr>
          </w:p>
        </w:tc>
        <w:tc>
          <w:tcPr>
            <w:tcW w:w="80" w:type="dxa"/>
            <w:vAlign w:val="bottom"/>
            <w:tcBorders>
              <w:top w:val="single" w:sz="8" w:color="0000EE"/>
              <w:bottom w:val="single" w:sz="8" w:color="F0FFFF"/>
            </w:tcBorders>
            <w:shd w:val="clear" w:color="auto" w:fill="F0FFFF"/>
          </w:tcPr>
          <w:p>
            <w:pPr>
              <w:spacing w:after="0"/>
              <w:rPr>
                <w:sz w:val="3"/>
                <w:szCs w:val="3"/>
                <w:color w:val="auto"/>
              </w:rPr>
            </w:pPr>
          </w:p>
        </w:tc>
        <w:tc>
          <w:tcPr>
            <w:tcW w:w="100" w:type="dxa"/>
            <w:vAlign w:val="bottom"/>
            <w:tcBorders>
              <w:top w:val="single" w:sz="8" w:color="0000EE"/>
              <w:bottom w:val="single" w:sz="8" w:color="F0FFFF"/>
            </w:tcBorders>
            <w:shd w:val="clear" w:color="auto" w:fill="F0FFFF"/>
          </w:tcPr>
          <w:p>
            <w:pPr>
              <w:spacing w:after="0"/>
              <w:rPr>
                <w:sz w:val="3"/>
                <w:szCs w:val="3"/>
                <w:color w:val="auto"/>
              </w:rPr>
            </w:pPr>
          </w:p>
        </w:tc>
        <w:tc>
          <w:tcPr>
            <w:tcW w:w="4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60" w:type="dxa"/>
            <w:vAlign w:val="bottom"/>
            <w:tcBorders>
              <w:top w:val="single" w:sz="8" w:color="0000EE"/>
              <w:bottom w:val="single" w:sz="8" w:color="F0FFFF"/>
            </w:tcBorders>
            <w:shd w:val="clear" w:color="auto" w:fill="F0FFFF"/>
          </w:tcPr>
          <w:p>
            <w:pPr>
              <w:spacing w:after="0"/>
              <w:rPr>
                <w:sz w:val="3"/>
                <w:szCs w:val="3"/>
                <w:color w:val="auto"/>
              </w:rPr>
            </w:pPr>
          </w:p>
        </w:tc>
        <w:tc>
          <w:tcPr>
            <w:tcW w:w="60" w:type="dxa"/>
            <w:vAlign w:val="bottom"/>
            <w:tcBorders>
              <w:top w:val="single" w:sz="8" w:color="0000EE"/>
              <w:bottom w:val="single" w:sz="8" w:color="F0FFFF"/>
            </w:tcBorders>
            <w:shd w:val="clear" w:color="auto" w:fill="F0FFFF"/>
          </w:tcPr>
          <w:p>
            <w:pPr>
              <w:spacing w:after="0"/>
              <w:rPr>
                <w:sz w:val="3"/>
                <w:szCs w:val="3"/>
                <w:color w:val="auto"/>
              </w:rPr>
            </w:pPr>
          </w:p>
        </w:tc>
        <w:tc>
          <w:tcPr>
            <w:tcW w:w="40" w:type="dxa"/>
            <w:vAlign w:val="bottom"/>
            <w:tcBorders>
              <w:top w:val="single" w:sz="8" w:color="0000EE"/>
              <w:bottom w:val="single" w:sz="8" w:color="F0FFFF"/>
            </w:tcBorders>
            <w:shd w:val="clear" w:color="auto" w:fill="F0FFFF"/>
          </w:tcPr>
          <w:p>
            <w:pPr>
              <w:spacing w:after="0"/>
              <w:rPr>
                <w:sz w:val="3"/>
                <w:szCs w:val="3"/>
                <w:color w:val="auto"/>
              </w:rPr>
            </w:pPr>
          </w:p>
        </w:tc>
        <w:tc>
          <w:tcPr>
            <w:tcW w:w="6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6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60" w:type="dxa"/>
            <w:vAlign w:val="bottom"/>
            <w:tcBorders>
              <w:top w:val="single" w:sz="8" w:color="0000EE"/>
              <w:bottom w:val="single" w:sz="8" w:color="F0FFFF"/>
            </w:tcBorders>
            <w:shd w:val="clear" w:color="auto" w:fill="F0FFFF"/>
          </w:tcPr>
          <w:p>
            <w:pPr>
              <w:spacing w:after="0"/>
              <w:rPr>
                <w:sz w:val="3"/>
                <w:szCs w:val="3"/>
                <w:color w:val="auto"/>
              </w:rPr>
            </w:pPr>
          </w:p>
        </w:tc>
        <w:tc>
          <w:tcPr>
            <w:tcW w:w="80" w:type="dxa"/>
            <w:vAlign w:val="bottom"/>
            <w:tcBorders>
              <w:top w:val="single" w:sz="8" w:color="0000EE"/>
              <w:bottom w:val="single" w:sz="8" w:color="F0FFFF"/>
            </w:tcBorders>
            <w:shd w:val="clear" w:color="auto" w:fill="F0FFFF"/>
          </w:tcPr>
          <w:p>
            <w:pPr>
              <w:spacing w:after="0"/>
              <w:rPr>
                <w:sz w:val="3"/>
                <w:szCs w:val="3"/>
                <w:color w:val="auto"/>
              </w:rPr>
            </w:pPr>
          </w:p>
        </w:tc>
        <w:tc>
          <w:tcPr>
            <w:tcW w:w="80" w:type="dxa"/>
            <w:vAlign w:val="bottom"/>
            <w:tcBorders>
              <w:top w:val="single" w:sz="8" w:color="F0FFFF"/>
              <w:bottom w:val="single" w:sz="8" w:color="F0FFFF"/>
            </w:tcBorders>
            <w:shd w:val="clear" w:color="auto" w:fill="F0FFFF"/>
          </w:tcPr>
          <w:p>
            <w:pPr>
              <w:spacing w:after="0"/>
              <w:rPr>
                <w:sz w:val="3"/>
                <w:szCs w:val="3"/>
                <w:color w:val="auto"/>
              </w:rPr>
            </w:pPr>
          </w:p>
        </w:tc>
        <w:tc>
          <w:tcPr>
            <w:tcW w:w="60" w:type="dxa"/>
            <w:vAlign w:val="bottom"/>
            <w:tcBorders>
              <w:top w:val="single" w:sz="8" w:color="F0FFFF"/>
              <w:bottom w:val="single" w:sz="8" w:color="F0FFFF"/>
            </w:tcBorders>
            <w:shd w:val="clear" w:color="auto" w:fill="F0FFFF"/>
          </w:tcPr>
          <w:p>
            <w:pPr>
              <w:spacing w:after="0"/>
              <w:rPr>
                <w:sz w:val="3"/>
                <w:szCs w:val="3"/>
                <w:color w:val="auto"/>
              </w:rPr>
            </w:pPr>
          </w:p>
        </w:tc>
        <w:tc>
          <w:tcPr>
            <w:tcW w:w="4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8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60" w:type="dxa"/>
            <w:vAlign w:val="bottom"/>
            <w:tcBorders>
              <w:top w:val="single" w:sz="8" w:color="F0FFFF"/>
              <w:bottom w:val="single" w:sz="8" w:color="F0FFFF"/>
            </w:tcBorders>
            <w:shd w:val="clear" w:color="auto" w:fill="F0FFFF"/>
          </w:tcPr>
          <w:p>
            <w:pPr>
              <w:spacing w:after="0"/>
              <w:rPr>
                <w:sz w:val="3"/>
                <w:szCs w:val="3"/>
                <w:color w:val="auto"/>
              </w:rPr>
            </w:pPr>
          </w:p>
        </w:tc>
        <w:tc>
          <w:tcPr>
            <w:tcW w:w="40" w:type="dxa"/>
            <w:vAlign w:val="bottom"/>
            <w:tcBorders>
              <w:top w:val="single" w:sz="8" w:color="F0FFFF"/>
              <w:bottom w:val="single" w:sz="8" w:color="F0FFFF"/>
            </w:tcBorders>
            <w:shd w:val="clear" w:color="auto" w:fill="F0FFFF"/>
          </w:tcPr>
          <w:p>
            <w:pPr>
              <w:spacing w:after="0"/>
              <w:rPr>
                <w:sz w:val="3"/>
                <w:szCs w:val="3"/>
                <w:color w:val="auto"/>
              </w:rPr>
            </w:pPr>
          </w:p>
        </w:tc>
        <w:tc>
          <w:tcPr>
            <w:tcW w:w="12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80" w:type="dxa"/>
            <w:vAlign w:val="bottom"/>
            <w:tcBorders>
              <w:top w:val="single" w:sz="8" w:color="F0FFFF"/>
              <w:bottom w:val="single" w:sz="8" w:color="F0FFFF"/>
            </w:tcBorders>
            <w:shd w:val="clear" w:color="auto" w:fill="F0FFFF"/>
          </w:tcPr>
          <w:p>
            <w:pPr>
              <w:spacing w:after="0"/>
              <w:rPr>
                <w:sz w:val="3"/>
                <w:szCs w:val="3"/>
                <w:color w:val="auto"/>
              </w:rPr>
            </w:pPr>
          </w:p>
        </w:tc>
        <w:tc>
          <w:tcPr>
            <w:tcW w:w="300" w:type="dxa"/>
            <w:vAlign w:val="bottom"/>
            <w:tcBorders>
              <w:top w:val="single" w:sz="8" w:color="F0FFFF"/>
              <w:bottom w:val="single" w:sz="8" w:color="F0FFFF"/>
            </w:tcBorders>
            <w:shd w:val="clear" w:color="auto" w:fill="F0FFFF"/>
          </w:tcPr>
          <w:p>
            <w:pPr>
              <w:spacing w:after="0"/>
              <w:rPr>
                <w:sz w:val="3"/>
                <w:szCs w:val="3"/>
                <w:color w:val="auto"/>
              </w:rPr>
            </w:pPr>
          </w:p>
        </w:tc>
        <w:tc>
          <w:tcPr>
            <w:tcW w:w="200" w:type="dxa"/>
            <w:vAlign w:val="bottom"/>
            <w:tcBorders>
              <w:top w:val="single" w:sz="8" w:color="F0FFFF"/>
              <w:bottom w:val="single" w:sz="8" w:color="F0FFFF"/>
            </w:tcBorders>
            <w:shd w:val="clear" w:color="auto" w:fill="F0FFFF"/>
          </w:tcPr>
          <w:p>
            <w:pPr>
              <w:spacing w:after="0"/>
              <w:rPr>
                <w:sz w:val="3"/>
                <w:szCs w:val="3"/>
                <w:color w:val="auto"/>
              </w:rPr>
            </w:pPr>
          </w:p>
        </w:tc>
        <w:tc>
          <w:tcPr>
            <w:tcW w:w="60" w:type="dxa"/>
            <w:vAlign w:val="bottom"/>
            <w:tcBorders>
              <w:top w:val="single" w:sz="8" w:color="F0FFFF"/>
              <w:bottom w:val="single" w:sz="8" w:color="F0FFFF"/>
            </w:tcBorders>
            <w:shd w:val="clear" w:color="auto" w:fill="F0FFFF"/>
          </w:tcPr>
          <w:p>
            <w:pPr>
              <w:spacing w:after="0"/>
              <w:rPr>
                <w:sz w:val="3"/>
                <w:szCs w:val="3"/>
                <w:color w:val="auto"/>
              </w:rPr>
            </w:pPr>
          </w:p>
        </w:tc>
        <w:tc>
          <w:tcPr>
            <w:tcW w:w="80" w:type="dxa"/>
            <w:vAlign w:val="bottom"/>
            <w:tcBorders>
              <w:top w:val="single" w:sz="8" w:color="F0FFFF"/>
              <w:bottom w:val="single" w:sz="8" w:color="F0FFFF"/>
            </w:tcBorders>
            <w:shd w:val="clear" w:color="auto" w:fill="F0FFFF"/>
          </w:tcPr>
          <w:p>
            <w:pPr>
              <w:spacing w:after="0"/>
              <w:rPr>
                <w:sz w:val="3"/>
                <w:szCs w:val="3"/>
                <w:color w:val="auto"/>
              </w:rPr>
            </w:pPr>
          </w:p>
        </w:tc>
        <w:tc>
          <w:tcPr>
            <w:tcW w:w="260" w:type="dxa"/>
            <w:vAlign w:val="bottom"/>
            <w:tcBorders>
              <w:top w:val="single" w:sz="8" w:color="F0FFFF"/>
              <w:bottom w:val="single" w:sz="8" w:color="F0FFFF"/>
            </w:tcBorders>
            <w:shd w:val="clear" w:color="auto" w:fill="F0FFFF"/>
          </w:tcPr>
          <w:p>
            <w:pPr>
              <w:spacing w:after="0"/>
              <w:rPr>
                <w:sz w:val="3"/>
                <w:szCs w:val="3"/>
                <w:color w:val="auto"/>
              </w:rPr>
            </w:pPr>
          </w:p>
        </w:tc>
        <w:tc>
          <w:tcPr>
            <w:tcW w:w="200" w:type="dxa"/>
            <w:vAlign w:val="bottom"/>
            <w:tcBorders>
              <w:top w:val="single" w:sz="8" w:color="F0FFFF"/>
              <w:bottom w:val="single" w:sz="8" w:color="F0FFFF"/>
            </w:tcBorders>
            <w:shd w:val="clear" w:color="auto" w:fill="F0FFFF"/>
          </w:tcPr>
          <w:p>
            <w:pPr>
              <w:spacing w:after="0"/>
              <w:rPr>
                <w:sz w:val="3"/>
                <w:szCs w:val="3"/>
                <w:color w:val="auto"/>
              </w:rPr>
            </w:pPr>
          </w:p>
        </w:tc>
        <w:tc>
          <w:tcPr>
            <w:tcW w:w="16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28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52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300" w:type="dxa"/>
            <w:vAlign w:val="bottom"/>
            <w:tcBorders>
              <w:top w:val="single" w:sz="8" w:color="F0FFFF"/>
              <w:bottom w:val="single" w:sz="8" w:color="F0FFFF"/>
            </w:tcBorders>
            <w:shd w:val="clear" w:color="auto" w:fill="F0FFFF"/>
          </w:tcPr>
          <w:p>
            <w:pPr>
              <w:spacing w:after="0"/>
              <w:rPr>
                <w:sz w:val="3"/>
                <w:szCs w:val="3"/>
                <w:color w:val="auto"/>
              </w:rPr>
            </w:pPr>
          </w:p>
        </w:tc>
        <w:tc>
          <w:tcPr>
            <w:tcW w:w="480" w:type="dxa"/>
            <w:vAlign w:val="bottom"/>
            <w:tcBorders>
              <w:top w:val="single" w:sz="8" w:color="F0FFFF"/>
              <w:bottom w:val="single" w:sz="8" w:color="F0FFFF"/>
            </w:tcBorders>
            <w:shd w:val="clear" w:color="auto" w:fill="F0FFFF"/>
          </w:tcPr>
          <w:p>
            <w:pPr>
              <w:spacing w:after="0"/>
              <w:rPr>
                <w:sz w:val="3"/>
                <w:szCs w:val="3"/>
                <w:color w:val="auto"/>
              </w:rPr>
            </w:pPr>
          </w:p>
        </w:tc>
        <w:tc>
          <w:tcPr>
            <w:tcW w:w="720" w:type="dxa"/>
            <w:vAlign w:val="bottom"/>
            <w:tcBorders>
              <w:top w:val="single" w:sz="8" w:color="F0FFFF"/>
              <w:bottom w:val="single" w:sz="8" w:color="F0FFFF"/>
            </w:tcBorders>
            <w:shd w:val="clear" w:color="auto" w:fill="F0FFFF"/>
          </w:tcPr>
          <w:p>
            <w:pPr>
              <w:spacing w:after="0"/>
              <w:rPr>
                <w:sz w:val="3"/>
                <w:szCs w:val="3"/>
                <w:color w:val="auto"/>
              </w:rPr>
            </w:pPr>
          </w:p>
        </w:tc>
        <w:tc>
          <w:tcPr>
            <w:tcW w:w="860" w:type="dxa"/>
            <w:vAlign w:val="bottom"/>
            <w:tcBorders>
              <w:top w:val="single" w:sz="8" w:color="F0FFFF"/>
              <w:bottom w:val="single" w:sz="8" w:color="F0FFFF"/>
            </w:tcBorders>
            <w:vMerge w:val="continue"/>
            <w:shd w:val="clear" w:color="auto" w:fill="F0FFFF"/>
          </w:tcPr>
          <w:p>
            <w:pPr>
              <w:spacing w:after="0"/>
              <w:rPr>
                <w:sz w:val="3"/>
                <w:szCs w:val="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180" w:type="dxa"/>
            <w:vAlign w:val="bottom"/>
            <w:gridSpan w:val="42"/>
          </w:tcPr>
          <w:p>
            <w:pPr>
              <w:spacing w:after="0" w:line="104" w:lineRule="exact"/>
              <w:rPr>
                <w:sz w:val="20"/>
                <w:szCs w:val="20"/>
                <w:color w:val="auto"/>
              </w:rPr>
            </w:pPr>
            <w:r>
              <w:rPr>
                <w:rFonts w:ascii="Times New Roman" w:cs="Times New Roman" w:eastAsia="Times New Roman" w:hAnsi="Times New Roman"/>
                <w:sz w:val="11"/>
                <w:szCs w:val="11"/>
                <w:color w:val="0000EE"/>
              </w:rPr>
              <w:t>Interest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420" w:type="dxa"/>
            <w:vAlign w:val="bottom"/>
            <w:gridSpan w:val="43"/>
            <w:shd w:val="clear" w:color="auto" w:fill="F0FFFF"/>
          </w:tcPr>
          <w:p>
            <w:pPr>
              <w:spacing w:after="0" w:line="124" w:lineRule="exact"/>
              <w:rPr>
                <w:sz w:val="20"/>
                <w:szCs w:val="20"/>
                <w:color w:val="auto"/>
              </w:rPr>
            </w:pPr>
            <w:r>
              <w:rPr>
                <w:rFonts w:ascii="Times New Roman" w:cs="Times New Roman" w:eastAsia="Times New Roman" w:hAnsi="Times New Roman"/>
                <w:sz w:val="14"/>
                <w:szCs w:val="14"/>
                <w:color w:val="0000EE"/>
              </w:rPr>
              <w:t>CASH VALUE</w:t>
            </w:r>
          </w:p>
        </w:tc>
        <w:tc>
          <w:tcPr>
            <w:tcW w:w="86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0" w:type="dxa"/>
            <w:vAlign w:val="bottom"/>
          </w:tcPr>
          <w:p>
            <w:pPr>
              <w:spacing w:after="0"/>
              <w:rPr>
                <w:sz w:val="1"/>
                <w:szCs w:val="1"/>
                <w:color w:val="auto"/>
              </w:rPr>
            </w:pPr>
          </w:p>
        </w:tc>
      </w:tr>
      <w:tr>
        <w:trPr>
          <w:trHeight w:val="42"/>
        </w:trPr>
        <w:tc>
          <w:tcPr>
            <w:tcW w:w="20" w:type="dxa"/>
            <w:vAlign w:val="bottom"/>
            <w:tcBorders>
              <w:top w:val="single" w:sz="8" w:color="0000EE"/>
            </w:tcBorders>
          </w:tcPr>
          <w:p>
            <w:pPr>
              <w:spacing w:after="0"/>
              <w:rPr>
                <w:sz w:val="3"/>
                <w:szCs w:val="3"/>
                <w:color w:val="auto"/>
              </w:rPr>
            </w:pPr>
          </w:p>
        </w:tc>
        <w:tc>
          <w:tcPr>
            <w:tcW w:w="240" w:type="dxa"/>
            <w:vAlign w:val="bottom"/>
            <w:tcBorders>
              <w:top w:val="single" w:sz="8" w:color="0000EE"/>
              <w:bottom w:val="single" w:sz="8" w:color="F0FFFF"/>
            </w:tcBorders>
            <w:shd w:val="clear" w:color="auto" w:fill="F0FFFF"/>
          </w:tcPr>
          <w:p>
            <w:pPr>
              <w:spacing w:after="0"/>
              <w:rPr>
                <w:sz w:val="3"/>
                <w:szCs w:val="3"/>
                <w:color w:val="auto"/>
              </w:rPr>
            </w:pPr>
          </w:p>
        </w:tc>
        <w:tc>
          <w:tcPr>
            <w:tcW w:w="200" w:type="dxa"/>
            <w:vAlign w:val="bottom"/>
            <w:tcBorders>
              <w:top w:val="single" w:sz="8" w:color="0000EE"/>
              <w:bottom w:val="single" w:sz="8" w:color="F0FFFF"/>
            </w:tcBorders>
            <w:shd w:val="clear" w:color="auto" w:fill="F0FFFF"/>
          </w:tcPr>
          <w:p>
            <w:pPr>
              <w:spacing w:after="0"/>
              <w:rPr>
                <w:sz w:val="3"/>
                <w:szCs w:val="3"/>
                <w:color w:val="auto"/>
              </w:rPr>
            </w:pPr>
          </w:p>
        </w:tc>
        <w:tc>
          <w:tcPr>
            <w:tcW w:w="80" w:type="dxa"/>
            <w:vAlign w:val="bottom"/>
            <w:tcBorders>
              <w:top w:val="single" w:sz="8" w:color="0000EE"/>
              <w:bottom w:val="single" w:sz="8" w:color="F0FFFF"/>
            </w:tcBorders>
            <w:shd w:val="clear" w:color="auto" w:fill="F0FFFF"/>
          </w:tcPr>
          <w:p>
            <w:pPr>
              <w:spacing w:after="0"/>
              <w:rPr>
                <w:sz w:val="3"/>
                <w:szCs w:val="3"/>
                <w:color w:val="auto"/>
              </w:rPr>
            </w:pPr>
          </w:p>
        </w:tc>
        <w:tc>
          <w:tcPr>
            <w:tcW w:w="100" w:type="dxa"/>
            <w:vAlign w:val="bottom"/>
            <w:tcBorders>
              <w:top w:val="single" w:sz="8" w:color="0000EE"/>
              <w:bottom w:val="single" w:sz="8" w:color="F0FFFF"/>
            </w:tcBorders>
            <w:shd w:val="clear" w:color="auto" w:fill="F0FFFF"/>
          </w:tcPr>
          <w:p>
            <w:pPr>
              <w:spacing w:after="0"/>
              <w:rPr>
                <w:sz w:val="3"/>
                <w:szCs w:val="3"/>
                <w:color w:val="auto"/>
              </w:rPr>
            </w:pPr>
          </w:p>
        </w:tc>
        <w:tc>
          <w:tcPr>
            <w:tcW w:w="4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60" w:type="dxa"/>
            <w:vAlign w:val="bottom"/>
            <w:tcBorders>
              <w:top w:val="single" w:sz="8" w:color="0000EE"/>
              <w:bottom w:val="single" w:sz="8" w:color="F0FFFF"/>
            </w:tcBorders>
            <w:shd w:val="clear" w:color="auto" w:fill="F0FFFF"/>
          </w:tcPr>
          <w:p>
            <w:pPr>
              <w:spacing w:after="0"/>
              <w:rPr>
                <w:sz w:val="3"/>
                <w:szCs w:val="3"/>
                <w:color w:val="auto"/>
              </w:rPr>
            </w:pPr>
          </w:p>
        </w:tc>
        <w:tc>
          <w:tcPr>
            <w:tcW w:w="60" w:type="dxa"/>
            <w:vAlign w:val="bottom"/>
            <w:tcBorders>
              <w:top w:val="single" w:sz="8" w:color="0000EE"/>
              <w:bottom w:val="single" w:sz="8" w:color="F0FFFF"/>
            </w:tcBorders>
            <w:shd w:val="clear" w:color="auto" w:fill="F0FFFF"/>
          </w:tcPr>
          <w:p>
            <w:pPr>
              <w:spacing w:after="0"/>
              <w:rPr>
                <w:sz w:val="3"/>
                <w:szCs w:val="3"/>
                <w:color w:val="auto"/>
              </w:rPr>
            </w:pPr>
          </w:p>
        </w:tc>
        <w:tc>
          <w:tcPr>
            <w:tcW w:w="40" w:type="dxa"/>
            <w:vAlign w:val="bottom"/>
            <w:tcBorders>
              <w:top w:val="single" w:sz="8" w:color="F0FFFF"/>
              <w:bottom w:val="single" w:sz="8" w:color="F0FFFF"/>
            </w:tcBorders>
            <w:shd w:val="clear" w:color="auto" w:fill="F0FFFF"/>
          </w:tcPr>
          <w:p>
            <w:pPr>
              <w:spacing w:after="0"/>
              <w:rPr>
                <w:sz w:val="3"/>
                <w:szCs w:val="3"/>
                <w:color w:val="auto"/>
              </w:rPr>
            </w:pPr>
          </w:p>
        </w:tc>
        <w:tc>
          <w:tcPr>
            <w:tcW w:w="6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6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60" w:type="dxa"/>
            <w:vAlign w:val="bottom"/>
            <w:tcBorders>
              <w:top w:val="single" w:sz="8" w:color="F0FFFF"/>
              <w:bottom w:val="single" w:sz="8" w:color="F0FFFF"/>
            </w:tcBorders>
            <w:shd w:val="clear" w:color="auto" w:fill="F0FFFF"/>
          </w:tcPr>
          <w:p>
            <w:pPr>
              <w:spacing w:after="0"/>
              <w:rPr>
                <w:sz w:val="3"/>
                <w:szCs w:val="3"/>
                <w:color w:val="auto"/>
              </w:rPr>
            </w:pPr>
          </w:p>
        </w:tc>
        <w:tc>
          <w:tcPr>
            <w:tcW w:w="80" w:type="dxa"/>
            <w:vAlign w:val="bottom"/>
            <w:tcBorders>
              <w:top w:val="single" w:sz="8" w:color="F0FFFF"/>
              <w:bottom w:val="single" w:sz="8" w:color="F0FFFF"/>
            </w:tcBorders>
            <w:shd w:val="clear" w:color="auto" w:fill="F0FFFF"/>
          </w:tcPr>
          <w:p>
            <w:pPr>
              <w:spacing w:after="0"/>
              <w:rPr>
                <w:sz w:val="3"/>
                <w:szCs w:val="3"/>
                <w:color w:val="auto"/>
              </w:rPr>
            </w:pPr>
          </w:p>
        </w:tc>
        <w:tc>
          <w:tcPr>
            <w:tcW w:w="80" w:type="dxa"/>
            <w:vAlign w:val="bottom"/>
            <w:tcBorders>
              <w:top w:val="single" w:sz="8" w:color="F0FFFF"/>
              <w:bottom w:val="single" w:sz="8" w:color="F0FFFF"/>
            </w:tcBorders>
            <w:shd w:val="clear" w:color="auto" w:fill="F0FFFF"/>
          </w:tcPr>
          <w:p>
            <w:pPr>
              <w:spacing w:after="0"/>
              <w:rPr>
                <w:sz w:val="3"/>
                <w:szCs w:val="3"/>
                <w:color w:val="auto"/>
              </w:rPr>
            </w:pPr>
          </w:p>
        </w:tc>
        <w:tc>
          <w:tcPr>
            <w:tcW w:w="60" w:type="dxa"/>
            <w:vAlign w:val="bottom"/>
            <w:tcBorders>
              <w:top w:val="single" w:sz="8" w:color="F0FFFF"/>
              <w:bottom w:val="single" w:sz="8" w:color="F0FFFF"/>
            </w:tcBorders>
            <w:shd w:val="clear" w:color="auto" w:fill="F0FFFF"/>
          </w:tcPr>
          <w:p>
            <w:pPr>
              <w:spacing w:after="0"/>
              <w:rPr>
                <w:sz w:val="3"/>
                <w:szCs w:val="3"/>
                <w:color w:val="auto"/>
              </w:rPr>
            </w:pPr>
          </w:p>
        </w:tc>
        <w:tc>
          <w:tcPr>
            <w:tcW w:w="4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8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60" w:type="dxa"/>
            <w:vAlign w:val="bottom"/>
            <w:tcBorders>
              <w:top w:val="single" w:sz="8" w:color="F0FFFF"/>
              <w:bottom w:val="single" w:sz="8" w:color="F0FFFF"/>
            </w:tcBorders>
            <w:shd w:val="clear" w:color="auto" w:fill="F0FFFF"/>
          </w:tcPr>
          <w:p>
            <w:pPr>
              <w:spacing w:after="0"/>
              <w:rPr>
                <w:sz w:val="3"/>
                <w:szCs w:val="3"/>
                <w:color w:val="auto"/>
              </w:rPr>
            </w:pPr>
          </w:p>
        </w:tc>
        <w:tc>
          <w:tcPr>
            <w:tcW w:w="40" w:type="dxa"/>
            <w:vAlign w:val="bottom"/>
            <w:tcBorders>
              <w:top w:val="single" w:sz="8" w:color="F0FFFF"/>
              <w:bottom w:val="single" w:sz="8" w:color="F0FFFF"/>
            </w:tcBorders>
            <w:shd w:val="clear" w:color="auto" w:fill="F0FFFF"/>
          </w:tcPr>
          <w:p>
            <w:pPr>
              <w:spacing w:after="0"/>
              <w:rPr>
                <w:sz w:val="3"/>
                <w:szCs w:val="3"/>
                <w:color w:val="auto"/>
              </w:rPr>
            </w:pPr>
          </w:p>
        </w:tc>
        <w:tc>
          <w:tcPr>
            <w:tcW w:w="12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80" w:type="dxa"/>
            <w:vAlign w:val="bottom"/>
            <w:tcBorders>
              <w:top w:val="single" w:sz="8" w:color="F0FFFF"/>
              <w:bottom w:val="single" w:sz="8" w:color="F0FFFF"/>
            </w:tcBorders>
            <w:shd w:val="clear" w:color="auto" w:fill="F0FFFF"/>
          </w:tcPr>
          <w:p>
            <w:pPr>
              <w:spacing w:after="0"/>
              <w:rPr>
                <w:sz w:val="3"/>
                <w:szCs w:val="3"/>
                <w:color w:val="auto"/>
              </w:rPr>
            </w:pPr>
          </w:p>
        </w:tc>
        <w:tc>
          <w:tcPr>
            <w:tcW w:w="300" w:type="dxa"/>
            <w:vAlign w:val="bottom"/>
            <w:tcBorders>
              <w:top w:val="single" w:sz="8" w:color="F0FFFF"/>
              <w:bottom w:val="single" w:sz="8" w:color="F0FFFF"/>
            </w:tcBorders>
            <w:shd w:val="clear" w:color="auto" w:fill="F0FFFF"/>
          </w:tcPr>
          <w:p>
            <w:pPr>
              <w:spacing w:after="0"/>
              <w:rPr>
                <w:sz w:val="3"/>
                <w:szCs w:val="3"/>
                <w:color w:val="auto"/>
              </w:rPr>
            </w:pPr>
          </w:p>
        </w:tc>
        <w:tc>
          <w:tcPr>
            <w:tcW w:w="200" w:type="dxa"/>
            <w:vAlign w:val="bottom"/>
            <w:tcBorders>
              <w:top w:val="single" w:sz="8" w:color="F0FFFF"/>
              <w:bottom w:val="single" w:sz="8" w:color="F0FFFF"/>
            </w:tcBorders>
            <w:shd w:val="clear" w:color="auto" w:fill="F0FFFF"/>
          </w:tcPr>
          <w:p>
            <w:pPr>
              <w:spacing w:after="0"/>
              <w:rPr>
                <w:sz w:val="3"/>
                <w:szCs w:val="3"/>
                <w:color w:val="auto"/>
              </w:rPr>
            </w:pPr>
          </w:p>
        </w:tc>
        <w:tc>
          <w:tcPr>
            <w:tcW w:w="60" w:type="dxa"/>
            <w:vAlign w:val="bottom"/>
            <w:tcBorders>
              <w:top w:val="single" w:sz="8" w:color="F0FFFF"/>
              <w:bottom w:val="single" w:sz="8" w:color="F0FFFF"/>
            </w:tcBorders>
            <w:shd w:val="clear" w:color="auto" w:fill="F0FFFF"/>
          </w:tcPr>
          <w:p>
            <w:pPr>
              <w:spacing w:after="0"/>
              <w:rPr>
                <w:sz w:val="3"/>
                <w:szCs w:val="3"/>
                <w:color w:val="auto"/>
              </w:rPr>
            </w:pPr>
          </w:p>
        </w:tc>
        <w:tc>
          <w:tcPr>
            <w:tcW w:w="80" w:type="dxa"/>
            <w:vAlign w:val="bottom"/>
            <w:tcBorders>
              <w:top w:val="single" w:sz="8" w:color="F0FFFF"/>
              <w:bottom w:val="single" w:sz="8" w:color="F0FFFF"/>
            </w:tcBorders>
            <w:shd w:val="clear" w:color="auto" w:fill="F0FFFF"/>
          </w:tcPr>
          <w:p>
            <w:pPr>
              <w:spacing w:after="0"/>
              <w:rPr>
                <w:sz w:val="3"/>
                <w:szCs w:val="3"/>
                <w:color w:val="auto"/>
              </w:rPr>
            </w:pPr>
          </w:p>
        </w:tc>
        <w:tc>
          <w:tcPr>
            <w:tcW w:w="260" w:type="dxa"/>
            <w:vAlign w:val="bottom"/>
            <w:tcBorders>
              <w:top w:val="single" w:sz="8" w:color="F0FFFF"/>
              <w:bottom w:val="single" w:sz="8" w:color="F0FFFF"/>
            </w:tcBorders>
            <w:shd w:val="clear" w:color="auto" w:fill="F0FFFF"/>
          </w:tcPr>
          <w:p>
            <w:pPr>
              <w:spacing w:after="0"/>
              <w:rPr>
                <w:sz w:val="3"/>
                <w:szCs w:val="3"/>
                <w:color w:val="auto"/>
              </w:rPr>
            </w:pPr>
          </w:p>
        </w:tc>
        <w:tc>
          <w:tcPr>
            <w:tcW w:w="200" w:type="dxa"/>
            <w:vAlign w:val="bottom"/>
            <w:tcBorders>
              <w:top w:val="single" w:sz="8" w:color="F0FFFF"/>
              <w:bottom w:val="single" w:sz="8" w:color="F0FFFF"/>
            </w:tcBorders>
            <w:shd w:val="clear" w:color="auto" w:fill="F0FFFF"/>
          </w:tcPr>
          <w:p>
            <w:pPr>
              <w:spacing w:after="0"/>
              <w:rPr>
                <w:sz w:val="3"/>
                <w:szCs w:val="3"/>
                <w:color w:val="auto"/>
              </w:rPr>
            </w:pPr>
          </w:p>
        </w:tc>
        <w:tc>
          <w:tcPr>
            <w:tcW w:w="16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28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52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300" w:type="dxa"/>
            <w:vAlign w:val="bottom"/>
            <w:tcBorders>
              <w:top w:val="single" w:sz="8" w:color="F0FFFF"/>
              <w:bottom w:val="single" w:sz="8" w:color="F0FFFF"/>
            </w:tcBorders>
            <w:shd w:val="clear" w:color="auto" w:fill="F0FFFF"/>
          </w:tcPr>
          <w:p>
            <w:pPr>
              <w:spacing w:after="0"/>
              <w:rPr>
                <w:sz w:val="3"/>
                <w:szCs w:val="3"/>
                <w:color w:val="auto"/>
              </w:rPr>
            </w:pPr>
          </w:p>
        </w:tc>
        <w:tc>
          <w:tcPr>
            <w:tcW w:w="480" w:type="dxa"/>
            <w:vAlign w:val="bottom"/>
            <w:tcBorders>
              <w:top w:val="single" w:sz="8" w:color="F0FFFF"/>
              <w:bottom w:val="single" w:sz="8" w:color="F0FFFF"/>
            </w:tcBorders>
            <w:shd w:val="clear" w:color="auto" w:fill="F0FFFF"/>
          </w:tcPr>
          <w:p>
            <w:pPr>
              <w:spacing w:after="0"/>
              <w:rPr>
                <w:sz w:val="3"/>
                <w:szCs w:val="3"/>
                <w:color w:val="auto"/>
              </w:rPr>
            </w:pPr>
          </w:p>
        </w:tc>
        <w:tc>
          <w:tcPr>
            <w:tcW w:w="720" w:type="dxa"/>
            <w:vAlign w:val="bottom"/>
            <w:tcBorders>
              <w:top w:val="single" w:sz="8" w:color="F0FFFF"/>
              <w:bottom w:val="single" w:sz="8" w:color="F0FFFF"/>
            </w:tcBorders>
            <w:shd w:val="clear" w:color="auto" w:fill="F0FFFF"/>
          </w:tcPr>
          <w:p>
            <w:pPr>
              <w:spacing w:after="0"/>
              <w:rPr>
                <w:sz w:val="3"/>
                <w:szCs w:val="3"/>
                <w:color w:val="auto"/>
              </w:rPr>
            </w:pPr>
          </w:p>
        </w:tc>
        <w:tc>
          <w:tcPr>
            <w:tcW w:w="860" w:type="dxa"/>
            <w:vAlign w:val="bottom"/>
            <w:tcBorders>
              <w:top w:val="single" w:sz="8" w:color="F0FFFF"/>
              <w:bottom w:val="single" w:sz="8" w:color="F0FFFF"/>
            </w:tcBorders>
            <w:vMerge w:val="continue"/>
            <w:shd w:val="clear" w:color="auto" w:fill="F0FFFF"/>
          </w:tcPr>
          <w:p>
            <w:pPr>
              <w:spacing w:after="0"/>
              <w:rPr>
                <w:sz w:val="3"/>
                <w:szCs w:val="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5420" w:type="dxa"/>
            <w:vAlign w:val="bottom"/>
            <w:gridSpan w:val="43"/>
          </w:tcPr>
          <w:p>
            <w:pPr>
              <w:spacing w:after="0" w:line="104" w:lineRule="exact"/>
              <w:rPr>
                <w:sz w:val="20"/>
                <w:szCs w:val="20"/>
                <w:color w:val="auto"/>
              </w:rPr>
            </w:pPr>
            <w:r>
              <w:rPr>
                <w:rFonts w:ascii="Times New Roman" w:cs="Times New Roman" w:eastAsia="Times New Roman" w:hAnsi="Times New Roman"/>
                <w:sz w:val="11"/>
                <w:szCs w:val="11"/>
                <w:color w:val="0000EE"/>
              </w:rPr>
              <w:t>DEATH BENEFIT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0" w:type="dxa"/>
            <w:vAlign w:val="bottom"/>
          </w:tcPr>
          <w:p>
            <w:pPr>
              <w:spacing w:after="0"/>
              <w:rPr>
                <w:sz w:val="1"/>
                <w:szCs w:val="1"/>
                <w:color w:val="auto"/>
              </w:rPr>
            </w:pPr>
          </w:p>
        </w:tc>
      </w:tr>
      <w:tr>
        <w:trPr>
          <w:trHeight w:val="42"/>
        </w:trPr>
        <w:tc>
          <w:tcPr>
            <w:tcW w:w="20" w:type="dxa"/>
            <w:vAlign w:val="bottom"/>
            <w:tcBorders>
              <w:top w:val="single" w:sz="8" w:color="0000EE"/>
            </w:tcBorders>
          </w:tcPr>
          <w:p>
            <w:pPr>
              <w:spacing w:after="0"/>
              <w:rPr>
                <w:sz w:val="3"/>
                <w:szCs w:val="3"/>
                <w:color w:val="auto"/>
              </w:rPr>
            </w:pPr>
          </w:p>
        </w:tc>
        <w:tc>
          <w:tcPr>
            <w:tcW w:w="240" w:type="dxa"/>
            <w:vAlign w:val="bottom"/>
            <w:tcBorders>
              <w:top w:val="single" w:sz="8" w:color="0000EE"/>
            </w:tcBorders>
          </w:tcPr>
          <w:p>
            <w:pPr>
              <w:spacing w:after="0"/>
              <w:rPr>
                <w:sz w:val="3"/>
                <w:szCs w:val="3"/>
                <w:color w:val="auto"/>
              </w:rPr>
            </w:pPr>
          </w:p>
        </w:tc>
        <w:tc>
          <w:tcPr>
            <w:tcW w:w="20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420" w:type="dxa"/>
            <w:vAlign w:val="bottom"/>
            <w:gridSpan w:val="43"/>
            <w:shd w:val="clear" w:color="auto" w:fill="F0FFFF"/>
          </w:tcPr>
          <w:p>
            <w:pPr>
              <w:spacing w:after="0" w:line="124" w:lineRule="exact"/>
              <w:rPr>
                <w:sz w:val="20"/>
                <w:szCs w:val="20"/>
                <w:color w:val="auto"/>
              </w:rPr>
            </w:pPr>
            <w:r>
              <w:rPr>
                <w:rFonts w:ascii="Times New Roman" w:cs="Times New Roman" w:eastAsia="Times New Roman" w:hAnsi="Times New Roman"/>
                <w:sz w:val="14"/>
                <w:szCs w:val="14"/>
                <w:color w:val="0000EE"/>
              </w:rPr>
              <w:t>SURRENDERS</w:t>
            </w:r>
          </w:p>
        </w:tc>
        <w:tc>
          <w:tcPr>
            <w:tcW w:w="86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0" w:type="dxa"/>
            <w:vAlign w:val="bottom"/>
          </w:tcPr>
          <w:p>
            <w:pPr>
              <w:spacing w:after="0"/>
              <w:rPr>
                <w:sz w:val="1"/>
                <w:szCs w:val="1"/>
                <w:color w:val="auto"/>
              </w:rPr>
            </w:pPr>
          </w:p>
        </w:tc>
      </w:tr>
      <w:tr>
        <w:trPr>
          <w:trHeight w:val="42"/>
        </w:trPr>
        <w:tc>
          <w:tcPr>
            <w:tcW w:w="20" w:type="dxa"/>
            <w:vAlign w:val="bottom"/>
            <w:tcBorders>
              <w:top w:val="single" w:sz="8" w:color="0000EE"/>
            </w:tcBorders>
          </w:tcPr>
          <w:p>
            <w:pPr>
              <w:spacing w:after="0"/>
              <w:rPr>
                <w:sz w:val="3"/>
                <w:szCs w:val="3"/>
                <w:color w:val="auto"/>
              </w:rPr>
            </w:pPr>
          </w:p>
        </w:tc>
        <w:tc>
          <w:tcPr>
            <w:tcW w:w="240" w:type="dxa"/>
            <w:vAlign w:val="bottom"/>
            <w:tcBorders>
              <w:top w:val="single" w:sz="8" w:color="0000EE"/>
              <w:bottom w:val="single" w:sz="8" w:color="F0FFFF"/>
            </w:tcBorders>
            <w:shd w:val="clear" w:color="auto" w:fill="F0FFFF"/>
          </w:tcPr>
          <w:p>
            <w:pPr>
              <w:spacing w:after="0"/>
              <w:rPr>
                <w:sz w:val="3"/>
                <w:szCs w:val="3"/>
                <w:color w:val="auto"/>
              </w:rPr>
            </w:pPr>
          </w:p>
        </w:tc>
        <w:tc>
          <w:tcPr>
            <w:tcW w:w="200" w:type="dxa"/>
            <w:vAlign w:val="bottom"/>
            <w:tcBorders>
              <w:top w:val="single" w:sz="8" w:color="0000EE"/>
              <w:bottom w:val="single" w:sz="8" w:color="F0FFFF"/>
            </w:tcBorders>
            <w:shd w:val="clear" w:color="auto" w:fill="F0FFFF"/>
          </w:tcPr>
          <w:p>
            <w:pPr>
              <w:spacing w:after="0"/>
              <w:rPr>
                <w:sz w:val="3"/>
                <w:szCs w:val="3"/>
                <w:color w:val="auto"/>
              </w:rPr>
            </w:pPr>
          </w:p>
        </w:tc>
        <w:tc>
          <w:tcPr>
            <w:tcW w:w="80" w:type="dxa"/>
            <w:vAlign w:val="bottom"/>
            <w:tcBorders>
              <w:top w:val="single" w:sz="8" w:color="0000EE"/>
              <w:bottom w:val="single" w:sz="8" w:color="F0FFFF"/>
            </w:tcBorders>
            <w:shd w:val="clear" w:color="auto" w:fill="F0FFFF"/>
          </w:tcPr>
          <w:p>
            <w:pPr>
              <w:spacing w:after="0"/>
              <w:rPr>
                <w:sz w:val="3"/>
                <w:szCs w:val="3"/>
                <w:color w:val="auto"/>
              </w:rPr>
            </w:pPr>
          </w:p>
        </w:tc>
        <w:tc>
          <w:tcPr>
            <w:tcW w:w="100" w:type="dxa"/>
            <w:vAlign w:val="bottom"/>
            <w:tcBorders>
              <w:top w:val="single" w:sz="8" w:color="0000EE"/>
              <w:bottom w:val="single" w:sz="8" w:color="F0FFFF"/>
            </w:tcBorders>
            <w:shd w:val="clear" w:color="auto" w:fill="F0FFFF"/>
          </w:tcPr>
          <w:p>
            <w:pPr>
              <w:spacing w:after="0"/>
              <w:rPr>
                <w:sz w:val="3"/>
                <w:szCs w:val="3"/>
                <w:color w:val="auto"/>
              </w:rPr>
            </w:pPr>
          </w:p>
        </w:tc>
        <w:tc>
          <w:tcPr>
            <w:tcW w:w="4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60" w:type="dxa"/>
            <w:vAlign w:val="bottom"/>
            <w:tcBorders>
              <w:top w:val="single" w:sz="8" w:color="0000EE"/>
              <w:bottom w:val="single" w:sz="8" w:color="F0FFFF"/>
            </w:tcBorders>
            <w:shd w:val="clear" w:color="auto" w:fill="F0FFFF"/>
          </w:tcPr>
          <w:p>
            <w:pPr>
              <w:spacing w:after="0"/>
              <w:rPr>
                <w:sz w:val="3"/>
                <w:szCs w:val="3"/>
                <w:color w:val="auto"/>
              </w:rPr>
            </w:pPr>
          </w:p>
        </w:tc>
        <w:tc>
          <w:tcPr>
            <w:tcW w:w="60" w:type="dxa"/>
            <w:vAlign w:val="bottom"/>
            <w:tcBorders>
              <w:top w:val="single" w:sz="8" w:color="0000EE"/>
              <w:bottom w:val="single" w:sz="8" w:color="F0FFFF"/>
            </w:tcBorders>
            <w:shd w:val="clear" w:color="auto" w:fill="F0FFFF"/>
          </w:tcPr>
          <w:p>
            <w:pPr>
              <w:spacing w:after="0"/>
              <w:rPr>
                <w:sz w:val="3"/>
                <w:szCs w:val="3"/>
                <w:color w:val="auto"/>
              </w:rPr>
            </w:pPr>
          </w:p>
        </w:tc>
        <w:tc>
          <w:tcPr>
            <w:tcW w:w="40" w:type="dxa"/>
            <w:vAlign w:val="bottom"/>
            <w:tcBorders>
              <w:top w:val="single" w:sz="8" w:color="0000EE"/>
              <w:bottom w:val="single" w:sz="8" w:color="F0FFFF"/>
            </w:tcBorders>
            <w:shd w:val="clear" w:color="auto" w:fill="F0FFFF"/>
          </w:tcPr>
          <w:p>
            <w:pPr>
              <w:spacing w:after="0"/>
              <w:rPr>
                <w:sz w:val="3"/>
                <w:szCs w:val="3"/>
                <w:color w:val="auto"/>
              </w:rPr>
            </w:pPr>
          </w:p>
        </w:tc>
        <w:tc>
          <w:tcPr>
            <w:tcW w:w="6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6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60" w:type="dxa"/>
            <w:vAlign w:val="bottom"/>
            <w:tcBorders>
              <w:top w:val="single" w:sz="8" w:color="F0FFFF"/>
              <w:bottom w:val="single" w:sz="8" w:color="F0FFFF"/>
            </w:tcBorders>
            <w:shd w:val="clear" w:color="auto" w:fill="F0FFFF"/>
          </w:tcPr>
          <w:p>
            <w:pPr>
              <w:spacing w:after="0"/>
              <w:rPr>
                <w:sz w:val="3"/>
                <w:szCs w:val="3"/>
                <w:color w:val="auto"/>
              </w:rPr>
            </w:pPr>
          </w:p>
        </w:tc>
        <w:tc>
          <w:tcPr>
            <w:tcW w:w="80" w:type="dxa"/>
            <w:vAlign w:val="bottom"/>
            <w:tcBorders>
              <w:top w:val="single" w:sz="8" w:color="F0FFFF"/>
              <w:bottom w:val="single" w:sz="8" w:color="F0FFFF"/>
            </w:tcBorders>
            <w:shd w:val="clear" w:color="auto" w:fill="F0FFFF"/>
          </w:tcPr>
          <w:p>
            <w:pPr>
              <w:spacing w:after="0"/>
              <w:rPr>
                <w:sz w:val="3"/>
                <w:szCs w:val="3"/>
                <w:color w:val="auto"/>
              </w:rPr>
            </w:pPr>
          </w:p>
        </w:tc>
        <w:tc>
          <w:tcPr>
            <w:tcW w:w="80" w:type="dxa"/>
            <w:vAlign w:val="bottom"/>
            <w:tcBorders>
              <w:top w:val="single" w:sz="8" w:color="F0FFFF"/>
              <w:bottom w:val="single" w:sz="8" w:color="F0FFFF"/>
            </w:tcBorders>
            <w:shd w:val="clear" w:color="auto" w:fill="F0FFFF"/>
          </w:tcPr>
          <w:p>
            <w:pPr>
              <w:spacing w:after="0"/>
              <w:rPr>
                <w:sz w:val="3"/>
                <w:szCs w:val="3"/>
                <w:color w:val="auto"/>
              </w:rPr>
            </w:pPr>
          </w:p>
        </w:tc>
        <w:tc>
          <w:tcPr>
            <w:tcW w:w="60" w:type="dxa"/>
            <w:vAlign w:val="bottom"/>
            <w:tcBorders>
              <w:top w:val="single" w:sz="8" w:color="F0FFFF"/>
              <w:bottom w:val="single" w:sz="8" w:color="F0FFFF"/>
            </w:tcBorders>
            <w:shd w:val="clear" w:color="auto" w:fill="F0FFFF"/>
          </w:tcPr>
          <w:p>
            <w:pPr>
              <w:spacing w:after="0"/>
              <w:rPr>
                <w:sz w:val="3"/>
                <w:szCs w:val="3"/>
                <w:color w:val="auto"/>
              </w:rPr>
            </w:pPr>
          </w:p>
        </w:tc>
        <w:tc>
          <w:tcPr>
            <w:tcW w:w="4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8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60" w:type="dxa"/>
            <w:vAlign w:val="bottom"/>
            <w:tcBorders>
              <w:top w:val="single" w:sz="8" w:color="F0FFFF"/>
              <w:bottom w:val="single" w:sz="8" w:color="F0FFFF"/>
            </w:tcBorders>
            <w:shd w:val="clear" w:color="auto" w:fill="F0FFFF"/>
          </w:tcPr>
          <w:p>
            <w:pPr>
              <w:spacing w:after="0"/>
              <w:rPr>
                <w:sz w:val="3"/>
                <w:szCs w:val="3"/>
                <w:color w:val="auto"/>
              </w:rPr>
            </w:pPr>
          </w:p>
        </w:tc>
        <w:tc>
          <w:tcPr>
            <w:tcW w:w="40" w:type="dxa"/>
            <w:vAlign w:val="bottom"/>
            <w:tcBorders>
              <w:top w:val="single" w:sz="8" w:color="F0FFFF"/>
              <w:bottom w:val="single" w:sz="8" w:color="F0FFFF"/>
            </w:tcBorders>
            <w:shd w:val="clear" w:color="auto" w:fill="F0FFFF"/>
          </w:tcPr>
          <w:p>
            <w:pPr>
              <w:spacing w:after="0"/>
              <w:rPr>
                <w:sz w:val="3"/>
                <w:szCs w:val="3"/>
                <w:color w:val="auto"/>
              </w:rPr>
            </w:pPr>
          </w:p>
        </w:tc>
        <w:tc>
          <w:tcPr>
            <w:tcW w:w="12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80" w:type="dxa"/>
            <w:vAlign w:val="bottom"/>
            <w:tcBorders>
              <w:top w:val="single" w:sz="8" w:color="F0FFFF"/>
              <w:bottom w:val="single" w:sz="8" w:color="F0FFFF"/>
            </w:tcBorders>
            <w:shd w:val="clear" w:color="auto" w:fill="F0FFFF"/>
          </w:tcPr>
          <w:p>
            <w:pPr>
              <w:spacing w:after="0"/>
              <w:rPr>
                <w:sz w:val="3"/>
                <w:szCs w:val="3"/>
                <w:color w:val="auto"/>
              </w:rPr>
            </w:pPr>
          </w:p>
        </w:tc>
        <w:tc>
          <w:tcPr>
            <w:tcW w:w="300" w:type="dxa"/>
            <w:vAlign w:val="bottom"/>
            <w:tcBorders>
              <w:top w:val="single" w:sz="8" w:color="F0FFFF"/>
              <w:bottom w:val="single" w:sz="8" w:color="F0FFFF"/>
            </w:tcBorders>
            <w:shd w:val="clear" w:color="auto" w:fill="F0FFFF"/>
          </w:tcPr>
          <w:p>
            <w:pPr>
              <w:spacing w:after="0"/>
              <w:rPr>
                <w:sz w:val="3"/>
                <w:szCs w:val="3"/>
                <w:color w:val="auto"/>
              </w:rPr>
            </w:pPr>
          </w:p>
        </w:tc>
        <w:tc>
          <w:tcPr>
            <w:tcW w:w="200" w:type="dxa"/>
            <w:vAlign w:val="bottom"/>
            <w:tcBorders>
              <w:top w:val="single" w:sz="8" w:color="F0FFFF"/>
              <w:bottom w:val="single" w:sz="8" w:color="F0FFFF"/>
            </w:tcBorders>
            <w:shd w:val="clear" w:color="auto" w:fill="F0FFFF"/>
          </w:tcPr>
          <w:p>
            <w:pPr>
              <w:spacing w:after="0"/>
              <w:rPr>
                <w:sz w:val="3"/>
                <w:szCs w:val="3"/>
                <w:color w:val="auto"/>
              </w:rPr>
            </w:pPr>
          </w:p>
        </w:tc>
        <w:tc>
          <w:tcPr>
            <w:tcW w:w="60" w:type="dxa"/>
            <w:vAlign w:val="bottom"/>
            <w:tcBorders>
              <w:top w:val="single" w:sz="8" w:color="F0FFFF"/>
              <w:bottom w:val="single" w:sz="8" w:color="F0FFFF"/>
            </w:tcBorders>
            <w:shd w:val="clear" w:color="auto" w:fill="F0FFFF"/>
          </w:tcPr>
          <w:p>
            <w:pPr>
              <w:spacing w:after="0"/>
              <w:rPr>
                <w:sz w:val="3"/>
                <w:szCs w:val="3"/>
                <w:color w:val="auto"/>
              </w:rPr>
            </w:pPr>
          </w:p>
        </w:tc>
        <w:tc>
          <w:tcPr>
            <w:tcW w:w="80" w:type="dxa"/>
            <w:vAlign w:val="bottom"/>
            <w:tcBorders>
              <w:top w:val="single" w:sz="8" w:color="F0FFFF"/>
              <w:bottom w:val="single" w:sz="8" w:color="F0FFFF"/>
            </w:tcBorders>
            <w:shd w:val="clear" w:color="auto" w:fill="F0FFFF"/>
          </w:tcPr>
          <w:p>
            <w:pPr>
              <w:spacing w:after="0"/>
              <w:rPr>
                <w:sz w:val="3"/>
                <w:szCs w:val="3"/>
                <w:color w:val="auto"/>
              </w:rPr>
            </w:pPr>
          </w:p>
        </w:tc>
        <w:tc>
          <w:tcPr>
            <w:tcW w:w="260" w:type="dxa"/>
            <w:vAlign w:val="bottom"/>
            <w:tcBorders>
              <w:top w:val="single" w:sz="8" w:color="F0FFFF"/>
              <w:bottom w:val="single" w:sz="8" w:color="F0FFFF"/>
            </w:tcBorders>
            <w:shd w:val="clear" w:color="auto" w:fill="F0FFFF"/>
          </w:tcPr>
          <w:p>
            <w:pPr>
              <w:spacing w:after="0"/>
              <w:rPr>
                <w:sz w:val="3"/>
                <w:szCs w:val="3"/>
                <w:color w:val="auto"/>
              </w:rPr>
            </w:pPr>
          </w:p>
        </w:tc>
        <w:tc>
          <w:tcPr>
            <w:tcW w:w="200" w:type="dxa"/>
            <w:vAlign w:val="bottom"/>
            <w:tcBorders>
              <w:top w:val="single" w:sz="8" w:color="F0FFFF"/>
              <w:bottom w:val="single" w:sz="8" w:color="F0FFFF"/>
            </w:tcBorders>
            <w:shd w:val="clear" w:color="auto" w:fill="F0FFFF"/>
          </w:tcPr>
          <w:p>
            <w:pPr>
              <w:spacing w:after="0"/>
              <w:rPr>
                <w:sz w:val="3"/>
                <w:szCs w:val="3"/>
                <w:color w:val="auto"/>
              </w:rPr>
            </w:pPr>
          </w:p>
        </w:tc>
        <w:tc>
          <w:tcPr>
            <w:tcW w:w="16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28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52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300" w:type="dxa"/>
            <w:vAlign w:val="bottom"/>
            <w:tcBorders>
              <w:top w:val="single" w:sz="8" w:color="F0FFFF"/>
              <w:bottom w:val="single" w:sz="8" w:color="F0FFFF"/>
            </w:tcBorders>
            <w:shd w:val="clear" w:color="auto" w:fill="F0FFFF"/>
          </w:tcPr>
          <w:p>
            <w:pPr>
              <w:spacing w:after="0"/>
              <w:rPr>
                <w:sz w:val="3"/>
                <w:szCs w:val="3"/>
                <w:color w:val="auto"/>
              </w:rPr>
            </w:pPr>
          </w:p>
        </w:tc>
        <w:tc>
          <w:tcPr>
            <w:tcW w:w="480" w:type="dxa"/>
            <w:vAlign w:val="bottom"/>
            <w:tcBorders>
              <w:top w:val="single" w:sz="8" w:color="F0FFFF"/>
              <w:bottom w:val="single" w:sz="8" w:color="F0FFFF"/>
            </w:tcBorders>
            <w:shd w:val="clear" w:color="auto" w:fill="F0FFFF"/>
          </w:tcPr>
          <w:p>
            <w:pPr>
              <w:spacing w:after="0"/>
              <w:rPr>
                <w:sz w:val="3"/>
                <w:szCs w:val="3"/>
                <w:color w:val="auto"/>
              </w:rPr>
            </w:pPr>
          </w:p>
        </w:tc>
        <w:tc>
          <w:tcPr>
            <w:tcW w:w="720" w:type="dxa"/>
            <w:vAlign w:val="bottom"/>
            <w:tcBorders>
              <w:top w:val="single" w:sz="8" w:color="F0FFFF"/>
              <w:bottom w:val="single" w:sz="8" w:color="F0FFFF"/>
            </w:tcBorders>
            <w:shd w:val="clear" w:color="auto" w:fill="F0FFFF"/>
          </w:tcPr>
          <w:p>
            <w:pPr>
              <w:spacing w:after="0"/>
              <w:rPr>
                <w:sz w:val="3"/>
                <w:szCs w:val="3"/>
                <w:color w:val="auto"/>
              </w:rPr>
            </w:pPr>
          </w:p>
        </w:tc>
        <w:tc>
          <w:tcPr>
            <w:tcW w:w="860" w:type="dxa"/>
            <w:vAlign w:val="bottom"/>
            <w:tcBorders>
              <w:top w:val="single" w:sz="8" w:color="F0FFFF"/>
              <w:bottom w:val="single" w:sz="8" w:color="F0FFFF"/>
            </w:tcBorders>
            <w:vMerge w:val="continue"/>
            <w:shd w:val="clear" w:color="auto" w:fill="F0FFFF"/>
          </w:tcPr>
          <w:p>
            <w:pPr>
              <w:spacing w:after="0"/>
              <w:rPr>
                <w:sz w:val="3"/>
                <w:szCs w:val="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5420" w:type="dxa"/>
            <w:vAlign w:val="bottom"/>
            <w:gridSpan w:val="43"/>
          </w:tcPr>
          <w:p>
            <w:pPr>
              <w:spacing w:after="0" w:line="104" w:lineRule="exact"/>
              <w:rPr>
                <w:sz w:val="20"/>
                <w:szCs w:val="20"/>
                <w:color w:val="auto"/>
              </w:rPr>
            </w:pPr>
            <w:r>
              <w:rPr>
                <w:rFonts w:ascii="Times New Roman" w:cs="Times New Roman" w:eastAsia="Times New Roman" w:hAnsi="Times New Roman"/>
                <w:sz w:val="11"/>
                <w:szCs w:val="11"/>
                <w:color w:val="0000EE"/>
              </w:rPr>
              <w:t>GUARANTEED DISTRIBUTION RIDER</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0" w:type="dxa"/>
            <w:vAlign w:val="bottom"/>
          </w:tcPr>
          <w:p>
            <w:pPr>
              <w:spacing w:after="0"/>
              <w:rPr>
                <w:sz w:val="1"/>
                <w:szCs w:val="1"/>
                <w:color w:val="auto"/>
              </w:rPr>
            </w:pPr>
          </w:p>
        </w:tc>
      </w:tr>
      <w:tr>
        <w:trPr>
          <w:trHeight w:val="42"/>
        </w:trPr>
        <w:tc>
          <w:tcPr>
            <w:tcW w:w="20" w:type="dxa"/>
            <w:vAlign w:val="bottom"/>
            <w:tcBorders>
              <w:top w:val="single" w:sz="8" w:color="0000EE"/>
            </w:tcBorders>
          </w:tcPr>
          <w:p>
            <w:pPr>
              <w:spacing w:after="0"/>
              <w:rPr>
                <w:sz w:val="3"/>
                <w:szCs w:val="3"/>
                <w:color w:val="auto"/>
              </w:rPr>
            </w:pPr>
          </w:p>
        </w:tc>
        <w:tc>
          <w:tcPr>
            <w:tcW w:w="240" w:type="dxa"/>
            <w:vAlign w:val="bottom"/>
            <w:tcBorders>
              <w:top w:val="single" w:sz="8" w:color="0000EE"/>
            </w:tcBorders>
          </w:tcPr>
          <w:p>
            <w:pPr>
              <w:spacing w:after="0"/>
              <w:rPr>
                <w:sz w:val="3"/>
                <w:szCs w:val="3"/>
                <w:color w:val="auto"/>
              </w:rPr>
            </w:pPr>
          </w:p>
        </w:tc>
        <w:tc>
          <w:tcPr>
            <w:tcW w:w="20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300" w:type="dxa"/>
            <w:vAlign w:val="bottom"/>
            <w:tcBorders>
              <w:top w:val="single" w:sz="8" w:color="0000EE"/>
            </w:tcBorders>
          </w:tcPr>
          <w:p>
            <w:pPr>
              <w:spacing w:after="0"/>
              <w:rPr>
                <w:sz w:val="3"/>
                <w:szCs w:val="3"/>
                <w:color w:val="auto"/>
              </w:rPr>
            </w:pPr>
          </w:p>
        </w:tc>
        <w:tc>
          <w:tcPr>
            <w:tcW w:w="20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40" w:type="dxa"/>
            <w:vAlign w:val="bottom"/>
            <w:shd w:val="clear" w:color="auto" w:fill="F0FFFF"/>
          </w:tcPr>
          <w:p>
            <w:pPr>
              <w:spacing w:after="0"/>
              <w:rPr>
                <w:sz w:val="10"/>
                <w:szCs w:val="10"/>
                <w:color w:val="auto"/>
              </w:rPr>
            </w:pPr>
          </w:p>
        </w:tc>
        <w:tc>
          <w:tcPr>
            <w:tcW w:w="5180" w:type="dxa"/>
            <w:vAlign w:val="bottom"/>
            <w:gridSpan w:val="42"/>
            <w:shd w:val="clear" w:color="auto" w:fill="F0FFFF"/>
          </w:tcPr>
          <w:p>
            <w:pPr>
              <w:spacing w:after="0" w:line="124" w:lineRule="exact"/>
              <w:rPr>
                <w:sz w:val="20"/>
                <w:szCs w:val="20"/>
                <w:color w:val="auto"/>
              </w:rPr>
            </w:pPr>
            <w:r>
              <w:rPr>
                <w:rFonts w:ascii="Times New Roman" w:cs="Times New Roman" w:eastAsia="Times New Roman" w:hAnsi="Times New Roman"/>
                <w:sz w:val="14"/>
                <w:szCs w:val="14"/>
                <w:color w:val="0000EE"/>
              </w:rPr>
              <w:t>GDR Charge</w:t>
            </w:r>
          </w:p>
        </w:tc>
        <w:tc>
          <w:tcPr>
            <w:tcW w:w="86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40" w:type="dxa"/>
            <w:vAlign w:val="bottom"/>
            <w:tcBorders>
              <w:top w:val="single" w:sz="8" w:color="F0FFFF"/>
              <w:bottom w:val="single" w:sz="8" w:color="F0FFFF"/>
            </w:tcBorders>
            <w:shd w:val="clear" w:color="auto" w:fill="F0FFFF"/>
          </w:tcPr>
          <w:p>
            <w:pPr>
              <w:spacing w:after="0"/>
              <w:rPr>
                <w:sz w:val="3"/>
                <w:szCs w:val="3"/>
                <w:color w:val="auto"/>
              </w:rPr>
            </w:pPr>
          </w:p>
        </w:tc>
        <w:tc>
          <w:tcPr>
            <w:tcW w:w="200" w:type="dxa"/>
            <w:vAlign w:val="bottom"/>
            <w:tcBorders>
              <w:top w:val="single" w:sz="8" w:color="0000EE"/>
              <w:bottom w:val="single" w:sz="8" w:color="F0FFFF"/>
            </w:tcBorders>
            <w:shd w:val="clear" w:color="auto" w:fill="F0FFFF"/>
          </w:tcPr>
          <w:p>
            <w:pPr>
              <w:spacing w:after="0"/>
              <w:rPr>
                <w:sz w:val="3"/>
                <w:szCs w:val="3"/>
                <w:color w:val="auto"/>
              </w:rPr>
            </w:pPr>
          </w:p>
        </w:tc>
        <w:tc>
          <w:tcPr>
            <w:tcW w:w="80" w:type="dxa"/>
            <w:vAlign w:val="bottom"/>
            <w:tcBorders>
              <w:top w:val="single" w:sz="8" w:color="0000EE"/>
              <w:bottom w:val="single" w:sz="8" w:color="F0FFFF"/>
            </w:tcBorders>
            <w:shd w:val="clear" w:color="auto" w:fill="F0FFFF"/>
          </w:tcPr>
          <w:p>
            <w:pPr>
              <w:spacing w:after="0"/>
              <w:rPr>
                <w:sz w:val="3"/>
                <w:szCs w:val="3"/>
                <w:color w:val="auto"/>
              </w:rPr>
            </w:pPr>
          </w:p>
        </w:tc>
        <w:tc>
          <w:tcPr>
            <w:tcW w:w="100" w:type="dxa"/>
            <w:vAlign w:val="bottom"/>
            <w:tcBorders>
              <w:top w:val="single" w:sz="8" w:color="0000EE"/>
              <w:bottom w:val="single" w:sz="8" w:color="F0FFFF"/>
            </w:tcBorders>
            <w:shd w:val="clear" w:color="auto" w:fill="F0FFFF"/>
          </w:tcPr>
          <w:p>
            <w:pPr>
              <w:spacing w:after="0"/>
              <w:rPr>
                <w:sz w:val="3"/>
                <w:szCs w:val="3"/>
                <w:color w:val="auto"/>
              </w:rPr>
            </w:pPr>
          </w:p>
        </w:tc>
        <w:tc>
          <w:tcPr>
            <w:tcW w:w="4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60" w:type="dxa"/>
            <w:vAlign w:val="bottom"/>
            <w:tcBorders>
              <w:top w:val="single" w:sz="8" w:color="0000EE"/>
              <w:bottom w:val="single" w:sz="8" w:color="F0FFFF"/>
            </w:tcBorders>
            <w:shd w:val="clear" w:color="auto" w:fill="F0FFFF"/>
          </w:tcPr>
          <w:p>
            <w:pPr>
              <w:spacing w:after="0"/>
              <w:rPr>
                <w:sz w:val="3"/>
                <w:szCs w:val="3"/>
                <w:color w:val="auto"/>
              </w:rPr>
            </w:pPr>
          </w:p>
        </w:tc>
        <w:tc>
          <w:tcPr>
            <w:tcW w:w="60" w:type="dxa"/>
            <w:vAlign w:val="bottom"/>
            <w:tcBorders>
              <w:top w:val="single" w:sz="8" w:color="0000EE"/>
              <w:bottom w:val="single" w:sz="8" w:color="F0FFFF"/>
            </w:tcBorders>
            <w:shd w:val="clear" w:color="auto" w:fill="F0FFFF"/>
          </w:tcPr>
          <w:p>
            <w:pPr>
              <w:spacing w:after="0"/>
              <w:rPr>
                <w:sz w:val="3"/>
                <w:szCs w:val="3"/>
                <w:color w:val="auto"/>
              </w:rPr>
            </w:pPr>
          </w:p>
        </w:tc>
        <w:tc>
          <w:tcPr>
            <w:tcW w:w="40" w:type="dxa"/>
            <w:vAlign w:val="bottom"/>
            <w:tcBorders>
              <w:top w:val="single" w:sz="8" w:color="0000EE"/>
              <w:bottom w:val="single" w:sz="8" w:color="F0FFFF"/>
            </w:tcBorders>
            <w:shd w:val="clear" w:color="auto" w:fill="F0FFFF"/>
          </w:tcPr>
          <w:p>
            <w:pPr>
              <w:spacing w:after="0"/>
              <w:rPr>
                <w:sz w:val="3"/>
                <w:szCs w:val="3"/>
                <w:color w:val="auto"/>
              </w:rPr>
            </w:pPr>
          </w:p>
        </w:tc>
        <w:tc>
          <w:tcPr>
            <w:tcW w:w="6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6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60" w:type="dxa"/>
            <w:vAlign w:val="bottom"/>
            <w:tcBorders>
              <w:top w:val="single" w:sz="8" w:color="F0FFFF"/>
              <w:bottom w:val="single" w:sz="8" w:color="F0FFFF"/>
            </w:tcBorders>
            <w:shd w:val="clear" w:color="auto" w:fill="F0FFFF"/>
          </w:tcPr>
          <w:p>
            <w:pPr>
              <w:spacing w:after="0"/>
              <w:rPr>
                <w:sz w:val="3"/>
                <w:szCs w:val="3"/>
                <w:color w:val="auto"/>
              </w:rPr>
            </w:pPr>
          </w:p>
        </w:tc>
        <w:tc>
          <w:tcPr>
            <w:tcW w:w="80" w:type="dxa"/>
            <w:vAlign w:val="bottom"/>
            <w:tcBorders>
              <w:top w:val="single" w:sz="8" w:color="F0FFFF"/>
              <w:bottom w:val="single" w:sz="8" w:color="F0FFFF"/>
            </w:tcBorders>
            <w:shd w:val="clear" w:color="auto" w:fill="F0FFFF"/>
          </w:tcPr>
          <w:p>
            <w:pPr>
              <w:spacing w:after="0"/>
              <w:rPr>
                <w:sz w:val="3"/>
                <w:szCs w:val="3"/>
                <w:color w:val="auto"/>
              </w:rPr>
            </w:pPr>
          </w:p>
        </w:tc>
        <w:tc>
          <w:tcPr>
            <w:tcW w:w="80" w:type="dxa"/>
            <w:vAlign w:val="bottom"/>
            <w:tcBorders>
              <w:top w:val="single" w:sz="8" w:color="F0FFFF"/>
              <w:bottom w:val="single" w:sz="8" w:color="F0FFFF"/>
            </w:tcBorders>
            <w:shd w:val="clear" w:color="auto" w:fill="F0FFFF"/>
          </w:tcPr>
          <w:p>
            <w:pPr>
              <w:spacing w:after="0"/>
              <w:rPr>
                <w:sz w:val="3"/>
                <w:szCs w:val="3"/>
                <w:color w:val="auto"/>
              </w:rPr>
            </w:pPr>
          </w:p>
        </w:tc>
        <w:tc>
          <w:tcPr>
            <w:tcW w:w="60" w:type="dxa"/>
            <w:vAlign w:val="bottom"/>
            <w:tcBorders>
              <w:top w:val="single" w:sz="8" w:color="F0FFFF"/>
              <w:bottom w:val="single" w:sz="8" w:color="F0FFFF"/>
            </w:tcBorders>
            <w:shd w:val="clear" w:color="auto" w:fill="F0FFFF"/>
          </w:tcPr>
          <w:p>
            <w:pPr>
              <w:spacing w:after="0"/>
              <w:rPr>
                <w:sz w:val="3"/>
                <w:szCs w:val="3"/>
                <w:color w:val="auto"/>
              </w:rPr>
            </w:pPr>
          </w:p>
        </w:tc>
        <w:tc>
          <w:tcPr>
            <w:tcW w:w="4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8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60" w:type="dxa"/>
            <w:vAlign w:val="bottom"/>
            <w:tcBorders>
              <w:top w:val="single" w:sz="8" w:color="F0FFFF"/>
              <w:bottom w:val="single" w:sz="8" w:color="F0FFFF"/>
            </w:tcBorders>
            <w:shd w:val="clear" w:color="auto" w:fill="F0FFFF"/>
          </w:tcPr>
          <w:p>
            <w:pPr>
              <w:spacing w:after="0"/>
              <w:rPr>
                <w:sz w:val="3"/>
                <w:szCs w:val="3"/>
                <w:color w:val="auto"/>
              </w:rPr>
            </w:pPr>
          </w:p>
        </w:tc>
        <w:tc>
          <w:tcPr>
            <w:tcW w:w="40" w:type="dxa"/>
            <w:vAlign w:val="bottom"/>
            <w:tcBorders>
              <w:top w:val="single" w:sz="8" w:color="F0FFFF"/>
              <w:bottom w:val="single" w:sz="8" w:color="F0FFFF"/>
            </w:tcBorders>
            <w:shd w:val="clear" w:color="auto" w:fill="F0FFFF"/>
          </w:tcPr>
          <w:p>
            <w:pPr>
              <w:spacing w:after="0"/>
              <w:rPr>
                <w:sz w:val="3"/>
                <w:szCs w:val="3"/>
                <w:color w:val="auto"/>
              </w:rPr>
            </w:pPr>
          </w:p>
        </w:tc>
        <w:tc>
          <w:tcPr>
            <w:tcW w:w="12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80" w:type="dxa"/>
            <w:vAlign w:val="bottom"/>
            <w:tcBorders>
              <w:top w:val="single" w:sz="8" w:color="F0FFFF"/>
              <w:bottom w:val="single" w:sz="8" w:color="F0FFFF"/>
            </w:tcBorders>
            <w:shd w:val="clear" w:color="auto" w:fill="F0FFFF"/>
          </w:tcPr>
          <w:p>
            <w:pPr>
              <w:spacing w:after="0"/>
              <w:rPr>
                <w:sz w:val="3"/>
                <w:szCs w:val="3"/>
                <w:color w:val="auto"/>
              </w:rPr>
            </w:pPr>
          </w:p>
        </w:tc>
        <w:tc>
          <w:tcPr>
            <w:tcW w:w="300" w:type="dxa"/>
            <w:vAlign w:val="bottom"/>
            <w:tcBorders>
              <w:top w:val="single" w:sz="8" w:color="F0FFFF"/>
              <w:bottom w:val="single" w:sz="8" w:color="F0FFFF"/>
            </w:tcBorders>
            <w:shd w:val="clear" w:color="auto" w:fill="F0FFFF"/>
          </w:tcPr>
          <w:p>
            <w:pPr>
              <w:spacing w:after="0"/>
              <w:rPr>
                <w:sz w:val="3"/>
                <w:szCs w:val="3"/>
                <w:color w:val="auto"/>
              </w:rPr>
            </w:pPr>
          </w:p>
        </w:tc>
        <w:tc>
          <w:tcPr>
            <w:tcW w:w="200" w:type="dxa"/>
            <w:vAlign w:val="bottom"/>
            <w:tcBorders>
              <w:top w:val="single" w:sz="8" w:color="F0FFFF"/>
              <w:bottom w:val="single" w:sz="8" w:color="F0FFFF"/>
            </w:tcBorders>
            <w:shd w:val="clear" w:color="auto" w:fill="F0FFFF"/>
          </w:tcPr>
          <w:p>
            <w:pPr>
              <w:spacing w:after="0"/>
              <w:rPr>
                <w:sz w:val="3"/>
                <w:szCs w:val="3"/>
                <w:color w:val="auto"/>
              </w:rPr>
            </w:pPr>
          </w:p>
        </w:tc>
        <w:tc>
          <w:tcPr>
            <w:tcW w:w="60" w:type="dxa"/>
            <w:vAlign w:val="bottom"/>
            <w:tcBorders>
              <w:top w:val="single" w:sz="8" w:color="F0FFFF"/>
              <w:bottom w:val="single" w:sz="8" w:color="F0FFFF"/>
            </w:tcBorders>
            <w:shd w:val="clear" w:color="auto" w:fill="F0FFFF"/>
          </w:tcPr>
          <w:p>
            <w:pPr>
              <w:spacing w:after="0"/>
              <w:rPr>
                <w:sz w:val="3"/>
                <w:szCs w:val="3"/>
                <w:color w:val="auto"/>
              </w:rPr>
            </w:pPr>
          </w:p>
        </w:tc>
        <w:tc>
          <w:tcPr>
            <w:tcW w:w="80" w:type="dxa"/>
            <w:vAlign w:val="bottom"/>
            <w:tcBorders>
              <w:top w:val="single" w:sz="8" w:color="F0FFFF"/>
              <w:bottom w:val="single" w:sz="8" w:color="F0FFFF"/>
            </w:tcBorders>
            <w:shd w:val="clear" w:color="auto" w:fill="F0FFFF"/>
          </w:tcPr>
          <w:p>
            <w:pPr>
              <w:spacing w:after="0"/>
              <w:rPr>
                <w:sz w:val="3"/>
                <w:szCs w:val="3"/>
                <w:color w:val="auto"/>
              </w:rPr>
            </w:pPr>
          </w:p>
        </w:tc>
        <w:tc>
          <w:tcPr>
            <w:tcW w:w="260" w:type="dxa"/>
            <w:vAlign w:val="bottom"/>
            <w:tcBorders>
              <w:top w:val="single" w:sz="8" w:color="F0FFFF"/>
              <w:bottom w:val="single" w:sz="8" w:color="F0FFFF"/>
            </w:tcBorders>
            <w:shd w:val="clear" w:color="auto" w:fill="F0FFFF"/>
          </w:tcPr>
          <w:p>
            <w:pPr>
              <w:spacing w:after="0"/>
              <w:rPr>
                <w:sz w:val="3"/>
                <w:szCs w:val="3"/>
                <w:color w:val="auto"/>
              </w:rPr>
            </w:pPr>
          </w:p>
        </w:tc>
        <w:tc>
          <w:tcPr>
            <w:tcW w:w="200" w:type="dxa"/>
            <w:vAlign w:val="bottom"/>
            <w:tcBorders>
              <w:top w:val="single" w:sz="8" w:color="F0FFFF"/>
              <w:bottom w:val="single" w:sz="8" w:color="F0FFFF"/>
            </w:tcBorders>
            <w:shd w:val="clear" w:color="auto" w:fill="F0FFFF"/>
          </w:tcPr>
          <w:p>
            <w:pPr>
              <w:spacing w:after="0"/>
              <w:rPr>
                <w:sz w:val="3"/>
                <w:szCs w:val="3"/>
                <w:color w:val="auto"/>
              </w:rPr>
            </w:pPr>
          </w:p>
        </w:tc>
        <w:tc>
          <w:tcPr>
            <w:tcW w:w="16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28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52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300" w:type="dxa"/>
            <w:vAlign w:val="bottom"/>
            <w:tcBorders>
              <w:top w:val="single" w:sz="8" w:color="F0FFFF"/>
              <w:bottom w:val="single" w:sz="8" w:color="F0FFFF"/>
            </w:tcBorders>
            <w:shd w:val="clear" w:color="auto" w:fill="F0FFFF"/>
          </w:tcPr>
          <w:p>
            <w:pPr>
              <w:spacing w:after="0"/>
              <w:rPr>
                <w:sz w:val="3"/>
                <w:szCs w:val="3"/>
                <w:color w:val="auto"/>
              </w:rPr>
            </w:pPr>
          </w:p>
        </w:tc>
        <w:tc>
          <w:tcPr>
            <w:tcW w:w="480" w:type="dxa"/>
            <w:vAlign w:val="bottom"/>
            <w:tcBorders>
              <w:top w:val="single" w:sz="8" w:color="F0FFFF"/>
              <w:bottom w:val="single" w:sz="8" w:color="F0FFFF"/>
            </w:tcBorders>
            <w:shd w:val="clear" w:color="auto" w:fill="F0FFFF"/>
          </w:tcPr>
          <w:p>
            <w:pPr>
              <w:spacing w:after="0"/>
              <w:rPr>
                <w:sz w:val="3"/>
                <w:szCs w:val="3"/>
                <w:color w:val="auto"/>
              </w:rPr>
            </w:pPr>
          </w:p>
        </w:tc>
        <w:tc>
          <w:tcPr>
            <w:tcW w:w="720" w:type="dxa"/>
            <w:vAlign w:val="bottom"/>
            <w:tcBorders>
              <w:top w:val="single" w:sz="8" w:color="F0FFFF"/>
              <w:bottom w:val="single" w:sz="8" w:color="F0FFFF"/>
            </w:tcBorders>
            <w:shd w:val="clear" w:color="auto" w:fill="F0FFFF"/>
          </w:tcPr>
          <w:p>
            <w:pPr>
              <w:spacing w:after="0"/>
              <w:rPr>
                <w:sz w:val="3"/>
                <w:szCs w:val="3"/>
                <w:color w:val="auto"/>
              </w:rPr>
            </w:pPr>
          </w:p>
        </w:tc>
        <w:tc>
          <w:tcPr>
            <w:tcW w:w="860" w:type="dxa"/>
            <w:vAlign w:val="bottom"/>
            <w:tcBorders>
              <w:top w:val="single" w:sz="8" w:color="F0FFFF"/>
              <w:bottom w:val="single" w:sz="8" w:color="F0FFFF"/>
            </w:tcBorders>
            <w:vMerge w:val="continue"/>
            <w:shd w:val="clear" w:color="auto" w:fill="F0FFFF"/>
          </w:tcPr>
          <w:p>
            <w:pPr>
              <w:spacing w:after="0"/>
              <w:rPr>
                <w:sz w:val="3"/>
                <w:szCs w:val="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180" w:type="dxa"/>
            <w:vAlign w:val="bottom"/>
            <w:gridSpan w:val="42"/>
          </w:tcPr>
          <w:p>
            <w:pPr>
              <w:spacing w:after="0" w:line="104" w:lineRule="exact"/>
              <w:rPr>
                <w:sz w:val="20"/>
                <w:szCs w:val="20"/>
                <w:color w:val="auto"/>
              </w:rPr>
            </w:pPr>
            <w:r>
              <w:rPr>
                <w:rFonts w:ascii="Times New Roman" w:cs="Times New Roman" w:eastAsia="Times New Roman" w:hAnsi="Times New Roman"/>
                <w:sz w:val="11"/>
                <w:szCs w:val="11"/>
                <w:color w:val="0000EE"/>
              </w:rPr>
              <w:t>Summary of the GDR</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40" w:type="dxa"/>
            <w:vAlign w:val="bottom"/>
            <w:shd w:val="clear" w:color="auto" w:fill="F0FFFF"/>
          </w:tcPr>
          <w:p>
            <w:pPr>
              <w:spacing w:after="0"/>
              <w:rPr>
                <w:sz w:val="10"/>
                <w:szCs w:val="10"/>
                <w:color w:val="auto"/>
              </w:rPr>
            </w:pPr>
          </w:p>
        </w:tc>
        <w:tc>
          <w:tcPr>
            <w:tcW w:w="5180" w:type="dxa"/>
            <w:vAlign w:val="bottom"/>
            <w:gridSpan w:val="42"/>
            <w:shd w:val="clear" w:color="auto" w:fill="F0FFFF"/>
          </w:tcPr>
          <w:p>
            <w:pPr>
              <w:spacing w:after="0" w:line="124" w:lineRule="exact"/>
              <w:rPr>
                <w:sz w:val="20"/>
                <w:szCs w:val="20"/>
                <w:color w:val="auto"/>
              </w:rPr>
            </w:pPr>
            <w:r>
              <w:rPr>
                <w:rFonts w:ascii="Times New Roman" w:cs="Times New Roman" w:eastAsia="Times New Roman" w:hAnsi="Times New Roman"/>
                <w:sz w:val="14"/>
                <w:szCs w:val="14"/>
                <w:color w:val="0000EE"/>
              </w:rPr>
              <w:t>Distribution Payments</w:t>
            </w:r>
          </w:p>
        </w:tc>
        <w:tc>
          <w:tcPr>
            <w:tcW w:w="86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40" w:type="dxa"/>
            <w:vAlign w:val="bottom"/>
            <w:tcBorders>
              <w:top w:val="single" w:sz="8" w:color="F0FFFF"/>
              <w:bottom w:val="single" w:sz="8" w:color="F0FFFF"/>
            </w:tcBorders>
            <w:shd w:val="clear" w:color="auto" w:fill="F0FFFF"/>
          </w:tcPr>
          <w:p>
            <w:pPr>
              <w:spacing w:after="0"/>
              <w:rPr>
                <w:sz w:val="3"/>
                <w:szCs w:val="3"/>
                <w:color w:val="auto"/>
              </w:rPr>
            </w:pPr>
          </w:p>
        </w:tc>
        <w:tc>
          <w:tcPr>
            <w:tcW w:w="200" w:type="dxa"/>
            <w:vAlign w:val="bottom"/>
            <w:tcBorders>
              <w:top w:val="single" w:sz="8" w:color="0000EE"/>
              <w:bottom w:val="single" w:sz="8" w:color="F0FFFF"/>
            </w:tcBorders>
            <w:shd w:val="clear" w:color="auto" w:fill="F0FFFF"/>
          </w:tcPr>
          <w:p>
            <w:pPr>
              <w:spacing w:after="0"/>
              <w:rPr>
                <w:sz w:val="3"/>
                <w:szCs w:val="3"/>
                <w:color w:val="auto"/>
              </w:rPr>
            </w:pPr>
          </w:p>
        </w:tc>
        <w:tc>
          <w:tcPr>
            <w:tcW w:w="80" w:type="dxa"/>
            <w:vAlign w:val="bottom"/>
            <w:tcBorders>
              <w:top w:val="single" w:sz="8" w:color="0000EE"/>
              <w:bottom w:val="single" w:sz="8" w:color="F0FFFF"/>
            </w:tcBorders>
            <w:shd w:val="clear" w:color="auto" w:fill="F0FFFF"/>
          </w:tcPr>
          <w:p>
            <w:pPr>
              <w:spacing w:after="0"/>
              <w:rPr>
                <w:sz w:val="3"/>
                <w:szCs w:val="3"/>
                <w:color w:val="auto"/>
              </w:rPr>
            </w:pPr>
          </w:p>
        </w:tc>
        <w:tc>
          <w:tcPr>
            <w:tcW w:w="100" w:type="dxa"/>
            <w:vAlign w:val="bottom"/>
            <w:tcBorders>
              <w:top w:val="single" w:sz="8" w:color="0000EE"/>
              <w:bottom w:val="single" w:sz="8" w:color="F0FFFF"/>
            </w:tcBorders>
            <w:shd w:val="clear" w:color="auto" w:fill="F0FFFF"/>
          </w:tcPr>
          <w:p>
            <w:pPr>
              <w:spacing w:after="0"/>
              <w:rPr>
                <w:sz w:val="3"/>
                <w:szCs w:val="3"/>
                <w:color w:val="auto"/>
              </w:rPr>
            </w:pPr>
          </w:p>
        </w:tc>
        <w:tc>
          <w:tcPr>
            <w:tcW w:w="4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60" w:type="dxa"/>
            <w:vAlign w:val="bottom"/>
            <w:tcBorders>
              <w:top w:val="single" w:sz="8" w:color="0000EE"/>
              <w:bottom w:val="single" w:sz="8" w:color="F0FFFF"/>
            </w:tcBorders>
            <w:shd w:val="clear" w:color="auto" w:fill="F0FFFF"/>
          </w:tcPr>
          <w:p>
            <w:pPr>
              <w:spacing w:after="0"/>
              <w:rPr>
                <w:sz w:val="3"/>
                <w:szCs w:val="3"/>
                <w:color w:val="auto"/>
              </w:rPr>
            </w:pPr>
          </w:p>
        </w:tc>
        <w:tc>
          <w:tcPr>
            <w:tcW w:w="60" w:type="dxa"/>
            <w:vAlign w:val="bottom"/>
            <w:tcBorders>
              <w:top w:val="single" w:sz="8" w:color="0000EE"/>
              <w:bottom w:val="single" w:sz="8" w:color="F0FFFF"/>
            </w:tcBorders>
            <w:shd w:val="clear" w:color="auto" w:fill="F0FFFF"/>
          </w:tcPr>
          <w:p>
            <w:pPr>
              <w:spacing w:after="0"/>
              <w:rPr>
                <w:sz w:val="3"/>
                <w:szCs w:val="3"/>
                <w:color w:val="auto"/>
              </w:rPr>
            </w:pPr>
          </w:p>
        </w:tc>
        <w:tc>
          <w:tcPr>
            <w:tcW w:w="40" w:type="dxa"/>
            <w:vAlign w:val="bottom"/>
            <w:tcBorders>
              <w:top w:val="single" w:sz="8" w:color="0000EE"/>
              <w:bottom w:val="single" w:sz="8" w:color="F0FFFF"/>
            </w:tcBorders>
            <w:shd w:val="clear" w:color="auto" w:fill="F0FFFF"/>
          </w:tcPr>
          <w:p>
            <w:pPr>
              <w:spacing w:after="0"/>
              <w:rPr>
                <w:sz w:val="3"/>
                <w:szCs w:val="3"/>
                <w:color w:val="auto"/>
              </w:rPr>
            </w:pPr>
          </w:p>
        </w:tc>
        <w:tc>
          <w:tcPr>
            <w:tcW w:w="6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6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60" w:type="dxa"/>
            <w:vAlign w:val="bottom"/>
            <w:tcBorders>
              <w:top w:val="single" w:sz="8" w:color="0000EE"/>
              <w:bottom w:val="single" w:sz="8" w:color="F0FFFF"/>
            </w:tcBorders>
            <w:shd w:val="clear" w:color="auto" w:fill="F0FFFF"/>
          </w:tcPr>
          <w:p>
            <w:pPr>
              <w:spacing w:after="0"/>
              <w:rPr>
                <w:sz w:val="3"/>
                <w:szCs w:val="3"/>
                <w:color w:val="auto"/>
              </w:rPr>
            </w:pPr>
          </w:p>
        </w:tc>
        <w:tc>
          <w:tcPr>
            <w:tcW w:w="80" w:type="dxa"/>
            <w:vAlign w:val="bottom"/>
            <w:tcBorders>
              <w:top w:val="single" w:sz="8" w:color="0000EE"/>
              <w:bottom w:val="single" w:sz="8" w:color="F0FFFF"/>
            </w:tcBorders>
            <w:shd w:val="clear" w:color="auto" w:fill="F0FFFF"/>
          </w:tcPr>
          <w:p>
            <w:pPr>
              <w:spacing w:after="0"/>
              <w:rPr>
                <w:sz w:val="3"/>
                <w:szCs w:val="3"/>
                <w:color w:val="auto"/>
              </w:rPr>
            </w:pPr>
          </w:p>
        </w:tc>
        <w:tc>
          <w:tcPr>
            <w:tcW w:w="80" w:type="dxa"/>
            <w:vAlign w:val="bottom"/>
            <w:tcBorders>
              <w:top w:val="single" w:sz="8" w:color="0000EE"/>
              <w:bottom w:val="single" w:sz="8" w:color="F0FFFF"/>
            </w:tcBorders>
            <w:shd w:val="clear" w:color="auto" w:fill="F0FFFF"/>
          </w:tcPr>
          <w:p>
            <w:pPr>
              <w:spacing w:after="0"/>
              <w:rPr>
                <w:sz w:val="3"/>
                <w:szCs w:val="3"/>
                <w:color w:val="auto"/>
              </w:rPr>
            </w:pPr>
          </w:p>
        </w:tc>
        <w:tc>
          <w:tcPr>
            <w:tcW w:w="60" w:type="dxa"/>
            <w:vAlign w:val="bottom"/>
            <w:tcBorders>
              <w:top w:val="single" w:sz="8" w:color="0000EE"/>
              <w:bottom w:val="single" w:sz="8" w:color="F0FFFF"/>
            </w:tcBorders>
            <w:shd w:val="clear" w:color="auto" w:fill="F0FFFF"/>
          </w:tcPr>
          <w:p>
            <w:pPr>
              <w:spacing w:after="0"/>
              <w:rPr>
                <w:sz w:val="3"/>
                <w:szCs w:val="3"/>
                <w:color w:val="auto"/>
              </w:rPr>
            </w:pPr>
          </w:p>
        </w:tc>
        <w:tc>
          <w:tcPr>
            <w:tcW w:w="4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8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60" w:type="dxa"/>
            <w:vAlign w:val="bottom"/>
            <w:tcBorders>
              <w:top w:val="single" w:sz="8" w:color="F0FFFF"/>
              <w:bottom w:val="single" w:sz="8" w:color="F0FFFF"/>
            </w:tcBorders>
            <w:shd w:val="clear" w:color="auto" w:fill="F0FFFF"/>
          </w:tcPr>
          <w:p>
            <w:pPr>
              <w:spacing w:after="0"/>
              <w:rPr>
                <w:sz w:val="3"/>
                <w:szCs w:val="3"/>
                <w:color w:val="auto"/>
              </w:rPr>
            </w:pPr>
          </w:p>
        </w:tc>
        <w:tc>
          <w:tcPr>
            <w:tcW w:w="40" w:type="dxa"/>
            <w:vAlign w:val="bottom"/>
            <w:tcBorders>
              <w:top w:val="single" w:sz="8" w:color="F0FFFF"/>
              <w:bottom w:val="single" w:sz="8" w:color="F0FFFF"/>
            </w:tcBorders>
            <w:shd w:val="clear" w:color="auto" w:fill="F0FFFF"/>
          </w:tcPr>
          <w:p>
            <w:pPr>
              <w:spacing w:after="0"/>
              <w:rPr>
                <w:sz w:val="3"/>
                <w:szCs w:val="3"/>
                <w:color w:val="auto"/>
              </w:rPr>
            </w:pPr>
          </w:p>
        </w:tc>
        <w:tc>
          <w:tcPr>
            <w:tcW w:w="12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80" w:type="dxa"/>
            <w:vAlign w:val="bottom"/>
            <w:tcBorders>
              <w:top w:val="single" w:sz="8" w:color="F0FFFF"/>
              <w:bottom w:val="single" w:sz="8" w:color="F0FFFF"/>
            </w:tcBorders>
            <w:shd w:val="clear" w:color="auto" w:fill="F0FFFF"/>
          </w:tcPr>
          <w:p>
            <w:pPr>
              <w:spacing w:after="0"/>
              <w:rPr>
                <w:sz w:val="3"/>
                <w:szCs w:val="3"/>
                <w:color w:val="auto"/>
              </w:rPr>
            </w:pPr>
          </w:p>
        </w:tc>
        <w:tc>
          <w:tcPr>
            <w:tcW w:w="300" w:type="dxa"/>
            <w:vAlign w:val="bottom"/>
            <w:tcBorders>
              <w:top w:val="single" w:sz="8" w:color="F0FFFF"/>
              <w:bottom w:val="single" w:sz="8" w:color="F0FFFF"/>
            </w:tcBorders>
            <w:shd w:val="clear" w:color="auto" w:fill="F0FFFF"/>
          </w:tcPr>
          <w:p>
            <w:pPr>
              <w:spacing w:after="0"/>
              <w:rPr>
                <w:sz w:val="3"/>
                <w:szCs w:val="3"/>
                <w:color w:val="auto"/>
              </w:rPr>
            </w:pPr>
          </w:p>
        </w:tc>
        <w:tc>
          <w:tcPr>
            <w:tcW w:w="200" w:type="dxa"/>
            <w:vAlign w:val="bottom"/>
            <w:tcBorders>
              <w:top w:val="single" w:sz="8" w:color="F0FFFF"/>
              <w:bottom w:val="single" w:sz="8" w:color="F0FFFF"/>
            </w:tcBorders>
            <w:shd w:val="clear" w:color="auto" w:fill="F0FFFF"/>
          </w:tcPr>
          <w:p>
            <w:pPr>
              <w:spacing w:after="0"/>
              <w:rPr>
                <w:sz w:val="3"/>
                <w:szCs w:val="3"/>
                <w:color w:val="auto"/>
              </w:rPr>
            </w:pPr>
          </w:p>
        </w:tc>
        <w:tc>
          <w:tcPr>
            <w:tcW w:w="60" w:type="dxa"/>
            <w:vAlign w:val="bottom"/>
            <w:tcBorders>
              <w:top w:val="single" w:sz="8" w:color="F0FFFF"/>
              <w:bottom w:val="single" w:sz="8" w:color="F0FFFF"/>
            </w:tcBorders>
            <w:shd w:val="clear" w:color="auto" w:fill="F0FFFF"/>
          </w:tcPr>
          <w:p>
            <w:pPr>
              <w:spacing w:after="0"/>
              <w:rPr>
                <w:sz w:val="3"/>
                <w:szCs w:val="3"/>
                <w:color w:val="auto"/>
              </w:rPr>
            </w:pPr>
          </w:p>
        </w:tc>
        <w:tc>
          <w:tcPr>
            <w:tcW w:w="80" w:type="dxa"/>
            <w:vAlign w:val="bottom"/>
            <w:tcBorders>
              <w:top w:val="single" w:sz="8" w:color="F0FFFF"/>
              <w:bottom w:val="single" w:sz="8" w:color="F0FFFF"/>
            </w:tcBorders>
            <w:shd w:val="clear" w:color="auto" w:fill="F0FFFF"/>
          </w:tcPr>
          <w:p>
            <w:pPr>
              <w:spacing w:after="0"/>
              <w:rPr>
                <w:sz w:val="3"/>
                <w:szCs w:val="3"/>
                <w:color w:val="auto"/>
              </w:rPr>
            </w:pPr>
          </w:p>
        </w:tc>
        <w:tc>
          <w:tcPr>
            <w:tcW w:w="260" w:type="dxa"/>
            <w:vAlign w:val="bottom"/>
            <w:tcBorders>
              <w:top w:val="single" w:sz="8" w:color="F0FFFF"/>
              <w:bottom w:val="single" w:sz="8" w:color="F0FFFF"/>
            </w:tcBorders>
            <w:shd w:val="clear" w:color="auto" w:fill="F0FFFF"/>
          </w:tcPr>
          <w:p>
            <w:pPr>
              <w:spacing w:after="0"/>
              <w:rPr>
                <w:sz w:val="3"/>
                <w:szCs w:val="3"/>
                <w:color w:val="auto"/>
              </w:rPr>
            </w:pPr>
          </w:p>
        </w:tc>
        <w:tc>
          <w:tcPr>
            <w:tcW w:w="200" w:type="dxa"/>
            <w:vAlign w:val="bottom"/>
            <w:tcBorders>
              <w:top w:val="single" w:sz="8" w:color="F0FFFF"/>
              <w:bottom w:val="single" w:sz="8" w:color="F0FFFF"/>
            </w:tcBorders>
            <w:shd w:val="clear" w:color="auto" w:fill="F0FFFF"/>
          </w:tcPr>
          <w:p>
            <w:pPr>
              <w:spacing w:after="0"/>
              <w:rPr>
                <w:sz w:val="3"/>
                <w:szCs w:val="3"/>
                <w:color w:val="auto"/>
              </w:rPr>
            </w:pPr>
          </w:p>
        </w:tc>
        <w:tc>
          <w:tcPr>
            <w:tcW w:w="16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28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52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300" w:type="dxa"/>
            <w:vAlign w:val="bottom"/>
            <w:tcBorders>
              <w:top w:val="single" w:sz="8" w:color="F0FFFF"/>
              <w:bottom w:val="single" w:sz="8" w:color="F0FFFF"/>
            </w:tcBorders>
            <w:shd w:val="clear" w:color="auto" w:fill="F0FFFF"/>
          </w:tcPr>
          <w:p>
            <w:pPr>
              <w:spacing w:after="0"/>
              <w:rPr>
                <w:sz w:val="3"/>
                <w:szCs w:val="3"/>
                <w:color w:val="auto"/>
              </w:rPr>
            </w:pPr>
          </w:p>
        </w:tc>
        <w:tc>
          <w:tcPr>
            <w:tcW w:w="480" w:type="dxa"/>
            <w:vAlign w:val="bottom"/>
            <w:tcBorders>
              <w:top w:val="single" w:sz="8" w:color="F0FFFF"/>
              <w:bottom w:val="single" w:sz="8" w:color="F0FFFF"/>
            </w:tcBorders>
            <w:shd w:val="clear" w:color="auto" w:fill="F0FFFF"/>
          </w:tcPr>
          <w:p>
            <w:pPr>
              <w:spacing w:after="0"/>
              <w:rPr>
                <w:sz w:val="3"/>
                <w:szCs w:val="3"/>
                <w:color w:val="auto"/>
              </w:rPr>
            </w:pPr>
          </w:p>
        </w:tc>
        <w:tc>
          <w:tcPr>
            <w:tcW w:w="720" w:type="dxa"/>
            <w:vAlign w:val="bottom"/>
            <w:tcBorders>
              <w:top w:val="single" w:sz="8" w:color="F0FFFF"/>
              <w:bottom w:val="single" w:sz="8" w:color="F0FFFF"/>
            </w:tcBorders>
            <w:shd w:val="clear" w:color="auto" w:fill="F0FFFF"/>
          </w:tcPr>
          <w:p>
            <w:pPr>
              <w:spacing w:after="0"/>
              <w:rPr>
                <w:sz w:val="3"/>
                <w:szCs w:val="3"/>
                <w:color w:val="auto"/>
              </w:rPr>
            </w:pPr>
          </w:p>
        </w:tc>
        <w:tc>
          <w:tcPr>
            <w:tcW w:w="860" w:type="dxa"/>
            <w:vAlign w:val="bottom"/>
            <w:tcBorders>
              <w:top w:val="single" w:sz="8" w:color="F0FFFF"/>
              <w:bottom w:val="single" w:sz="8" w:color="F0FFFF"/>
            </w:tcBorders>
            <w:vMerge w:val="continue"/>
            <w:shd w:val="clear" w:color="auto" w:fill="F0FFFF"/>
          </w:tcPr>
          <w:p>
            <w:pPr>
              <w:spacing w:after="0"/>
              <w:rPr>
                <w:sz w:val="3"/>
                <w:szCs w:val="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180" w:type="dxa"/>
            <w:vAlign w:val="bottom"/>
            <w:gridSpan w:val="42"/>
          </w:tcPr>
          <w:p>
            <w:pPr>
              <w:spacing w:after="0" w:line="104" w:lineRule="exact"/>
              <w:rPr>
                <w:sz w:val="20"/>
                <w:szCs w:val="20"/>
                <w:color w:val="auto"/>
              </w:rPr>
            </w:pPr>
            <w:r>
              <w:rPr>
                <w:rFonts w:ascii="Times New Roman" w:cs="Times New Roman" w:eastAsia="Times New Roman" w:hAnsi="Times New Roman"/>
                <w:sz w:val="11"/>
                <w:szCs w:val="11"/>
                <w:color w:val="0000EE"/>
              </w:rPr>
              <w:t>Impact of Distribution Payments on Your Policy</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300" w:type="dxa"/>
            <w:vAlign w:val="bottom"/>
            <w:tcBorders>
              <w:top w:val="single" w:sz="8" w:color="0000EE"/>
            </w:tcBorders>
          </w:tcPr>
          <w:p>
            <w:pPr>
              <w:spacing w:after="0"/>
              <w:rPr>
                <w:sz w:val="3"/>
                <w:szCs w:val="3"/>
                <w:color w:val="auto"/>
              </w:rPr>
            </w:pPr>
          </w:p>
        </w:tc>
        <w:tc>
          <w:tcPr>
            <w:tcW w:w="20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260" w:type="dxa"/>
            <w:vAlign w:val="bottom"/>
            <w:tcBorders>
              <w:top w:val="single" w:sz="8" w:color="0000EE"/>
            </w:tcBorders>
          </w:tcPr>
          <w:p>
            <w:pPr>
              <w:spacing w:after="0"/>
              <w:rPr>
                <w:sz w:val="3"/>
                <w:szCs w:val="3"/>
                <w:color w:val="auto"/>
              </w:rPr>
            </w:pPr>
          </w:p>
        </w:tc>
        <w:tc>
          <w:tcPr>
            <w:tcW w:w="200" w:type="dxa"/>
            <w:vAlign w:val="bottom"/>
            <w:tcBorders>
              <w:top w:val="single" w:sz="8" w:color="0000EE"/>
            </w:tcBorders>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40" w:type="dxa"/>
            <w:vAlign w:val="bottom"/>
            <w:shd w:val="clear" w:color="auto" w:fill="F0FFFF"/>
          </w:tcPr>
          <w:p>
            <w:pPr>
              <w:spacing w:after="0"/>
              <w:rPr>
                <w:sz w:val="10"/>
                <w:szCs w:val="10"/>
                <w:color w:val="auto"/>
              </w:rPr>
            </w:pPr>
          </w:p>
        </w:tc>
        <w:tc>
          <w:tcPr>
            <w:tcW w:w="5180" w:type="dxa"/>
            <w:vAlign w:val="bottom"/>
            <w:gridSpan w:val="42"/>
            <w:shd w:val="clear" w:color="auto" w:fill="F0FFFF"/>
          </w:tcPr>
          <w:p>
            <w:pPr>
              <w:spacing w:after="0" w:line="124" w:lineRule="exact"/>
              <w:rPr>
                <w:sz w:val="20"/>
                <w:szCs w:val="20"/>
                <w:color w:val="auto"/>
              </w:rPr>
            </w:pPr>
            <w:r>
              <w:rPr>
                <w:rFonts w:ascii="Times New Roman" w:cs="Times New Roman" w:eastAsia="Times New Roman" w:hAnsi="Times New Roman"/>
                <w:sz w:val="14"/>
                <w:szCs w:val="14"/>
                <w:color w:val="0000EE"/>
              </w:rPr>
              <w:t>Operation of the Lifetime Lapse Prevention Benefit</w:t>
            </w:r>
          </w:p>
        </w:tc>
        <w:tc>
          <w:tcPr>
            <w:tcW w:w="86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40" w:type="dxa"/>
            <w:vAlign w:val="bottom"/>
            <w:tcBorders>
              <w:top w:val="single" w:sz="8" w:color="F0FFFF"/>
              <w:bottom w:val="single" w:sz="8" w:color="F0FFFF"/>
            </w:tcBorders>
            <w:shd w:val="clear" w:color="auto" w:fill="F0FFFF"/>
          </w:tcPr>
          <w:p>
            <w:pPr>
              <w:spacing w:after="0"/>
              <w:rPr>
                <w:sz w:val="3"/>
                <w:szCs w:val="3"/>
                <w:color w:val="auto"/>
              </w:rPr>
            </w:pPr>
          </w:p>
        </w:tc>
        <w:tc>
          <w:tcPr>
            <w:tcW w:w="200" w:type="dxa"/>
            <w:vAlign w:val="bottom"/>
            <w:tcBorders>
              <w:top w:val="single" w:sz="8" w:color="0000EE"/>
              <w:bottom w:val="single" w:sz="8" w:color="F0FFFF"/>
            </w:tcBorders>
            <w:shd w:val="clear" w:color="auto" w:fill="F0FFFF"/>
          </w:tcPr>
          <w:p>
            <w:pPr>
              <w:spacing w:after="0"/>
              <w:rPr>
                <w:sz w:val="3"/>
                <w:szCs w:val="3"/>
                <w:color w:val="auto"/>
              </w:rPr>
            </w:pPr>
          </w:p>
        </w:tc>
        <w:tc>
          <w:tcPr>
            <w:tcW w:w="80" w:type="dxa"/>
            <w:vAlign w:val="bottom"/>
            <w:tcBorders>
              <w:top w:val="single" w:sz="8" w:color="0000EE"/>
              <w:bottom w:val="single" w:sz="8" w:color="F0FFFF"/>
            </w:tcBorders>
            <w:shd w:val="clear" w:color="auto" w:fill="F0FFFF"/>
          </w:tcPr>
          <w:p>
            <w:pPr>
              <w:spacing w:after="0"/>
              <w:rPr>
                <w:sz w:val="3"/>
                <w:szCs w:val="3"/>
                <w:color w:val="auto"/>
              </w:rPr>
            </w:pPr>
          </w:p>
        </w:tc>
        <w:tc>
          <w:tcPr>
            <w:tcW w:w="100" w:type="dxa"/>
            <w:vAlign w:val="bottom"/>
            <w:tcBorders>
              <w:top w:val="single" w:sz="8" w:color="0000EE"/>
              <w:bottom w:val="single" w:sz="8" w:color="F0FFFF"/>
            </w:tcBorders>
            <w:shd w:val="clear" w:color="auto" w:fill="F0FFFF"/>
          </w:tcPr>
          <w:p>
            <w:pPr>
              <w:spacing w:after="0"/>
              <w:rPr>
                <w:sz w:val="3"/>
                <w:szCs w:val="3"/>
                <w:color w:val="auto"/>
              </w:rPr>
            </w:pPr>
          </w:p>
        </w:tc>
        <w:tc>
          <w:tcPr>
            <w:tcW w:w="4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60" w:type="dxa"/>
            <w:vAlign w:val="bottom"/>
            <w:tcBorders>
              <w:top w:val="single" w:sz="8" w:color="0000EE"/>
              <w:bottom w:val="single" w:sz="8" w:color="F0FFFF"/>
            </w:tcBorders>
            <w:shd w:val="clear" w:color="auto" w:fill="F0FFFF"/>
          </w:tcPr>
          <w:p>
            <w:pPr>
              <w:spacing w:after="0"/>
              <w:rPr>
                <w:sz w:val="3"/>
                <w:szCs w:val="3"/>
                <w:color w:val="auto"/>
              </w:rPr>
            </w:pPr>
          </w:p>
        </w:tc>
        <w:tc>
          <w:tcPr>
            <w:tcW w:w="60" w:type="dxa"/>
            <w:vAlign w:val="bottom"/>
            <w:tcBorders>
              <w:top w:val="single" w:sz="8" w:color="0000EE"/>
              <w:bottom w:val="single" w:sz="8" w:color="F0FFFF"/>
            </w:tcBorders>
            <w:shd w:val="clear" w:color="auto" w:fill="F0FFFF"/>
          </w:tcPr>
          <w:p>
            <w:pPr>
              <w:spacing w:after="0"/>
              <w:rPr>
                <w:sz w:val="3"/>
                <w:szCs w:val="3"/>
                <w:color w:val="auto"/>
              </w:rPr>
            </w:pPr>
          </w:p>
        </w:tc>
        <w:tc>
          <w:tcPr>
            <w:tcW w:w="40" w:type="dxa"/>
            <w:vAlign w:val="bottom"/>
            <w:tcBorders>
              <w:top w:val="single" w:sz="8" w:color="0000EE"/>
              <w:bottom w:val="single" w:sz="8" w:color="F0FFFF"/>
            </w:tcBorders>
            <w:shd w:val="clear" w:color="auto" w:fill="F0FFFF"/>
          </w:tcPr>
          <w:p>
            <w:pPr>
              <w:spacing w:after="0"/>
              <w:rPr>
                <w:sz w:val="3"/>
                <w:szCs w:val="3"/>
                <w:color w:val="auto"/>
              </w:rPr>
            </w:pPr>
          </w:p>
        </w:tc>
        <w:tc>
          <w:tcPr>
            <w:tcW w:w="6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6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60" w:type="dxa"/>
            <w:vAlign w:val="bottom"/>
            <w:tcBorders>
              <w:top w:val="single" w:sz="8" w:color="0000EE"/>
              <w:bottom w:val="single" w:sz="8" w:color="F0FFFF"/>
            </w:tcBorders>
            <w:shd w:val="clear" w:color="auto" w:fill="F0FFFF"/>
          </w:tcPr>
          <w:p>
            <w:pPr>
              <w:spacing w:after="0"/>
              <w:rPr>
                <w:sz w:val="3"/>
                <w:szCs w:val="3"/>
                <w:color w:val="auto"/>
              </w:rPr>
            </w:pPr>
          </w:p>
        </w:tc>
        <w:tc>
          <w:tcPr>
            <w:tcW w:w="80" w:type="dxa"/>
            <w:vAlign w:val="bottom"/>
            <w:tcBorders>
              <w:top w:val="single" w:sz="8" w:color="0000EE"/>
              <w:bottom w:val="single" w:sz="8" w:color="F0FFFF"/>
            </w:tcBorders>
            <w:shd w:val="clear" w:color="auto" w:fill="F0FFFF"/>
          </w:tcPr>
          <w:p>
            <w:pPr>
              <w:spacing w:after="0"/>
              <w:rPr>
                <w:sz w:val="3"/>
                <w:szCs w:val="3"/>
                <w:color w:val="auto"/>
              </w:rPr>
            </w:pPr>
          </w:p>
        </w:tc>
        <w:tc>
          <w:tcPr>
            <w:tcW w:w="80" w:type="dxa"/>
            <w:vAlign w:val="bottom"/>
            <w:tcBorders>
              <w:top w:val="single" w:sz="8" w:color="0000EE"/>
              <w:bottom w:val="single" w:sz="8" w:color="F0FFFF"/>
            </w:tcBorders>
            <w:shd w:val="clear" w:color="auto" w:fill="F0FFFF"/>
          </w:tcPr>
          <w:p>
            <w:pPr>
              <w:spacing w:after="0"/>
              <w:rPr>
                <w:sz w:val="3"/>
                <w:szCs w:val="3"/>
                <w:color w:val="auto"/>
              </w:rPr>
            </w:pPr>
          </w:p>
        </w:tc>
        <w:tc>
          <w:tcPr>
            <w:tcW w:w="60" w:type="dxa"/>
            <w:vAlign w:val="bottom"/>
            <w:tcBorders>
              <w:top w:val="single" w:sz="8" w:color="0000EE"/>
              <w:bottom w:val="single" w:sz="8" w:color="F0FFFF"/>
            </w:tcBorders>
            <w:shd w:val="clear" w:color="auto" w:fill="F0FFFF"/>
          </w:tcPr>
          <w:p>
            <w:pPr>
              <w:spacing w:after="0"/>
              <w:rPr>
                <w:sz w:val="3"/>
                <w:szCs w:val="3"/>
                <w:color w:val="auto"/>
              </w:rPr>
            </w:pPr>
          </w:p>
        </w:tc>
        <w:tc>
          <w:tcPr>
            <w:tcW w:w="4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8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60" w:type="dxa"/>
            <w:vAlign w:val="bottom"/>
            <w:tcBorders>
              <w:top w:val="single" w:sz="8" w:color="0000EE"/>
              <w:bottom w:val="single" w:sz="8" w:color="F0FFFF"/>
            </w:tcBorders>
            <w:shd w:val="clear" w:color="auto" w:fill="F0FFFF"/>
          </w:tcPr>
          <w:p>
            <w:pPr>
              <w:spacing w:after="0"/>
              <w:rPr>
                <w:sz w:val="3"/>
                <w:szCs w:val="3"/>
                <w:color w:val="auto"/>
              </w:rPr>
            </w:pPr>
          </w:p>
        </w:tc>
        <w:tc>
          <w:tcPr>
            <w:tcW w:w="40" w:type="dxa"/>
            <w:vAlign w:val="bottom"/>
            <w:tcBorders>
              <w:top w:val="single" w:sz="8" w:color="0000EE"/>
              <w:bottom w:val="single" w:sz="8" w:color="F0FFFF"/>
            </w:tcBorders>
            <w:shd w:val="clear" w:color="auto" w:fill="F0FFFF"/>
          </w:tcPr>
          <w:p>
            <w:pPr>
              <w:spacing w:after="0"/>
              <w:rPr>
                <w:sz w:val="3"/>
                <w:szCs w:val="3"/>
                <w:color w:val="auto"/>
              </w:rPr>
            </w:pPr>
          </w:p>
        </w:tc>
        <w:tc>
          <w:tcPr>
            <w:tcW w:w="1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80" w:type="dxa"/>
            <w:vAlign w:val="bottom"/>
            <w:tcBorders>
              <w:top w:val="single" w:sz="8" w:color="0000EE"/>
              <w:bottom w:val="single" w:sz="8" w:color="F0FFFF"/>
            </w:tcBorders>
            <w:shd w:val="clear" w:color="auto" w:fill="F0FFFF"/>
          </w:tcPr>
          <w:p>
            <w:pPr>
              <w:spacing w:after="0"/>
              <w:rPr>
                <w:sz w:val="3"/>
                <w:szCs w:val="3"/>
                <w:color w:val="auto"/>
              </w:rPr>
            </w:pPr>
          </w:p>
        </w:tc>
        <w:tc>
          <w:tcPr>
            <w:tcW w:w="300" w:type="dxa"/>
            <w:vAlign w:val="bottom"/>
            <w:tcBorders>
              <w:top w:val="single" w:sz="8" w:color="0000EE"/>
              <w:bottom w:val="single" w:sz="8" w:color="F0FFFF"/>
            </w:tcBorders>
            <w:shd w:val="clear" w:color="auto" w:fill="F0FFFF"/>
          </w:tcPr>
          <w:p>
            <w:pPr>
              <w:spacing w:after="0"/>
              <w:rPr>
                <w:sz w:val="3"/>
                <w:szCs w:val="3"/>
                <w:color w:val="auto"/>
              </w:rPr>
            </w:pPr>
          </w:p>
        </w:tc>
        <w:tc>
          <w:tcPr>
            <w:tcW w:w="200" w:type="dxa"/>
            <w:vAlign w:val="bottom"/>
            <w:tcBorders>
              <w:top w:val="single" w:sz="8" w:color="0000EE"/>
              <w:bottom w:val="single" w:sz="8" w:color="F0FFFF"/>
            </w:tcBorders>
            <w:shd w:val="clear" w:color="auto" w:fill="F0FFFF"/>
          </w:tcPr>
          <w:p>
            <w:pPr>
              <w:spacing w:after="0"/>
              <w:rPr>
                <w:sz w:val="3"/>
                <w:szCs w:val="3"/>
                <w:color w:val="auto"/>
              </w:rPr>
            </w:pPr>
          </w:p>
        </w:tc>
        <w:tc>
          <w:tcPr>
            <w:tcW w:w="60" w:type="dxa"/>
            <w:vAlign w:val="bottom"/>
            <w:tcBorders>
              <w:top w:val="single" w:sz="8" w:color="0000EE"/>
              <w:bottom w:val="single" w:sz="8" w:color="F0FFFF"/>
            </w:tcBorders>
            <w:shd w:val="clear" w:color="auto" w:fill="F0FFFF"/>
          </w:tcPr>
          <w:p>
            <w:pPr>
              <w:spacing w:after="0"/>
              <w:rPr>
                <w:sz w:val="3"/>
                <w:szCs w:val="3"/>
                <w:color w:val="auto"/>
              </w:rPr>
            </w:pPr>
          </w:p>
        </w:tc>
        <w:tc>
          <w:tcPr>
            <w:tcW w:w="80" w:type="dxa"/>
            <w:vAlign w:val="bottom"/>
            <w:tcBorders>
              <w:top w:val="single" w:sz="8" w:color="0000EE"/>
              <w:bottom w:val="single" w:sz="8" w:color="F0FFFF"/>
            </w:tcBorders>
            <w:shd w:val="clear" w:color="auto" w:fill="F0FFFF"/>
          </w:tcPr>
          <w:p>
            <w:pPr>
              <w:spacing w:after="0"/>
              <w:rPr>
                <w:sz w:val="3"/>
                <w:szCs w:val="3"/>
                <w:color w:val="auto"/>
              </w:rPr>
            </w:pPr>
          </w:p>
        </w:tc>
        <w:tc>
          <w:tcPr>
            <w:tcW w:w="260" w:type="dxa"/>
            <w:vAlign w:val="bottom"/>
            <w:tcBorders>
              <w:top w:val="single" w:sz="8" w:color="0000EE"/>
              <w:bottom w:val="single" w:sz="8" w:color="F0FFFF"/>
            </w:tcBorders>
            <w:shd w:val="clear" w:color="auto" w:fill="F0FFFF"/>
          </w:tcPr>
          <w:p>
            <w:pPr>
              <w:spacing w:after="0"/>
              <w:rPr>
                <w:sz w:val="3"/>
                <w:szCs w:val="3"/>
                <w:color w:val="auto"/>
              </w:rPr>
            </w:pPr>
          </w:p>
        </w:tc>
        <w:tc>
          <w:tcPr>
            <w:tcW w:w="200" w:type="dxa"/>
            <w:vAlign w:val="bottom"/>
            <w:tcBorders>
              <w:top w:val="single" w:sz="8" w:color="0000EE"/>
              <w:bottom w:val="single" w:sz="8" w:color="F0FFFF"/>
            </w:tcBorders>
            <w:shd w:val="clear" w:color="auto" w:fill="F0FFFF"/>
          </w:tcPr>
          <w:p>
            <w:pPr>
              <w:spacing w:after="0"/>
              <w:rPr>
                <w:sz w:val="3"/>
                <w:szCs w:val="3"/>
                <w:color w:val="auto"/>
              </w:rPr>
            </w:pPr>
          </w:p>
        </w:tc>
        <w:tc>
          <w:tcPr>
            <w:tcW w:w="16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28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52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300" w:type="dxa"/>
            <w:vAlign w:val="bottom"/>
            <w:tcBorders>
              <w:top w:val="single" w:sz="8" w:color="F0FFFF"/>
              <w:bottom w:val="single" w:sz="8" w:color="F0FFFF"/>
            </w:tcBorders>
            <w:shd w:val="clear" w:color="auto" w:fill="F0FFFF"/>
          </w:tcPr>
          <w:p>
            <w:pPr>
              <w:spacing w:after="0"/>
              <w:rPr>
                <w:sz w:val="3"/>
                <w:szCs w:val="3"/>
                <w:color w:val="auto"/>
              </w:rPr>
            </w:pPr>
          </w:p>
        </w:tc>
        <w:tc>
          <w:tcPr>
            <w:tcW w:w="480" w:type="dxa"/>
            <w:vAlign w:val="bottom"/>
            <w:tcBorders>
              <w:top w:val="single" w:sz="8" w:color="F0FFFF"/>
              <w:bottom w:val="single" w:sz="8" w:color="F0FFFF"/>
            </w:tcBorders>
            <w:shd w:val="clear" w:color="auto" w:fill="F0FFFF"/>
          </w:tcPr>
          <w:p>
            <w:pPr>
              <w:spacing w:after="0"/>
              <w:rPr>
                <w:sz w:val="3"/>
                <w:szCs w:val="3"/>
                <w:color w:val="auto"/>
              </w:rPr>
            </w:pPr>
          </w:p>
        </w:tc>
        <w:tc>
          <w:tcPr>
            <w:tcW w:w="720" w:type="dxa"/>
            <w:vAlign w:val="bottom"/>
            <w:tcBorders>
              <w:top w:val="single" w:sz="8" w:color="F0FFFF"/>
              <w:bottom w:val="single" w:sz="8" w:color="F0FFFF"/>
            </w:tcBorders>
            <w:shd w:val="clear" w:color="auto" w:fill="F0FFFF"/>
          </w:tcPr>
          <w:p>
            <w:pPr>
              <w:spacing w:after="0"/>
              <w:rPr>
                <w:sz w:val="3"/>
                <w:szCs w:val="3"/>
                <w:color w:val="auto"/>
              </w:rPr>
            </w:pPr>
          </w:p>
        </w:tc>
        <w:tc>
          <w:tcPr>
            <w:tcW w:w="860" w:type="dxa"/>
            <w:vAlign w:val="bottom"/>
            <w:tcBorders>
              <w:top w:val="single" w:sz="8" w:color="F0FFFF"/>
              <w:bottom w:val="single" w:sz="8" w:color="F0FFFF"/>
            </w:tcBorders>
            <w:vMerge w:val="continue"/>
            <w:shd w:val="clear" w:color="auto" w:fill="F0FFFF"/>
          </w:tcPr>
          <w:p>
            <w:pPr>
              <w:spacing w:after="0"/>
              <w:rPr>
                <w:sz w:val="3"/>
                <w:szCs w:val="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180" w:type="dxa"/>
            <w:vAlign w:val="bottom"/>
            <w:gridSpan w:val="42"/>
          </w:tcPr>
          <w:p>
            <w:pPr>
              <w:spacing w:after="0" w:line="104" w:lineRule="exact"/>
              <w:rPr>
                <w:sz w:val="20"/>
                <w:szCs w:val="20"/>
                <w:color w:val="auto"/>
              </w:rPr>
            </w:pPr>
            <w:r>
              <w:rPr>
                <w:rFonts w:ascii="Times New Roman" w:cs="Times New Roman" w:eastAsia="Times New Roman" w:hAnsi="Times New Roman"/>
                <w:sz w:val="11"/>
                <w:szCs w:val="11"/>
                <w:color w:val="0000EE"/>
              </w:rPr>
              <w:t>Termination</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420" w:type="dxa"/>
            <w:vAlign w:val="bottom"/>
            <w:gridSpan w:val="43"/>
            <w:shd w:val="clear" w:color="auto" w:fill="F0FFFF"/>
          </w:tcPr>
          <w:p>
            <w:pPr>
              <w:spacing w:after="0" w:line="124" w:lineRule="exact"/>
              <w:rPr>
                <w:sz w:val="20"/>
                <w:szCs w:val="20"/>
                <w:color w:val="auto"/>
              </w:rPr>
            </w:pPr>
            <w:r>
              <w:rPr>
                <w:rFonts w:ascii="Times New Roman" w:cs="Times New Roman" w:eastAsia="Times New Roman" w:hAnsi="Times New Roman"/>
                <w:sz w:val="14"/>
                <w:szCs w:val="14"/>
                <w:color w:val="0000EE"/>
              </w:rPr>
              <w:t>ACCELERATION OF DEATH BENEFIT FOR TERMINAL ILLNESS</w:t>
            </w:r>
          </w:p>
        </w:tc>
        <w:tc>
          <w:tcPr>
            <w:tcW w:w="86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0" w:type="dxa"/>
            <w:vAlign w:val="bottom"/>
          </w:tcPr>
          <w:p>
            <w:pPr>
              <w:spacing w:after="0"/>
              <w:rPr>
                <w:sz w:val="1"/>
                <w:szCs w:val="1"/>
                <w:color w:val="auto"/>
              </w:rPr>
            </w:pPr>
          </w:p>
        </w:tc>
      </w:tr>
      <w:tr>
        <w:trPr>
          <w:trHeight w:val="42"/>
        </w:trPr>
        <w:tc>
          <w:tcPr>
            <w:tcW w:w="20" w:type="dxa"/>
            <w:vAlign w:val="bottom"/>
            <w:tcBorders>
              <w:top w:val="single" w:sz="8" w:color="0000EE"/>
            </w:tcBorders>
          </w:tcPr>
          <w:p>
            <w:pPr>
              <w:spacing w:after="0"/>
              <w:rPr>
                <w:sz w:val="3"/>
                <w:szCs w:val="3"/>
                <w:color w:val="auto"/>
              </w:rPr>
            </w:pPr>
          </w:p>
        </w:tc>
        <w:tc>
          <w:tcPr>
            <w:tcW w:w="240" w:type="dxa"/>
            <w:vAlign w:val="bottom"/>
            <w:tcBorders>
              <w:top w:val="single" w:sz="8" w:color="0000EE"/>
              <w:bottom w:val="single" w:sz="8" w:color="F0FFFF"/>
            </w:tcBorders>
            <w:shd w:val="clear" w:color="auto" w:fill="F0FFFF"/>
          </w:tcPr>
          <w:p>
            <w:pPr>
              <w:spacing w:after="0"/>
              <w:rPr>
                <w:sz w:val="3"/>
                <w:szCs w:val="3"/>
                <w:color w:val="auto"/>
              </w:rPr>
            </w:pPr>
          </w:p>
        </w:tc>
        <w:tc>
          <w:tcPr>
            <w:tcW w:w="200" w:type="dxa"/>
            <w:vAlign w:val="bottom"/>
            <w:tcBorders>
              <w:top w:val="single" w:sz="8" w:color="0000EE"/>
              <w:bottom w:val="single" w:sz="8" w:color="F0FFFF"/>
            </w:tcBorders>
            <w:shd w:val="clear" w:color="auto" w:fill="F0FFFF"/>
          </w:tcPr>
          <w:p>
            <w:pPr>
              <w:spacing w:after="0"/>
              <w:rPr>
                <w:sz w:val="3"/>
                <w:szCs w:val="3"/>
                <w:color w:val="auto"/>
              </w:rPr>
            </w:pPr>
          </w:p>
        </w:tc>
        <w:tc>
          <w:tcPr>
            <w:tcW w:w="80" w:type="dxa"/>
            <w:vAlign w:val="bottom"/>
            <w:tcBorders>
              <w:top w:val="single" w:sz="8" w:color="0000EE"/>
              <w:bottom w:val="single" w:sz="8" w:color="F0FFFF"/>
            </w:tcBorders>
            <w:shd w:val="clear" w:color="auto" w:fill="F0FFFF"/>
          </w:tcPr>
          <w:p>
            <w:pPr>
              <w:spacing w:after="0"/>
              <w:rPr>
                <w:sz w:val="3"/>
                <w:szCs w:val="3"/>
                <w:color w:val="auto"/>
              </w:rPr>
            </w:pPr>
          </w:p>
        </w:tc>
        <w:tc>
          <w:tcPr>
            <w:tcW w:w="100" w:type="dxa"/>
            <w:vAlign w:val="bottom"/>
            <w:tcBorders>
              <w:top w:val="single" w:sz="8" w:color="0000EE"/>
              <w:bottom w:val="single" w:sz="8" w:color="F0FFFF"/>
            </w:tcBorders>
            <w:shd w:val="clear" w:color="auto" w:fill="F0FFFF"/>
          </w:tcPr>
          <w:p>
            <w:pPr>
              <w:spacing w:after="0"/>
              <w:rPr>
                <w:sz w:val="3"/>
                <w:szCs w:val="3"/>
                <w:color w:val="auto"/>
              </w:rPr>
            </w:pPr>
          </w:p>
        </w:tc>
        <w:tc>
          <w:tcPr>
            <w:tcW w:w="4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60" w:type="dxa"/>
            <w:vAlign w:val="bottom"/>
            <w:tcBorders>
              <w:top w:val="single" w:sz="8" w:color="0000EE"/>
              <w:bottom w:val="single" w:sz="8" w:color="F0FFFF"/>
            </w:tcBorders>
            <w:shd w:val="clear" w:color="auto" w:fill="F0FFFF"/>
          </w:tcPr>
          <w:p>
            <w:pPr>
              <w:spacing w:after="0"/>
              <w:rPr>
                <w:sz w:val="3"/>
                <w:szCs w:val="3"/>
                <w:color w:val="auto"/>
              </w:rPr>
            </w:pPr>
          </w:p>
        </w:tc>
        <w:tc>
          <w:tcPr>
            <w:tcW w:w="60" w:type="dxa"/>
            <w:vAlign w:val="bottom"/>
            <w:tcBorders>
              <w:top w:val="single" w:sz="8" w:color="0000EE"/>
              <w:bottom w:val="single" w:sz="8" w:color="F0FFFF"/>
            </w:tcBorders>
            <w:shd w:val="clear" w:color="auto" w:fill="F0FFFF"/>
          </w:tcPr>
          <w:p>
            <w:pPr>
              <w:spacing w:after="0"/>
              <w:rPr>
                <w:sz w:val="3"/>
                <w:szCs w:val="3"/>
                <w:color w:val="auto"/>
              </w:rPr>
            </w:pPr>
          </w:p>
        </w:tc>
        <w:tc>
          <w:tcPr>
            <w:tcW w:w="40" w:type="dxa"/>
            <w:vAlign w:val="bottom"/>
            <w:tcBorders>
              <w:top w:val="single" w:sz="8" w:color="0000EE"/>
              <w:bottom w:val="single" w:sz="8" w:color="F0FFFF"/>
            </w:tcBorders>
            <w:shd w:val="clear" w:color="auto" w:fill="F0FFFF"/>
          </w:tcPr>
          <w:p>
            <w:pPr>
              <w:spacing w:after="0"/>
              <w:rPr>
                <w:sz w:val="3"/>
                <w:szCs w:val="3"/>
                <w:color w:val="auto"/>
              </w:rPr>
            </w:pPr>
          </w:p>
        </w:tc>
        <w:tc>
          <w:tcPr>
            <w:tcW w:w="6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6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60" w:type="dxa"/>
            <w:vAlign w:val="bottom"/>
            <w:tcBorders>
              <w:top w:val="single" w:sz="8" w:color="0000EE"/>
              <w:bottom w:val="single" w:sz="8" w:color="F0FFFF"/>
            </w:tcBorders>
            <w:shd w:val="clear" w:color="auto" w:fill="F0FFFF"/>
          </w:tcPr>
          <w:p>
            <w:pPr>
              <w:spacing w:after="0"/>
              <w:rPr>
                <w:sz w:val="3"/>
                <w:szCs w:val="3"/>
                <w:color w:val="auto"/>
              </w:rPr>
            </w:pPr>
          </w:p>
        </w:tc>
        <w:tc>
          <w:tcPr>
            <w:tcW w:w="80" w:type="dxa"/>
            <w:vAlign w:val="bottom"/>
            <w:tcBorders>
              <w:top w:val="single" w:sz="8" w:color="0000EE"/>
              <w:bottom w:val="single" w:sz="8" w:color="F0FFFF"/>
            </w:tcBorders>
            <w:shd w:val="clear" w:color="auto" w:fill="F0FFFF"/>
          </w:tcPr>
          <w:p>
            <w:pPr>
              <w:spacing w:after="0"/>
              <w:rPr>
                <w:sz w:val="3"/>
                <w:szCs w:val="3"/>
                <w:color w:val="auto"/>
              </w:rPr>
            </w:pPr>
          </w:p>
        </w:tc>
        <w:tc>
          <w:tcPr>
            <w:tcW w:w="80" w:type="dxa"/>
            <w:vAlign w:val="bottom"/>
            <w:tcBorders>
              <w:top w:val="single" w:sz="8" w:color="0000EE"/>
              <w:bottom w:val="single" w:sz="8" w:color="F0FFFF"/>
            </w:tcBorders>
            <w:shd w:val="clear" w:color="auto" w:fill="F0FFFF"/>
          </w:tcPr>
          <w:p>
            <w:pPr>
              <w:spacing w:after="0"/>
              <w:rPr>
                <w:sz w:val="3"/>
                <w:szCs w:val="3"/>
                <w:color w:val="auto"/>
              </w:rPr>
            </w:pPr>
          </w:p>
        </w:tc>
        <w:tc>
          <w:tcPr>
            <w:tcW w:w="60" w:type="dxa"/>
            <w:vAlign w:val="bottom"/>
            <w:tcBorders>
              <w:top w:val="single" w:sz="8" w:color="0000EE"/>
              <w:bottom w:val="single" w:sz="8" w:color="F0FFFF"/>
            </w:tcBorders>
            <w:shd w:val="clear" w:color="auto" w:fill="F0FFFF"/>
          </w:tcPr>
          <w:p>
            <w:pPr>
              <w:spacing w:after="0"/>
              <w:rPr>
                <w:sz w:val="3"/>
                <w:szCs w:val="3"/>
                <w:color w:val="auto"/>
              </w:rPr>
            </w:pPr>
          </w:p>
        </w:tc>
        <w:tc>
          <w:tcPr>
            <w:tcW w:w="4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8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60" w:type="dxa"/>
            <w:vAlign w:val="bottom"/>
            <w:tcBorders>
              <w:top w:val="single" w:sz="8" w:color="0000EE"/>
              <w:bottom w:val="single" w:sz="8" w:color="F0FFFF"/>
            </w:tcBorders>
            <w:shd w:val="clear" w:color="auto" w:fill="F0FFFF"/>
          </w:tcPr>
          <w:p>
            <w:pPr>
              <w:spacing w:after="0"/>
              <w:rPr>
                <w:sz w:val="3"/>
                <w:szCs w:val="3"/>
                <w:color w:val="auto"/>
              </w:rPr>
            </w:pPr>
          </w:p>
        </w:tc>
        <w:tc>
          <w:tcPr>
            <w:tcW w:w="40" w:type="dxa"/>
            <w:vAlign w:val="bottom"/>
            <w:tcBorders>
              <w:top w:val="single" w:sz="8" w:color="0000EE"/>
              <w:bottom w:val="single" w:sz="8" w:color="F0FFFF"/>
            </w:tcBorders>
            <w:shd w:val="clear" w:color="auto" w:fill="F0FFFF"/>
          </w:tcPr>
          <w:p>
            <w:pPr>
              <w:spacing w:after="0"/>
              <w:rPr>
                <w:sz w:val="3"/>
                <w:szCs w:val="3"/>
                <w:color w:val="auto"/>
              </w:rPr>
            </w:pPr>
          </w:p>
        </w:tc>
        <w:tc>
          <w:tcPr>
            <w:tcW w:w="1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80" w:type="dxa"/>
            <w:vAlign w:val="bottom"/>
            <w:tcBorders>
              <w:top w:val="single" w:sz="8" w:color="0000EE"/>
              <w:bottom w:val="single" w:sz="8" w:color="F0FFFF"/>
            </w:tcBorders>
            <w:shd w:val="clear" w:color="auto" w:fill="F0FFFF"/>
          </w:tcPr>
          <w:p>
            <w:pPr>
              <w:spacing w:after="0"/>
              <w:rPr>
                <w:sz w:val="3"/>
                <w:szCs w:val="3"/>
                <w:color w:val="auto"/>
              </w:rPr>
            </w:pPr>
          </w:p>
        </w:tc>
        <w:tc>
          <w:tcPr>
            <w:tcW w:w="300" w:type="dxa"/>
            <w:vAlign w:val="bottom"/>
            <w:tcBorders>
              <w:top w:val="single" w:sz="8" w:color="0000EE"/>
              <w:bottom w:val="single" w:sz="8" w:color="F0FFFF"/>
            </w:tcBorders>
            <w:shd w:val="clear" w:color="auto" w:fill="F0FFFF"/>
          </w:tcPr>
          <w:p>
            <w:pPr>
              <w:spacing w:after="0"/>
              <w:rPr>
                <w:sz w:val="3"/>
                <w:szCs w:val="3"/>
                <w:color w:val="auto"/>
              </w:rPr>
            </w:pPr>
          </w:p>
        </w:tc>
        <w:tc>
          <w:tcPr>
            <w:tcW w:w="200" w:type="dxa"/>
            <w:vAlign w:val="bottom"/>
            <w:tcBorders>
              <w:top w:val="single" w:sz="8" w:color="0000EE"/>
              <w:bottom w:val="single" w:sz="8" w:color="F0FFFF"/>
            </w:tcBorders>
            <w:shd w:val="clear" w:color="auto" w:fill="F0FFFF"/>
          </w:tcPr>
          <w:p>
            <w:pPr>
              <w:spacing w:after="0"/>
              <w:rPr>
                <w:sz w:val="3"/>
                <w:szCs w:val="3"/>
                <w:color w:val="auto"/>
              </w:rPr>
            </w:pPr>
          </w:p>
        </w:tc>
        <w:tc>
          <w:tcPr>
            <w:tcW w:w="60" w:type="dxa"/>
            <w:vAlign w:val="bottom"/>
            <w:tcBorders>
              <w:top w:val="single" w:sz="8" w:color="0000EE"/>
              <w:bottom w:val="single" w:sz="8" w:color="F0FFFF"/>
            </w:tcBorders>
            <w:shd w:val="clear" w:color="auto" w:fill="F0FFFF"/>
          </w:tcPr>
          <w:p>
            <w:pPr>
              <w:spacing w:after="0"/>
              <w:rPr>
                <w:sz w:val="3"/>
                <w:szCs w:val="3"/>
                <w:color w:val="auto"/>
              </w:rPr>
            </w:pPr>
          </w:p>
        </w:tc>
        <w:tc>
          <w:tcPr>
            <w:tcW w:w="80" w:type="dxa"/>
            <w:vAlign w:val="bottom"/>
            <w:tcBorders>
              <w:top w:val="single" w:sz="8" w:color="0000EE"/>
              <w:bottom w:val="single" w:sz="8" w:color="F0FFFF"/>
            </w:tcBorders>
            <w:shd w:val="clear" w:color="auto" w:fill="F0FFFF"/>
          </w:tcPr>
          <w:p>
            <w:pPr>
              <w:spacing w:after="0"/>
              <w:rPr>
                <w:sz w:val="3"/>
                <w:szCs w:val="3"/>
                <w:color w:val="auto"/>
              </w:rPr>
            </w:pPr>
          </w:p>
        </w:tc>
        <w:tc>
          <w:tcPr>
            <w:tcW w:w="260" w:type="dxa"/>
            <w:vAlign w:val="bottom"/>
            <w:tcBorders>
              <w:top w:val="single" w:sz="8" w:color="0000EE"/>
              <w:bottom w:val="single" w:sz="8" w:color="F0FFFF"/>
            </w:tcBorders>
            <w:shd w:val="clear" w:color="auto" w:fill="F0FFFF"/>
          </w:tcPr>
          <w:p>
            <w:pPr>
              <w:spacing w:after="0"/>
              <w:rPr>
                <w:sz w:val="3"/>
                <w:szCs w:val="3"/>
                <w:color w:val="auto"/>
              </w:rPr>
            </w:pPr>
          </w:p>
        </w:tc>
        <w:tc>
          <w:tcPr>
            <w:tcW w:w="200" w:type="dxa"/>
            <w:vAlign w:val="bottom"/>
            <w:tcBorders>
              <w:top w:val="single" w:sz="8" w:color="0000EE"/>
              <w:bottom w:val="single" w:sz="8" w:color="F0FFFF"/>
            </w:tcBorders>
            <w:shd w:val="clear" w:color="auto" w:fill="F0FFFF"/>
          </w:tcPr>
          <w:p>
            <w:pPr>
              <w:spacing w:after="0"/>
              <w:rPr>
                <w:sz w:val="3"/>
                <w:szCs w:val="3"/>
                <w:color w:val="auto"/>
              </w:rPr>
            </w:pPr>
          </w:p>
        </w:tc>
        <w:tc>
          <w:tcPr>
            <w:tcW w:w="16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28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5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300" w:type="dxa"/>
            <w:vAlign w:val="bottom"/>
            <w:tcBorders>
              <w:top w:val="single" w:sz="8" w:color="F0FFFF"/>
              <w:bottom w:val="single" w:sz="8" w:color="F0FFFF"/>
            </w:tcBorders>
            <w:shd w:val="clear" w:color="auto" w:fill="F0FFFF"/>
          </w:tcPr>
          <w:p>
            <w:pPr>
              <w:spacing w:after="0"/>
              <w:rPr>
                <w:sz w:val="3"/>
                <w:szCs w:val="3"/>
                <w:color w:val="auto"/>
              </w:rPr>
            </w:pPr>
          </w:p>
        </w:tc>
        <w:tc>
          <w:tcPr>
            <w:tcW w:w="480" w:type="dxa"/>
            <w:vAlign w:val="bottom"/>
            <w:tcBorders>
              <w:top w:val="single" w:sz="8" w:color="F0FFFF"/>
              <w:bottom w:val="single" w:sz="8" w:color="F0FFFF"/>
            </w:tcBorders>
            <w:shd w:val="clear" w:color="auto" w:fill="F0FFFF"/>
          </w:tcPr>
          <w:p>
            <w:pPr>
              <w:spacing w:after="0"/>
              <w:rPr>
                <w:sz w:val="3"/>
                <w:szCs w:val="3"/>
                <w:color w:val="auto"/>
              </w:rPr>
            </w:pPr>
          </w:p>
        </w:tc>
        <w:tc>
          <w:tcPr>
            <w:tcW w:w="720" w:type="dxa"/>
            <w:vAlign w:val="bottom"/>
            <w:tcBorders>
              <w:top w:val="single" w:sz="8" w:color="F0FFFF"/>
              <w:bottom w:val="single" w:sz="8" w:color="F0FFFF"/>
            </w:tcBorders>
            <w:shd w:val="clear" w:color="auto" w:fill="F0FFFF"/>
          </w:tcPr>
          <w:p>
            <w:pPr>
              <w:spacing w:after="0"/>
              <w:rPr>
                <w:sz w:val="3"/>
                <w:szCs w:val="3"/>
                <w:color w:val="auto"/>
              </w:rPr>
            </w:pPr>
          </w:p>
        </w:tc>
        <w:tc>
          <w:tcPr>
            <w:tcW w:w="860" w:type="dxa"/>
            <w:vAlign w:val="bottom"/>
            <w:tcBorders>
              <w:top w:val="single" w:sz="8" w:color="F0FFFF"/>
              <w:bottom w:val="single" w:sz="8" w:color="F0FFFF"/>
            </w:tcBorders>
            <w:vMerge w:val="continue"/>
            <w:shd w:val="clear" w:color="auto" w:fill="F0FFFF"/>
          </w:tcPr>
          <w:p>
            <w:pPr>
              <w:spacing w:after="0"/>
              <w:rPr>
                <w:sz w:val="3"/>
                <w:szCs w:val="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5420" w:type="dxa"/>
            <w:vAlign w:val="bottom"/>
            <w:gridSpan w:val="43"/>
          </w:tcPr>
          <w:p>
            <w:pPr>
              <w:spacing w:after="0" w:line="104" w:lineRule="exact"/>
              <w:rPr>
                <w:sz w:val="20"/>
                <w:szCs w:val="20"/>
                <w:color w:val="auto"/>
              </w:rPr>
            </w:pPr>
            <w:r>
              <w:rPr>
                <w:rFonts w:ascii="Times New Roman" w:cs="Times New Roman" w:eastAsia="Times New Roman" w:hAnsi="Times New Roman"/>
                <w:sz w:val="11"/>
                <w:szCs w:val="11"/>
                <w:color w:val="0000EE"/>
              </w:rPr>
              <w:t>GRACE PERIOD AND REINSTATEMENT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0" w:type="dxa"/>
            <w:vAlign w:val="bottom"/>
          </w:tcPr>
          <w:p>
            <w:pPr>
              <w:spacing w:after="0"/>
              <w:rPr>
                <w:sz w:val="1"/>
                <w:szCs w:val="1"/>
                <w:color w:val="auto"/>
              </w:rPr>
            </w:pPr>
          </w:p>
        </w:tc>
      </w:tr>
      <w:tr>
        <w:trPr>
          <w:trHeight w:val="42"/>
        </w:trPr>
        <w:tc>
          <w:tcPr>
            <w:tcW w:w="20" w:type="dxa"/>
            <w:vAlign w:val="bottom"/>
            <w:tcBorders>
              <w:top w:val="single" w:sz="8" w:color="0000EE"/>
            </w:tcBorders>
          </w:tcPr>
          <w:p>
            <w:pPr>
              <w:spacing w:after="0"/>
              <w:rPr>
                <w:sz w:val="3"/>
                <w:szCs w:val="3"/>
                <w:color w:val="auto"/>
              </w:rPr>
            </w:pPr>
          </w:p>
        </w:tc>
        <w:tc>
          <w:tcPr>
            <w:tcW w:w="240" w:type="dxa"/>
            <w:vAlign w:val="bottom"/>
            <w:tcBorders>
              <w:top w:val="single" w:sz="8" w:color="0000EE"/>
            </w:tcBorders>
          </w:tcPr>
          <w:p>
            <w:pPr>
              <w:spacing w:after="0"/>
              <w:rPr>
                <w:sz w:val="3"/>
                <w:szCs w:val="3"/>
                <w:color w:val="auto"/>
              </w:rPr>
            </w:pPr>
          </w:p>
        </w:tc>
        <w:tc>
          <w:tcPr>
            <w:tcW w:w="20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300" w:type="dxa"/>
            <w:vAlign w:val="bottom"/>
            <w:tcBorders>
              <w:top w:val="single" w:sz="8" w:color="0000EE"/>
            </w:tcBorders>
          </w:tcPr>
          <w:p>
            <w:pPr>
              <w:spacing w:after="0"/>
              <w:rPr>
                <w:sz w:val="3"/>
                <w:szCs w:val="3"/>
                <w:color w:val="auto"/>
              </w:rPr>
            </w:pPr>
          </w:p>
        </w:tc>
        <w:tc>
          <w:tcPr>
            <w:tcW w:w="20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40" w:type="dxa"/>
            <w:vAlign w:val="bottom"/>
            <w:shd w:val="clear" w:color="auto" w:fill="F0FFFF"/>
          </w:tcPr>
          <w:p>
            <w:pPr>
              <w:spacing w:after="0"/>
              <w:rPr>
                <w:sz w:val="10"/>
                <w:szCs w:val="10"/>
                <w:color w:val="auto"/>
              </w:rPr>
            </w:pPr>
          </w:p>
        </w:tc>
        <w:tc>
          <w:tcPr>
            <w:tcW w:w="5180" w:type="dxa"/>
            <w:vAlign w:val="bottom"/>
            <w:gridSpan w:val="42"/>
            <w:shd w:val="clear" w:color="auto" w:fill="F0FFFF"/>
          </w:tcPr>
          <w:p>
            <w:pPr>
              <w:spacing w:after="0" w:line="124" w:lineRule="exact"/>
              <w:rPr>
                <w:sz w:val="20"/>
                <w:szCs w:val="20"/>
                <w:color w:val="auto"/>
              </w:rPr>
            </w:pPr>
            <w:r>
              <w:rPr>
                <w:rFonts w:ascii="Times New Roman" w:cs="Times New Roman" w:eastAsia="Times New Roman" w:hAnsi="Times New Roman"/>
                <w:sz w:val="14"/>
                <w:szCs w:val="14"/>
                <w:color w:val="0000EE"/>
              </w:rPr>
              <w:t>Grace Period</w:t>
            </w:r>
          </w:p>
        </w:tc>
        <w:tc>
          <w:tcPr>
            <w:tcW w:w="86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40" w:type="dxa"/>
            <w:vAlign w:val="bottom"/>
            <w:tcBorders>
              <w:top w:val="single" w:sz="8" w:color="F0FFFF"/>
              <w:bottom w:val="single" w:sz="8" w:color="F0FFFF"/>
            </w:tcBorders>
            <w:shd w:val="clear" w:color="auto" w:fill="F0FFFF"/>
          </w:tcPr>
          <w:p>
            <w:pPr>
              <w:spacing w:after="0"/>
              <w:rPr>
                <w:sz w:val="3"/>
                <w:szCs w:val="3"/>
                <w:color w:val="auto"/>
              </w:rPr>
            </w:pPr>
          </w:p>
        </w:tc>
        <w:tc>
          <w:tcPr>
            <w:tcW w:w="200" w:type="dxa"/>
            <w:vAlign w:val="bottom"/>
            <w:tcBorders>
              <w:top w:val="single" w:sz="8" w:color="0000EE"/>
              <w:bottom w:val="single" w:sz="8" w:color="F0FFFF"/>
            </w:tcBorders>
            <w:shd w:val="clear" w:color="auto" w:fill="F0FFFF"/>
          </w:tcPr>
          <w:p>
            <w:pPr>
              <w:spacing w:after="0"/>
              <w:rPr>
                <w:sz w:val="3"/>
                <w:szCs w:val="3"/>
                <w:color w:val="auto"/>
              </w:rPr>
            </w:pPr>
          </w:p>
        </w:tc>
        <w:tc>
          <w:tcPr>
            <w:tcW w:w="80" w:type="dxa"/>
            <w:vAlign w:val="bottom"/>
            <w:tcBorders>
              <w:top w:val="single" w:sz="8" w:color="0000EE"/>
              <w:bottom w:val="single" w:sz="8" w:color="F0FFFF"/>
            </w:tcBorders>
            <w:shd w:val="clear" w:color="auto" w:fill="F0FFFF"/>
          </w:tcPr>
          <w:p>
            <w:pPr>
              <w:spacing w:after="0"/>
              <w:rPr>
                <w:sz w:val="3"/>
                <w:szCs w:val="3"/>
                <w:color w:val="auto"/>
              </w:rPr>
            </w:pPr>
          </w:p>
        </w:tc>
        <w:tc>
          <w:tcPr>
            <w:tcW w:w="100" w:type="dxa"/>
            <w:vAlign w:val="bottom"/>
            <w:tcBorders>
              <w:top w:val="single" w:sz="8" w:color="0000EE"/>
              <w:bottom w:val="single" w:sz="8" w:color="F0FFFF"/>
            </w:tcBorders>
            <w:shd w:val="clear" w:color="auto" w:fill="F0FFFF"/>
          </w:tcPr>
          <w:p>
            <w:pPr>
              <w:spacing w:after="0"/>
              <w:rPr>
                <w:sz w:val="3"/>
                <w:szCs w:val="3"/>
                <w:color w:val="auto"/>
              </w:rPr>
            </w:pPr>
          </w:p>
        </w:tc>
        <w:tc>
          <w:tcPr>
            <w:tcW w:w="4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60" w:type="dxa"/>
            <w:vAlign w:val="bottom"/>
            <w:tcBorders>
              <w:top w:val="single" w:sz="8" w:color="0000EE"/>
              <w:bottom w:val="single" w:sz="8" w:color="F0FFFF"/>
            </w:tcBorders>
            <w:shd w:val="clear" w:color="auto" w:fill="F0FFFF"/>
          </w:tcPr>
          <w:p>
            <w:pPr>
              <w:spacing w:after="0"/>
              <w:rPr>
                <w:sz w:val="3"/>
                <w:szCs w:val="3"/>
                <w:color w:val="auto"/>
              </w:rPr>
            </w:pPr>
          </w:p>
        </w:tc>
        <w:tc>
          <w:tcPr>
            <w:tcW w:w="60" w:type="dxa"/>
            <w:vAlign w:val="bottom"/>
            <w:tcBorders>
              <w:top w:val="single" w:sz="8" w:color="0000EE"/>
              <w:bottom w:val="single" w:sz="8" w:color="F0FFFF"/>
            </w:tcBorders>
            <w:shd w:val="clear" w:color="auto" w:fill="F0FFFF"/>
          </w:tcPr>
          <w:p>
            <w:pPr>
              <w:spacing w:after="0"/>
              <w:rPr>
                <w:sz w:val="3"/>
                <w:szCs w:val="3"/>
                <w:color w:val="auto"/>
              </w:rPr>
            </w:pPr>
          </w:p>
        </w:tc>
        <w:tc>
          <w:tcPr>
            <w:tcW w:w="40" w:type="dxa"/>
            <w:vAlign w:val="bottom"/>
            <w:tcBorders>
              <w:top w:val="single" w:sz="8" w:color="0000EE"/>
              <w:bottom w:val="single" w:sz="8" w:color="F0FFFF"/>
            </w:tcBorders>
            <w:shd w:val="clear" w:color="auto" w:fill="F0FFFF"/>
          </w:tcPr>
          <w:p>
            <w:pPr>
              <w:spacing w:after="0"/>
              <w:rPr>
                <w:sz w:val="3"/>
                <w:szCs w:val="3"/>
                <w:color w:val="auto"/>
              </w:rPr>
            </w:pPr>
          </w:p>
        </w:tc>
        <w:tc>
          <w:tcPr>
            <w:tcW w:w="6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6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60" w:type="dxa"/>
            <w:vAlign w:val="bottom"/>
            <w:tcBorders>
              <w:top w:val="single" w:sz="8" w:color="F0FFFF"/>
              <w:bottom w:val="single" w:sz="8" w:color="F0FFFF"/>
            </w:tcBorders>
            <w:shd w:val="clear" w:color="auto" w:fill="F0FFFF"/>
          </w:tcPr>
          <w:p>
            <w:pPr>
              <w:spacing w:after="0"/>
              <w:rPr>
                <w:sz w:val="3"/>
                <w:szCs w:val="3"/>
                <w:color w:val="auto"/>
              </w:rPr>
            </w:pPr>
          </w:p>
        </w:tc>
        <w:tc>
          <w:tcPr>
            <w:tcW w:w="80" w:type="dxa"/>
            <w:vAlign w:val="bottom"/>
            <w:tcBorders>
              <w:top w:val="single" w:sz="8" w:color="F0FFFF"/>
              <w:bottom w:val="single" w:sz="8" w:color="F0FFFF"/>
            </w:tcBorders>
            <w:shd w:val="clear" w:color="auto" w:fill="F0FFFF"/>
          </w:tcPr>
          <w:p>
            <w:pPr>
              <w:spacing w:after="0"/>
              <w:rPr>
                <w:sz w:val="3"/>
                <w:szCs w:val="3"/>
                <w:color w:val="auto"/>
              </w:rPr>
            </w:pPr>
          </w:p>
        </w:tc>
        <w:tc>
          <w:tcPr>
            <w:tcW w:w="80" w:type="dxa"/>
            <w:vAlign w:val="bottom"/>
            <w:tcBorders>
              <w:top w:val="single" w:sz="8" w:color="F0FFFF"/>
              <w:bottom w:val="single" w:sz="8" w:color="F0FFFF"/>
            </w:tcBorders>
            <w:shd w:val="clear" w:color="auto" w:fill="F0FFFF"/>
          </w:tcPr>
          <w:p>
            <w:pPr>
              <w:spacing w:after="0"/>
              <w:rPr>
                <w:sz w:val="3"/>
                <w:szCs w:val="3"/>
                <w:color w:val="auto"/>
              </w:rPr>
            </w:pPr>
          </w:p>
        </w:tc>
        <w:tc>
          <w:tcPr>
            <w:tcW w:w="60" w:type="dxa"/>
            <w:vAlign w:val="bottom"/>
            <w:tcBorders>
              <w:top w:val="single" w:sz="8" w:color="F0FFFF"/>
              <w:bottom w:val="single" w:sz="8" w:color="F0FFFF"/>
            </w:tcBorders>
            <w:shd w:val="clear" w:color="auto" w:fill="F0FFFF"/>
          </w:tcPr>
          <w:p>
            <w:pPr>
              <w:spacing w:after="0"/>
              <w:rPr>
                <w:sz w:val="3"/>
                <w:szCs w:val="3"/>
                <w:color w:val="auto"/>
              </w:rPr>
            </w:pPr>
          </w:p>
        </w:tc>
        <w:tc>
          <w:tcPr>
            <w:tcW w:w="4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8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60" w:type="dxa"/>
            <w:vAlign w:val="bottom"/>
            <w:tcBorders>
              <w:top w:val="single" w:sz="8" w:color="F0FFFF"/>
              <w:bottom w:val="single" w:sz="8" w:color="F0FFFF"/>
            </w:tcBorders>
            <w:shd w:val="clear" w:color="auto" w:fill="F0FFFF"/>
          </w:tcPr>
          <w:p>
            <w:pPr>
              <w:spacing w:after="0"/>
              <w:rPr>
                <w:sz w:val="3"/>
                <w:szCs w:val="3"/>
                <w:color w:val="auto"/>
              </w:rPr>
            </w:pPr>
          </w:p>
        </w:tc>
        <w:tc>
          <w:tcPr>
            <w:tcW w:w="40" w:type="dxa"/>
            <w:vAlign w:val="bottom"/>
            <w:tcBorders>
              <w:top w:val="single" w:sz="8" w:color="F0FFFF"/>
              <w:bottom w:val="single" w:sz="8" w:color="F0FFFF"/>
            </w:tcBorders>
            <w:shd w:val="clear" w:color="auto" w:fill="F0FFFF"/>
          </w:tcPr>
          <w:p>
            <w:pPr>
              <w:spacing w:after="0"/>
              <w:rPr>
                <w:sz w:val="3"/>
                <w:szCs w:val="3"/>
                <w:color w:val="auto"/>
              </w:rPr>
            </w:pPr>
          </w:p>
        </w:tc>
        <w:tc>
          <w:tcPr>
            <w:tcW w:w="12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80" w:type="dxa"/>
            <w:vAlign w:val="bottom"/>
            <w:tcBorders>
              <w:top w:val="single" w:sz="8" w:color="F0FFFF"/>
              <w:bottom w:val="single" w:sz="8" w:color="F0FFFF"/>
            </w:tcBorders>
            <w:shd w:val="clear" w:color="auto" w:fill="F0FFFF"/>
          </w:tcPr>
          <w:p>
            <w:pPr>
              <w:spacing w:after="0"/>
              <w:rPr>
                <w:sz w:val="3"/>
                <w:szCs w:val="3"/>
                <w:color w:val="auto"/>
              </w:rPr>
            </w:pPr>
          </w:p>
        </w:tc>
        <w:tc>
          <w:tcPr>
            <w:tcW w:w="300" w:type="dxa"/>
            <w:vAlign w:val="bottom"/>
            <w:tcBorders>
              <w:top w:val="single" w:sz="8" w:color="F0FFFF"/>
              <w:bottom w:val="single" w:sz="8" w:color="F0FFFF"/>
            </w:tcBorders>
            <w:shd w:val="clear" w:color="auto" w:fill="F0FFFF"/>
          </w:tcPr>
          <w:p>
            <w:pPr>
              <w:spacing w:after="0"/>
              <w:rPr>
                <w:sz w:val="3"/>
                <w:szCs w:val="3"/>
                <w:color w:val="auto"/>
              </w:rPr>
            </w:pPr>
          </w:p>
        </w:tc>
        <w:tc>
          <w:tcPr>
            <w:tcW w:w="200" w:type="dxa"/>
            <w:vAlign w:val="bottom"/>
            <w:tcBorders>
              <w:top w:val="single" w:sz="8" w:color="F0FFFF"/>
              <w:bottom w:val="single" w:sz="8" w:color="F0FFFF"/>
            </w:tcBorders>
            <w:shd w:val="clear" w:color="auto" w:fill="F0FFFF"/>
          </w:tcPr>
          <w:p>
            <w:pPr>
              <w:spacing w:after="0"/>
              <w:rPr>
                <w:sz w:val="3"/>
                <w:szCs w:val="3"/>
                <w:color w:val="auto"/>
              </w:rPr>
            </w:pPr>
          </w:p>
        </w:tc>
        <w:tc>
          <w:tcPr>
            <w:tcW w:w="60" w:type="dxa"/>
            <w:vAlign w:val="bottom"/>
            <w:tcBorders>
              <w:top w:val="single" w:sz="8" w:color="F0FFFF"/>
              <w:bottom w:val="single" w:sz="8" w:color="F0FFFF"/>
            </w:tcBorders>
            <w:shd w:val="clear" w:color="auto" w:fill="F0FFFF"/>
          </w:tcPr>
          <w:p>
            <w:pPr>
              <w:spacing w:after="0"/>
              <w:rPr>
                <w:sz w:val="3"/>
                <w:szCs w:val="3"/>
                <w:color w:val="auto"/>
              </w:rPr>
            </w:pPr>
          </w:p>
        </w:tc>
        <w:tc>
          <w:tcPr>
            <w:tcW w:w="80" w:type="dxa"/>
            <w:vAlign w:val="bottom"/>
            <w:tcBorders>
              <w:top w:val="single" w:sz="8" w:color="F0FFFF"/>
              <w:bottom w:val="single" w:sz="8" w:color="F0FFFF"/>
            </w:tcBorders>
            <w:shd w:val="clear" w:color="auto" w:fill="F0FFFF"/>
          </w:tcPr>
          <w:p>
            <w:pPr>
              <w:spacing w:after="0"/>
              <w:rPr>
                <w:sz w:val="3"/>
                <w:szCs w:val="3"/>
                <w:color w:val="auto"/>
              </w:rPr>
            </w:pPr>
          </w:p>
        </w:tc>
        <w:tc>
          <w:tcPr>
            <w:tcW w:w="260" w:type="dxa"/>
            <w:vAlign w:val="bottom"/>
            <w:tcBorders>
              <w:top w:val="single" w:sz="8" w:color="F0FFFF"/>
              <w:bottom w:val="single" w:sz="8" w:color="F0FFFF"/>
            </w:tcBorders>
            <w:shd w:val="clear" w:color="auto" w:fill="F0FFFF"/>
          </w:tcPr>
          <w:p>
            <w:pPr>
              <w:spacing w:after="0"/>
              <w:rPr>
                <w:sz w:val="3"/>
                <w:szCs w:val="3"/>
                <w:color w:val="auto"/>
              </w:rPr>
            </w:pPr>
          </w:p>
        </w:tc>
        <w:tc>
          <w:tcPr>
            <w:tcW w:w="200" w:type="dxa"/>
            <w:vAlign w:val="bottom"/>
            <w:tcBorders>
              <w:top w:val="single" w:sz="8" w:color="F0FFFF"/>
              <w:bottom w:val="single" w:sz="8" w:color="F0FFFF"/>
            </w:tcBorders>
            <w:shd w:val="clear" w:color="auto" w:fill="F0FFFF"/>
          </w:tcPr>
          <w:p>
            <w:pPr>
              <w:spacing w:after="0"/>
              <w:rPr>
                <w:sz w:val="3"/>
                <w:szCs w:val="3"/>
                <w:color w:val="auto"/>
              </w:rPr>
            </w:pPr>
          </w:p>
        </w:tc>
        <w:tc>
          <w:tcPr>
            <w:tcW w:w="16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28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52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300" w:type="dxa"/>
            <w:vAlign w:val="bottom"/>
            <w:tcBorders>
              <w:top w:val="single" w:sz="8" w:color="F0FFFF"/>
              <w:bottom w:val="single" w:sz="8" w:color="F0FFFF"/>
            </w:tcBorders>
            <w:shd w:val="clear" w:color="auto" w:fill="F0FFFF"/>
          </w:tcPr>
          <w:p>
            <w:pPr>
              <w:spacing w:after="0"/>
              <w:rPr>
                <w:sz w:val="3"/>
                <w:szCs w:val="3"/>
                <w:color w:val="auto"/>
              </w:rPr>
            </w:pPr>
          </w:p>
        </w:tc>
        <w:tc>
          <w:tcPr>
            <w:tcW w:w="480" w:type="dxa"/>
            <w:vAlign w:val="bottom"/>
            <w:tcBorders>
              <w:top w:val="single" w:sz="8" w:color="F0FFFF"/>
              <w:bottom w:val="single" w:sz="8" w:color="F0FFFF"/>
            </w:tcBorders>
            <w:shd w:val="clear" w:color="auto" w:fill="F0FFFF"/>
          </w:tcPr>
          <w:p>
            <w:pPr>
              <w:spacing w:after="0"/>
              <w:rPr>
                <w:sz w:val="3"/>
                <w:szCs w:val="3"/>
                <w:color w:val="auto"/>
              </w:rPr>
            </w:pPr>
          </w:p>
        </w:tc>
        <w:tc>
          <w:tcPr>
            <w:tcW w:w="720" w:type="dxa"/>
            <w:vAlign w:val="bottom"/>
            <w:tcBorders>
              <w:top w:val="single" w:sz="8" w:color="F0FFFF"/>
              <w:bottom w:val="single" w:sz="8" w:color="F0FFFF"/>
            </w:tcBorders>
            <w:shd w:val="clear" w:color="auto" w:fill="F0FFFF"/>
          </w:tcPr>
          <w:p>
            <w:pPr>
              <w:spacing w:after="0"/>
              <w:rPr>
                <w:sz w:val="3"/>
                <w:szCs w:val="3"/>
                <w:color w:val="auto"/>
              </w:rPr>
            </w:pPr>
          </w:p>
        </w:tc>
        <w:tc>
          <w:tcPr>
            <w:tcW w:w="860" w:type="dxa"/>
            <w:vAlign w:val="bottom"/>
            <w:tcBorders>
              <w:top w:val="single" w:sz="8" w:color="F0FFFF"/>
              <w:bottom w:val="single" w:sz="8" w:color="F0FFFF"/>
            </w:tcBorders>
            <w:vMerge w:val="continue"/>
            <w:shd w:val="clear" w:color="auto" w:fill="F0FFFF"/>
          </w:tcPr>
          <w:p>
            <w:pPr>
              <w:spacing w:after="0"/>
              <w:rPr>
                <w:sz w:val="3"/>
                <w:szCs w:val="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180" w:type="dxa"/>
            <w:vAlign w:val="bottom"/>
            <w:gridSpan w:val="42"/>
          </w:tcPr>
          <w:p>
            <w:pPr>
              <w:spacing w:after="0" w:line="104" w:lineRule="exact"/>
              <w:rPr>
                <w:sz w:val="20"/>
                <w:szCs w:val="20"/>
                <w:color w:val="auto"/>
              </w:rPr>
            </w:pPr>
            <w:r>
              <w:rPr>
                <w:rFonts w:ascii="Times New Roman" w:cs="Times New Roman" w:eastAsia="Times New Roman" w:hAnsi="Times New Roman"/>
                <w:sz w:val="11"/>
                <w:szCs w:val="11"/>
                <w:color w:val="0000EE"/>
              </w:rPr>
              <w:t>Reinstating Your Policy after a Lapse</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300" w:type="dxa"/>
            <w:vAlign w:val="bottom"/>
            <w:tcBorders>
              <w:top w:val="single" w:sz="8" w:color="0000EE"/>
            </w:tcBorders>
          </w:tcPr>
          <w:p>
            <w:pPr>
              <w:spacing w:after="0"/>
              <w:rPr>
                <w:sz w:val="3"/>
                <w:szCs w:val="3"/>
                <w:color w:val="auto"/>
              </w:rPr>
            </w:pPr>
          </w:p>
        </w:tc>
        <w:tc>
          <w:tcPr>
            <w:tcW w:w="200" w:type="dxa"/>
            <w:vAlign w:val="bottom"/>
            <w:tcBorders>
              <w:top w:val="single" w:sz="8" w:color="0000EE"/>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40" w:type="dxa"/>
            <w:vAlign w:val="bottom"/>
            <w:shd w:val="clear" w:color="auto" w:fill="F0FFFF"/>
          </w:tcPr>
          <w:p>
            <w:pPr>
              <w:spacing w:after="0"/>
              <w:rPr>
                <w:sz w:val="10"/>
                <w:szCs w:val="10"/>
                <w:color w:val="auto"/>
              </w:rPr>
            </w:pPr>
          </w:p>
        </w:tc>
        <w:tc>
          <w:tcPr>
            <w:tcW w:w="5180" w:type="dxa"/>
            <w:vAlign w:val="bottom"/>
            <w:gridSpan w:val="42"/>
            <w:shd w:val="clear" w:color="auto" w:fill="F0FFFF"/>
          </w:tcPr>
          <w:p>
            <w:pPr>
              <w:spacing w:after="0" w:line="124" w:lineRule="exact"/>
              <w:rPr>
                <w:sz w:val="20"/>
                <w:szCs w:val="20"/>
                <w:color w:val="auto"/>
              </w:rPr>
            </w:pPr>
            <w:r>
              <w:rPr>
                <w:rFonts w:ascii="Times New Roman" w:cs="Times New Roman" w:eastAsia="Times New Roman" w:hAnsi="Times New Roman"/>
                <w:sz w:val="14"/>
                <w:szCs w:val="14"/>
                <w:color w:val="0000EE"/>
              </w:rPr>
              <w:t>Continuation of Insurance after Premium Payments Stop</w:t>
            </w:r>
          </w:p>
        </w:tc>
        <w:tc>
          <w:tcPr>
            <w:tcW w:w="86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40" w:type="dxa"/>
            <w:vAlign w:val="bottom"/>
            <w:tcBorders>
              <w:top w:val="single" w:sz="8" w:color="F0FFFF"/>
              <w:bottom w:val="single" w:sz="8" w:color="F0FFFF"/>
            </w:tcBorders>
            <w:shd w:val="clear" w:color="auto" w:fill="F0FFFF"/>
          </w:tcPr>
          <w:p>
            <w:pPr>
              <w:spacing w:after="0"/>
              <w:rPr>
                <w:sz w:val="3"/>
                <w:szCs w:val="3"/>
                <w:color w:val="auto"/>
              </w:rPr>
            </w:pPr>
          </w:p>
        </w:tc>
        <w:tc>
          <w:tcPr>
            <w:tcW w:w="200" w:type="dxa"/>
            <w:vAlign w:val="bottom"/>
            <w:tcBorders>
              <w:top w:val="single" w:sz="8" w:color="0000EE"/>
              <w:bottom w:val="single" w:sz="8" w:color="F0FFFF"/>
            </w:tcBorders>
            <w:shd w:val="clear" w:color="auto" w:fill="F0FFFF"/>
          </w:tcPr>
          <w:p>
            <w:pPr>
              <w:spacing w:after="0"/>
              <w:rPr>
                <w:sz w:val="3"/>
                <w:szCs w:val="3"/>
                <w:color w:val="auto"/>
              </w:rPr>
            </w:pPr>
          </w:p>
        </w:tc>
        <w:tc>
          <w:tcPr>
            <w:tcW w:w="80" w:type="dxa"/>
            <w:vAlign w:val="bottom"/>
            <w:tcBorders>
              <w:top w:val="single" w:sz="8" w:color="0000EE"/>
              <w:bottom w:val="single" w:sz="8" w:color="F0FFFF"/>
            </w:tcBorders>
            <w:shd w:val="clear" w:color="auto" w:fill="F0FFFF"/>
          </w:tcPr>
          <w:p>
            <w:pPr>
              <w:spacing w:after="0"/>
              <w:rPr>
                <w:sz w:val="3"/>
                <w:szCs w:val="3"/>
                <w:color w:val="auto"/>
              </w:rPr>
            </w:pPr>
          </w:p>
        </w:tc>
        <w:tc>
          <w:tcPr>
            <w:tcW w:w="100" w:type="dxa"/>
            <w:vAlign w:val="bottom"/>
            <w:tcBorders>
              <w:top w:val="single" w:sz="8" w:color="0000EE"/>
              <w:bottom w:val="single" w:sz="8" w:color="F0FFFF"/>
            </w:tcBorders>
            <w:shd w:val="clear" w:color="auto" w:fill="F0FFFF"/>
          </w:tcPr>
          <w:p>
            <w:pPr>
              <w:spacing w:after="0"/>
              <w:rPr>
                <w:sz w:val="3"/>
                <w:szCs w:val="3"/>
                <w:color w:val="auto"/>
              </w:rPr>
            </w:pPr>
          </w:p>
        </w:tc>
        <w:tc>
          <w:tcPr>
            <w:tcW w:w="4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60" w:type="dxa"/>
            <w:vAlign w:val="bottom"/>
            <w:tcBorders>
              <w:top w:val="single" w:sz="8" w:color="0000EE"/>
              <w:bottom w:val="single" w:sz="8" w:color="F0FFFF"/>
            </w:tcBorders>
            <w:shd w:val="clear" w:color="auto" w:fill="F0FFFF"/>
          </w:tcPr>
          <w:p>
            <w:pPr>
              <w:spacing w:after="0"/>
              <w:rPr>
                <w:sz w:val="3"/>
                <w:szCs w:val="3"/>
                <w:color w:val="auto"/>
              </w:rPr>
            </w:pPr>
          </w:p>
        </w:tc>
        <w:tc>
          <w:tcPr>
            <w:tcW w:w="60" w:type="dxa"/>
            <w:vAlign w:val="bottom"/>
            <w:tcBorders>
              <w:top w:val="single" w:sz="8" w:color="0000EE"/>
              <w:bottom w:val="single" w:sz="8" w:color="F0FFFF"/>
            </w:tcBorders>
            <w:shd w:val="clear" w:color="auto" w:fill="F0FFFF"/>
          </w:tcPr>
          <w:p>
            <w:pPr>
              <w:spacing w:after="0"/>
              <w:rPr>
                <w:sz w:val="3"/>
                <w:szCs w:val="3"/>
                <w:color w:val="auto"/>
              </w:rPr>
            </w:pPr>
          </w:p>
        </w:tc>
        <w:tc>
          <w:tcPr>
            <w:tcW w:w="40" w:type="dxa"/>
            <w:vAlign w:val="bottom"/>
            <w:tcBorders>
              <w:top w:val="single" w:sz="8" w:color="0000EE"/>
              <w:bottom w:val="single" w:sz="8" w:color="F0FFFF"/>
            </w:tcBorders>
            <w:shd w:val="clear" w:color="auto" w:fill="F0FFFF"/>
          </w:tcPr>
          <w:p>
            <w:pPr>
              <w:spacing w:after="0"/>
              <w:rPr>
                <w:sz w:val="3"/>
                <w:szCs w:val="3"/>
                <w:color w:val="auto"/>
              </w:rPr>
            </w:pPr>
          </w:p>
        </w:tc>
        <w:tc>
          <w:tcPr>
            <w:tcW w:w="6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6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60" w:type="dxa"/>
            <w:vAlign w:val="bottom"/>
            <w:tcBorders>
              <w:top w:val="single" w:sz="8" w:color="0000EE"/>
              <w:bottom w:val="single" w:sz="8" w:color="F0FFFF"/>
            </w:tcBorders>
            <w:shd w:val="clear" w:color="auto" w:fill="F0FFFF"/>
          </w:tcPr>
          <w:p>
            <w:pPr>
              <w:spacing w:after="0"/>
              <w:rPr>
                <w:sz w:val="3"/>
                <w:szCs w:val="3"/>
                <w:color w:val="auto"/>
              </w:rPr>
            </w:pPr>
          </w:p>
        </w:tc>
        <w:tc>
          <w:tcPr>
            <w:tcW w:w="80" w:type="dxa"/>
            <w:vAlign w:val="bottom"/>
            <w:tcBorders>
              <w:top w:val="single" w:sz="8" w:color="0000EE"/>
              <w:bottom w:val="single" w:sz="8" w:color="F0FFFF"/>
            </w:tcBorders>
            <w:shd w:val="clear" w:color="auto" w:fill="F0FFFF"/>
          </w:tcPr>
          <w:p>
            <w:pPr>
              <w:spacing w:after="0"/>
              <w:rPr>
                <w:sz w:val="3"/>
                <w:szCs w:val="3"/>
                <w:color w:val="auto"/>
              </w:rPr>
            </w:pPr>
          </w:p>
        </w:tc>
        <w:tc>
          <w:tcPr>
            <w:tcW w:w="80" w:type="dxa"/>
            <w:vAlign w:val="bottom"/>
            <w:tcBorders>
              <w:top w:val="single" w:sz="8" w:color="0000EE"/>
              <w:bottom w:val="single" w:sz="8" w:color="F0FFFF"/>
            </w:tcBorders>
            <w:shd w:val="clear" w:color="auto" w:fill="F0FFFF"/>
          </w:tcPr>
          <w:p>
            <w:pPr>
              <w:spacing w:after="0"/>
              <w:rPr>
                <w:sz w:val="3"/>
                <w:szCs w:val="3"/>
                <w:color w:val="auto"/>
              </w:rPr>
            </w:pPr>
          </w:p>
        </w:tc>
        <w:tc>
          <w:tcPr>
            <w:tcW w:w="60" w:type="dxa"/>
            <w:vAlign w:val="bottom"/>
            <w:tcBorders>
              <w:top w:val="single" w:sz="8" w:color="0000EE"/>
              <w:bottom w:val="single" w:sz="8" w:color="F0FFFF"/>
            </w:tcBorders>
            <w:shd w:val="clear" w:color="auto" w:fill="F0FFFF"/>
          </w:tcPr>
          <w:p>
            <w:pPr>
              <w:spacing w:after="0"/>
              <w:rPr>
                <w:sz w:val="3"/>
                <w:szCs w:val="3"/>
                <w:color w:val="auto"/>
              </w:rPr>
            </w:pPr>
          </w:p>
        </w:tc>
        <w:tc>
          <w:tcPr>
            <w:tcW w:w="4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8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60" w:type="dxa"/>
            <w:vAlign w:val="bottom"/>
            <w:tcBorders>
              <w:top w:val="single" w:sz="8" w:color="0000EE"/>
              <w:bottom w:val="single" w:sz="8" w:color="F0FFFF"/>
            </w:tcBorders>
            <w:shd w:val="clear" w:color="auto" w:fill="F0FFFF"/>
          </w:tcPr>
          <w:p>
            <w:pPr>
              <w:spacing w:after="0"/>
              <w:rPr>
                <w:sz w:val="3"/>
                <w:szCs w:val="3"/>
                <w:color w:val="auto"/>
              </w:rPr>
            </w:pPr>
          </w:p>
        </w:tc>
        <w:tc>
          <w:tcPr>
            <w:tcW w:w="40" w:type="dxa"/>
            <w:vAlign w:val="bottom"/>
            <w:tcBorders>
              <w:top w:val="single" w:sz="8" w:color="0000EE"/>
              <w:bottom w:val="single" w:sz="8" w:color="F0FFFF"/>
            </w:tcBorders>
            <w:shd w:val="clear" w:color="auto" w:fill="F0FFFF"/>
          </w:tcPr>
          <w:p>
            <w:pPr>
              <w:spacing w:after="0"/>
              <w:rPr>
                <w:sz w:val="3"/>
                <w:szCs w:val="3"/>
                <w:color w:val="auto"/>
              </w:rPr>
            </w:pPr>
          </w:p>
        </w:tc>
        <w:tc>
          <w:tcPr>
            <w:tcW w:w="1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80" w:type="dxa"/>
            <w:vAlign w:val="bottom"/>
            <w:tcBorders>
              <w:top w:val="single" w:sz="8" w:color="0000EE"/>
              <w:bottom w:val="single" w:sz="8" w:color="F0FFFF"/>
            </w:tcBorders>
            <w:shd w:val="clear" w:color="auto" w:fill="F0FFFF"/>
          </w:tcPr>
          <w:p>
            <w:pPr>
              <w:spacing w:after="0"/>
              <w:rPr>
                <w:sz w:val="3"/>
                <w:szCs w:val="3"/>
                <w:color w:val="auto"/>
              </w:rPr>
            </w:pPr>
          </w:p>
        </w:tc>
        <w:tc>
          <w:tcPr>
            <w:tcW w:w="300" w:type="dxa"/>
            <w:vAlign w:val="bottom"/>
            <w:tcBorders>
              <w:top w:val="single" w:sz="8" w:color="0000EE"/>
              <w:bottom w:val="single" w:sz="8" w:color="F0FFFF"/>
            </w:tcBorders>
            <w:shd w:val="clear" w:color="auto" w:fill="F0FFFF"/>
          </w:tcPr>
          <w:p>
            <w:pPr>
              <w:spacing w:after="0"/>
              <w:rPr>
                <w:sz w:val="3"/>
                <w:szCs w:val="3"/>
                <w:color w:val="auto"/>
              </w:rPr>
            </w:pPr>
          </w:p>
        </w:tc>
        <w:tc>
          <w:tcPr>
            <w:tcW w:w="200" w:type="dxa"/>
            <w:vAlign w:val="bottom"/>
            <w:tcBorders>
              <w:top w:val="single" w:sz="8" w:color="0000EE"/>
              <w:bottom w:val="single" w:sz="8" w:color="F0FFFF"/>
            </w:tcBorders>
            <w:shd w:val="clear" w:color="auto" w:fill="F0FFFF"/>
          </w:tcPr>
          <w:p>
            <w:pPr>
              <w:spacing w:after="0"/>
              <w:rPr>
                <w:sz w:val="3"/>
                <w:szCs w:val="3"/>
                <w:color w:val="auto"/>
              </w:rPr>
            </w:pPr>
          </w:p>
        </w:tc>
        <w:tc>
          <w:tcPr>
            <w:tcW w:w="60" w:type="dxa"/>
            <w:vAlign w:val="bottom"/>
            <w:tcBorders>
              <w:top w:val="single" w:sz="8" w:color="0000EE"/>
              <w:bottom w:val="single" w:sz="8" w:color="F0FFFF"/>
            </w:tcBorders>
            <w:shd w:val="clear" w:color="auto" w:fill="F0FFFF"/>
          </w:tcPr>
          <w:p>
            <w:pPr>
              <w:spacing w:after="0"/>
              <w:rPr>
                <w:sz w:val="3"/>
                <w:szCs w:val="3"/>
                <w:color w:val="auto"/>
              </w:rPr>
            </w:pPr>
          </w:p>
        </w:tc>
        <w:tc>
          <w:tcPr>
            <w:tcW w:w="80" w:type="dxa"/>
            <w:vAlign w:val="bottom"/>
            <w:tcBorders>
              <w:top w:val="single" w:sz="8" w:color="0000EE"/>
              <w:bottom w:val="single" w:sz="8" w:color="F0FFFF"/>
            </w:tcBorders>
            <w:shd w:val="clear" w:color="auto" w:fill="F0FFFF"/>
          </w:tcPr>
          <w:p>
            <w:pPr>
              <w:spacing w:after="0"/>
              <w:rPr>
                <w:sz w:val="3"/>
                <w:szCs w:val="3"/>
                <w:color w:val="auto"/>
              </w:rPr>
            </w:pPr>
          </w:p>
        </w:tc>
        <w:tc>
          <w:tcPr>
            <w:tcW w:w="260" w:type="dxa"/>
            <w:vAlign w:val="bottom"/>
            <w:tcBorders>
              <w:top w:val="single" w:sz="8" w:color="0000EE"/>
              <w:bottom w:val="single" w:sz="8" w:color="F0FFFF"/>
            </w:tcBorders>
            <w:shd w:val="clear" w:color="auto" w:fill="F0FFFF"/>
          </w:tcPr>
          <w:p>
            <w:pPr>
              <w:spacing w:after="0"/>
              <w:rPr>
                <w:sz w:val="3"/>
                <w:szCs w:val="3"/>
                <w:color w:val="auto"/>
              </w:rPr>
            </w:pPr>
          </w:p>
        </w:tc>
        <w:tc>
          <w:tcPr>
            <w:tcW w:w="200" w:type="dxa"/>
            <w:vAlign w:val="bottom"/>
            <w:tcBorders>
              <w:top w:val="single" w:sz="8" w:color="0000EE"/>
              <w:bottom w:val="single" w:sz="8" w:color="F0FFFF"/>
            </w:tcBorders>
            <w:shd w:val="clear" w:color="auto" w:fill="F0FFFF"/>
          </w:tcPr>
          <w:p>
            <w:pPr>
              <w:spacing w:after="0"/>
              <w:rPr>
                <w:sz w:val="3"/>
                <w:szCs w:val="3"/>
                <w:color w:val="auto"/>
              </w:rPr>
            </w:pPr>
          </w:p>
        </w:tc>
        <w:tc>
          <w:tcPr>
            <w:tcW w:w="16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28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52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300" w:type="dxa"/>
            <w:vAlign w:val="bottom"/>
            <w:tcBorders>
              <w:top w:val="single" w:sz="8" w:color="F0FFFF"/>
              <w:bottom w:val="single" w:sz="8" w:color="F0FFFF"/>
            </w:tcBorders>
            <w:shd w:val="clear" w:color="auto" w:fill="F0FFFF"/>
          </w:tcPr>
          <w:p>
            <w:pPr>
              <w:spacing w:after="0"/>
              <w:rPr>
                <w:sz w:val="3"/>
                <w:szCs w:val="3"/>
                <w:color w:val="auto"/>
              </w:rPr>
            </w:pPr>
          </w:p>
        </w:tc>
        <w:tc>
          <w:tcPr>
            <w:tcW w:w="480" w:type="dxa"/>
            <w:vAlign w:val="bottom"/>
            <w:tcBorders>
              <w:top w:val="single" w:sz="8" w:color="F0FFFF"/>
              <w:bottom w:val="single" w:sz="8" w:color="F0FFFF"/>
            </w:tcBorders>
            <w:shd w:val="clear" w:color="auto" w:fill="F0FFFF"/>
          </w:tcPr>
          <w:p>
            <w:pPr>
              <w:spacing w:after="0"/>
              <w:rPr>
                <w:sz w:val="3"/>
                <w:szCs w:val="3"/>
                <w:color w:val="auto"/>
              </w:rPr>
            </w:pPr>
          </w:p>
        </w:tc>
        <w:tc>
          <w:tcPr>
            <w:tcW w:w="720" w:type="dxa"/>
            <w:vAlign w:val="bottom"/>
            <w:tcBorders>
              <w:top w:val="single" w:sz="8" w:color="F0FFFF"/>
              <w:bottom w:val="single" w:sz="8" w:color="F0FFFF"/>
            </w:tcBorders>
            <w:shd w:val="clear" w:color="auto" w:fill="F0FFFF"/>
          </w:tcPr>
          <w:p>
            <w:pPr>
              <w:spacing w:after="0"/>
              <w:rPr>
                <w:sz w:val="3"/>
                <w:szCs w:val="3"/>
                <w:color w:val="auto"/>
              </w:rPr>
            </w:pPr>
          </w:p>
        </w:tc>
        <w:tc>
          <w:tcPr>
            <w:tcW w:w="860" w:type="dxa"/>
            <w:vAlign w:val="bottom"/>
            <w:tcBorders>
              <w:top w:val="single" w:sz="8" w:color="F0FFFF"/>
              <w:bottom w:val="single" w:sz="8" w:color="F0FFFF"/>
            </w:tcBorders>
            <w:vMerge w:val="continue"/>
            <w:shd w:val="clear" w:color="auto" w:fill="F0FFFF"/>
          </w:tcPr>
          <w:p>
            <w:pPr>
              <w:spacing w:after="0"/>
              <w:rPr>
                <w:sz w:val="3"/>
                <w:szCs w:val="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5420" w:type="dxa"/>
            <w:vAlign w:val="bottom"/>
            <w:gridSpan w:val="43"/>
          </w:tcPr>
          <w:p>
            <w:pPr>
              <w:spacing w:after="0" w:line="104" w:lineRule="exact"/>
              <w:rPr>
                <w:sz w:val="20"/>
                <w:szCs w:val="20"/>
                <w:color w:val="auto"/>
              </w:rPr>
            </w:pPr>
            <w:r>
              <w:rPr>
                <w:rFonts w:ascii="Times New Roman" w:cs="Times New Roman" w:eastAsia="Times New Roman" w:hAnsi="Times New Roman"/>
                <w:sz w:val="11"/>
                <w:szCs w:val="11"/>
                <w:color w:val="0000EE"/>
              </w:rPr>
              <w:t>CHARGES</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0" w:type="dxa"/>
            <w:vAlign w:val="bottom"/>
          </w:tcPr>
          <w:p>
            <w:pPr>
              <w:spacing w:after="0"/>
              <w:rPr>
                <w:sz w:val="1"/>
                <w:szCs w:val="1"/>
                <w:color w:val="auto"/>
              </w:rPr>
            </w:pPr>
          </w:p>
        </w:tc>
      </w:tr>
      <w:tr>
        <w:trPr>
          <w:trHeight w:val="42"/>
        </w:trPr>
        <w:tc>
          <w:tcPr>
            <w:tcW w:w="20" w:type="dxa"/>
            <w:vAlign w:val="bottom"/>
            <w:tcBorders>
              <w:top w:val="single" w:sz="8" w:color="0000EE"/>
            </w:tcBorders>
          </w:tcPr>
          <w:p>
            <w:pPr>
              <w:spacing w:after="0"/>
              <w:rPr>
                <w:sz w:val="3"/>
                <w:szCs w:val="3"/>
                <w:color w:val="auto"/>
              </w:rPr>
            </w:pPr>
          </w:p>
        </w:tc>
        <w:tc>
          <w:tcPr>
            <w:tcW w:w="240" w:type="dxa"/>
            <w:vAlign w:val="bottom"/>
            <w:tcBorders>
              <w:top w:val="single" w:sz="8" w:color="0000EE"/>
            </w:tcBorders>
          </w:tcPr>
          <w:p>
            <w:pPr>
              <w:spacing w:after="0"/>
              <w:rPr>
                <w:sz w:val="3"/>
                <w:szCs w:val="3"/>
                <w:color w:val="auto"/>
              </w:rPr>
            </w:pPr>
          </w:p>
        </w:tc>
        <w:tc>
          <w:tcPr>
            <w:tcW w:w="20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3"/>
        </w:trPr>
        <w:tc>
          <w:tcPr>
            <w:tcW w:w="20" w:type="dxa"/>
            <w:vAlign w:val="bottom"/>
            <w:tcBorders>
              <w:bottom w:val="single" w:sz="8" w:color="0000EE"/>
            </w:tcBorders>
          </w:tcPr>
          <w:p>
            <w:pPr>
              <w:spacing w:after="0"/>
              <w:rPr>
                <w:sz w:val="10"/>
                <w:szCs w:val="10"/>
                <w:color w:val="auto"/>
              </w:rPr>
            </w:pPr>
          </w:p>
        </w:tc>
        <w:tc>
          <w:tcPr>
            <w:tcW w:w="2100" w:type="dxa"/>
            <w:vAlign w:val="bottom"/>
            <w:tcBorders>
              <w:bottom w:val="single" w:sz="8" w:color="0000EE"/>
            </w:tcBorders>
            <w:gridSpan w:val="29"/>
            <w:shd w:val="clear" w:color="auto" w:fill="F0FFFF"/>
          </w:tcPr>
          <w:p>
            <w:pPr>
              <w:spacing w:after="0" w:line="104" w:lineRule="exact"/>
              <w:rPr>
                <w:sz w:val="20"/>
                <w:szCs w:val="20"/>
                <w:color w:val="auto"/>
              </w:rPr>
            </w:pPr>
            <w:r>
              <w:rPr>
                <w:rFonts w:ascii="Times New Roman" w:cs="Times New Roman" w:eastAsia="Times New Roman" w:hAnsi="Times New Roman"/>
                <w:sz w:val="11"/>
                <w:szCs w:val="11"/>
                <w:color w:val="0000EE"/>
              </w:rPr>
              <w:t>FEDERAL TAX CONSIDERATIONS</w:t>
            </w:r>
          </w:p>
        </w:tc>
        <w:tc>
          <w:tcPr>
            <w:tcW w:w="3320" w:type="dxa"/>
            <w:vAlign w:val="bottom"/>
            <w:tcBorders>
              <w:bottom w:val="single" w:sz="8" w:color="F0FFFF"/>
            </w:tcBorders>
            <w:gridSpan w:val="14"/>
            <w:vMerge w:val="restart"/>
            <w:shd w:val="clear" w:color="auto" w:fill="F0FFFF"/>
          </w:tcPr>
          <w:p>
            <w:pPr>
              <w:spacing w:after="0"/>
              <w:rPr>
                <w:sz w:val="10"/>
                <w:szCs w:val="10"/>
                <w:color w:val="auto"/>
              </w:rPr>
            </w:pPr>
          </w:p>
        </w:tc>
        <w:tc>
          <w:tcPr>
            <w:tcW w:w="860" w:type="dxa"/>
            <w:vAlign w:val="bottom"/>
            <w:tcBorders>
              <w:bottom w:val="single" w:sz="8" w:color="F0FFFF"/>
            </w:tcBorders>
            <w:vMerge w:val="restart"/>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700" w:type="dxa"/>
            <w:vAlign w:val="bottom"/>
            <w:tcBorders>
              <w:bottom w:val="single" w:sz="8" w:color="F0FFFF"/>
            </w:tcBorders>
            <w:gridSpan w:val="26"/>
            <w:shd w:val="clear" w:color="auto" w:fill="F0FFFF"/>
          </w:tcPr>
          <w:p>
            <w:pPr>
              <w:spacing w:after="0"/>
              <w:rPr>
                <w:sz w:val="3"/>
                <w:szCs w:val="3"/>
                <w:color w:val="auto"/>
              </w:rPr>
            </w:pPr>
          </w:p>
        </w:tc>
        <w:tc>
          <w:tcPr>
            <w:tcW w:w="400" w:type="dxa"/>
            <w:vAlign w:val="bottom"/>
            <w:tcBorders>
              <w:bottom w:val="single" w:sz="8" w:color="F0FFFF"/>
            </w:tcBorders>
            <w:gridSpan w:val="3"/>
            <w:shd w:val="clear" w:color="auto" w:fill="F0FFFF"/>
          </w:tcPr>
          <w:p>
            <w:pPr>
              <w:spacing w:after="0"/>
              <w:rPr>
                <w:sz w:val="3"/>
                <w:szCs w:val="3"/>
                <w:color w:val="auto"/>
              </w:rPr>
            </w:pPr>
          </w:p>
        </w:tc>
        <w:tc>
          <w:tcPr>
            <w:tcW w:w="3320" w:type="dxa"/>
            <w:vAlign w:val="bottom"/>
            <w:tcBorders>
              <w:bottom w:val="single" w:sz="8" w:color="F0FFFF"/>
            </w:tcBorders>
            <w:gridSpan w:val="14"/>
            <w:vMerge w:val="continue"/>
            <w:shd w:val="clear" w:color="auto" w:fill="F0FFFF"/>
          </w:tcPr>
          <w:p>
            <w:pPr>
              <w:spacing w:after="0"/>
              <w:rPr>
                <w:sz w:val="3"/>
                <w:szCs w:val="3"/>
                <w:color w:val="auto"/>
              </w:rPr>
            </w:pPr>
          </w:p>
        </w:tc>
        <w:tc>
          <w:tcPr>
            <w:tcW w:w="860" w:type="dxa"/>
            <w:vAlign w:val="bottom"/>
            <w:tcBorders>
              <w:bottom w:val="single" w:sz="8" w:color="F0FFFF"/>
            </w:tcBorders>
            <w:vMerge w:val="continue"/>
            <w:shd w:val="clear" w:color="auto" w:fill="F0FFFF"/>
          </w:tcPr>
          <w:p>
            <w:pPr>
              <w:spacing w:after="0"/>
              <w:rPr>
                <w:sz w:val="3"/>
                <w:szCs w:val="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0000EE"/>
            </w:tcBorders>
          </w:tcPr>
          <w:p>
            <w:pPr>
              <w:spacing w:after="0"/>
              <w:rPr>
                <w:sz w:val="8"/>
                <w:szCs w:val="8"/>
                <w:color w:val="auto"/>
              </w:rPr>
            </w:pPr>
          </w:p>
        </w:tc>
        <w:tc>
          <w:tcPr>
            <w:tcW w:w="1700" w:type="dxa"/>
            <w:vAlign w:val="bottom"/>
            <w:tcBorders>
              <w:bottom w:val="single" w:sz="8" w:color="0000EE"/>
            </w:tcBorders>
            <w:gridSpan w:val="26"/>
          </w:tcPr>
          <w:p>
            <w:pPr>
              <w:spacing w:after="0" w:line="104" w:lineRule="exact"/>
              <w:rPr>
                <w:sz w:val="20"/>
                <w:szCs w:val="20"/>
                <w:color w:val="auto"/>
              </w:rPr>
            </w:pPr>
            <w:r>
              <w:rPr>
                <w:rFonts w:ascii="Times New Roman" w:cs="Times New Roman" w:eastAsia="Times New Roman" w:hAnsi="Times New Roman"/>
                <w:sz w:val="11"/>
                <w:szCs w:val="11"/>
                <w:color w:val="0000EE"/>
              </w:rPr>
              <w:t>YOUR RIGHT TO EXAMINE</w:t>
            </w:r>
          </w:p>
        </w:tc>
        <w:tc>
          <w:tcPr>
            <w:tcW w:w="3720" w:type="dxa"/>
            <w:vAlign w:val="bottom"/>
            <w:gridSpan w:val="17"/>
          </w:tcPr>
          <w:p>
            <w:pPr>
              <w:spacing w:after="0"/>
              <w:rPr>
                <w:sz w:val="8"/>
                <w:szCs w:val="8"/>
                <w:color w:val="auto"/>
              </w:rPr>
            </w:pPr>
          </w:p>
        </w:tc>
        <w:tc>
          <w:tcPr>
            <w:tcW w:w="860" w:type="dxa"/>
            <w:vAlign w:val="bottom"/>
          </w:tcPr>
          <w:p>
            <w:pPr>
              <w:jc w:val="right"/>
              <w:spacing w:after="0" w:line="104" w:lineRule="exact"/>
              <w:rPr>
                <w:sz w:val="20"/>
                <w:szCs w:val="20"/>
                <w:color w:val="auto"/>
              </w:rPr>
            </w:pPr>
            <w:r>
              <w:rPr>
                <w:rFonts w:ascii="Times New Roman" w:cs="Times New Roman" w:eastAsia="Times New Roman" w:hAnsi="Times New Roman"/>
                <w:sz w:val="11"/>
                <w:szCs w:val="11"/>
                <w:color w:val="auto"/>
              </w:rPr>
              <w:t>68</w:t>
            </w:r>
          </w:p>
        </w:tc>
        <w:tc>
          <w:tcPr>
            <w:tcW w:w="0" w:type="dxa"/>
            <w:vAlign w:val="bottom"/>
          </w:tcPr>
          <w:p>
            <w:pPr>
              <w:spacing w:after="0"/>
              <w:rPr>
                <w:sz w:val="1"/>
                <w:szCs w:val="1"/>
                <w:color w:val="auto"/>
              </w:rPr>
            </w:pPr>
          </w:p>
        </w:tc>
      </w:tr>
      <w:tr>
        <w:trPr>
          <w:trHeight w:val="390"/>
        </w:trPr>
        <w:tc>
          <w:tcPr>
            <w:tcW w:w="3380" w:type="dxa"/>
            <w:vAlign w:val="bottom"/>
            <w:gridSpan w:val="38"/>
          </w:tcPr>
          <w:p>
            <w:pPr>
              <w:jc w:val="right"/>
              <w:ind w:right="200"/>
              <w:spacing w:after="0"/>
              <w:rPr>
                <w:sz w:val="20"/>
                <w:szCs w:val="20"/>
                <w:color w:val="auto"/>
              </w:rPr>
            </w:pPr>
            <w:r>
              <w:rPr>
                <w:rFonts w:ascii="Times New Roman" w:cs="Times New Roman" w:eastAsia="Times New Roman" w:hAnsi="Times New Roman"/>
                <w:sz w:val="14"/>
                <w:szCs w:val="14"/>
                <w:color w:val="auto"/>
              </w:rPr>
              <w:t>3</w:t>
            </w: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9219"/>
          </w:cols>
          <w:pgMar w:left="1240" w:top="596" w:right="1440" w:bottom="1440" w:gutter="0" w:footer="0" w:header="0"/>
        </w:sectPr>
      </w:pPr>
      <w:r>
        <w:rPr>
          <w:sz w:val="20"/>
          <w:szCs w:val="20"/>
          <w:color w:val="auto"/>
        </w:rPr>
        <w:drawing>
          <wp:anchor simplePos="0" relativeHeight="251657728" behindDoc="1" locked="0" layoutInCell="0" allowOverlap="1">
            <wp:simplePos x="0" y="0"/>
            <wp:positionH relativeFrom="page">
              <wp:posOffset>179070</wp:posOffset>
            </wp:positionH>
            <wp:positionV relativeFrom="page">
              <wp:posOffset>121920</wp:posOffset>
            </wp:positionV>
            <wp:extent cx="719010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bookmarkStart w:id="6" w:name="page7"/>
    <w:bookmarkEnd w:id="6"/>
    <w:tbl>
      <w:tblPr>
        <w:tblLayout w:type="fixed"/>
        <w:tblInd w:w="0" w:type="dxa"/>
        <w:tblCellMar>
          <w:top w:w="0" w:type="dxa"/>
          <w:left w:w="0" w:type="dxa"/>
          <w:bottom w:w="0" w:type="dxa"/>
          <w:right w:w="0" w:type="dxa"/>
        </w:tblCellMar>
      </w:tblPr>
      <w:tr>
        <w:trPr>
          <w:trHeight w:val="182"/>
        </w:trPr>
        <w:tc>
          <w:tcPr>
            <w:tcW w:w="164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4"/>
                <w:szCs w:val="14"/>
                <w:color w:val="0000EE"/>
                <w:w w:val="96"/>
              </w:rPr>
              <w:t>OWNERSHIP PROVISIONS</w:t>
            </w:r>
          </w:p>
        </w:tc>
        <w:tc>
          <w:tcPr>
            <w:tcW w:w="4700" w:type="dxa"/>
            <w:vAlign w:val="bottom"/>
            <w:gridSpan w:val="13"/>
          </w:tcPr>
          <w:p>
            <w:pPr>
              <w:spacing w:after="0"/>
              <w:rPr>
                <w:sz w:val="15"/>
                <w:szCs w:val="15"/>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40" w:type="dxa"/>
            <w:vAlign w:val="bottom"/>
            <w:shd w:val="clear" w:color="auto" w:fill="F0FFFF"/>
          </w:tcPr>
          <w:p>
            <w:pPr>
              <w:spacing w:after="0"/>
              <w:rPr>
                <w:sz w:val="10"/>
                <w:szCs w:val="10"/>
                <w:color w:val="auto"/>
              </w:rPr>
            </w:pPr>
          </w:p>
        </w:tc>
        <w:tc>
          <w:tcPr>
            <w:tcW w:w="6080" w:type="dxa"/>
            <w:vAlign w:val="bottom"/>
            <w:gridSpan w:val="28"/>
            <w:shd w:val="clear" w:color="auto" w:fill="F0FFFF"/>
          </w:tcPr>
          <w:p>
            <w:pPr>
              <w:spacing w:after="0" w:line="124" w:lineRule="exact"/>
              <w:rPr>
                <w:sz w:val="20"/>
                <w:szCs w:val="20"/>
                <w:color w:val="auto"/>
              </w:rPr>
            </w:pPr>
            <w:r>
              <w:rPr>
                <w:rFonts w:ascii="Times New Roman" w:cs="Times New Roman" w:eastAsia="Times New Roman" w:hAnsi="Times New Roman"/>
                <w:sz w:val="14"/>
                <w:szCs w:val="14"/>
                <w:color w:val="0000EE"/>
              </w:rPr>
              <w:t>Owner</w:t>
            </w:r>
          </w:p>
        </w:tc>
        <w:tc>
          <w:tcPr>
            <w:tcW w:w="32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40" w:type="dxa"/>
            <w:vAlign w:val="bottom"/>
            <w:tcBorders>
              <w:top w:val="single" w:sz="8" w:color="F0FFFF"/>
              <w:bottom w:val="single" w:sz="8" w:color="F0FFFF"/>
            </w:tcBorders>
            <w:shd w:val="clear" w:color="auto" w:fill="F0FFFF"/>
          </w:tcPr>
          <w:p>
            <w:pPr>
              <w:spacing w:after="0"/>
              <w:rPr>
                <w:sz w:val="3"/>
                <w:szCs w:val="3"/>
                <w:color w:val="auto"/>
              </w:rPr>
            </w:pPr>
          </w:p>
        </w:tc>
        <w:tc>
          <w:tcPr>
            <w:tcW w:w="320" w:type="dxa"/>
            <w:vAlign w:val="bottom"/>
            <w:tcBorders>
              <w:top w:val="single" w:sz="8" w:color="0000EE"/>
              <w:bottom w:val="single" w:sz="8" w:color="F0FFFF"/>
            </w:tcBorders>
            <w:shd w:val="clear" w:color="auto" w:fill="F0FFFF"/>
          </w:tcPr>
          <w:p>
            <w:pPr>
              <w:spacing w:after="0"/>
              <w:rPr>
                <w:sz w:val="3"/>
                <w:szCs w:val="3"/>
                <w:color w:val="auto"/>
              </w:rPr>
            </w:pPr>
          </w:p>
        </w:tc>
        <w:tc>
          <w:tcPr>
            <w:tcW w:w="6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120" w:type="dxa"/>
            <w:vAlign w:val="bottom"/>
            <w:tcBorders>
              <w:top w:val="single" w:sz="8" w:color="F0FFFF"/>
              <w:bottom w:val="single" w:sz="8" w:color="F0FFFF"/>
              <w:right w:val="single" w:sz="8" w:color="F0FFFF"/>
            </w:tcBorders>
            <w:shd w:val="clear" w:color="auto" w:fill="F0FFFF"/>
          </w:tcPr>
          <w:p>
            <w:pPr>
              <w:spacing w:after="0"/>
              <w:rPr>
                <w:sz w:val="3"/>
                <w:szCs w:val="3"/>
                <w:color w:val="auto"/>
              </w:rPr>
            </w:pPr>
          </w:p>
        </w:tc>
        <w:tc>
          <w:tcPr>
            <w:tcW w:w="8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320" w:type="dxa"/>
            <w:vAlign w:val="bottom"/>
            <w:tcBorders>
              <w:top w:val="single" w:sz="8" w:color="F0FFFF"/>
              <w:bottom w:val="single" w:sz="8" w:color="F0FFFF"/>
            </w:tcBorders>
            <w:shd w:val="clear" w:color="auto" w:fill="F0FFFF"/>
          </w:tcPr>
          <w:p>
            <w:pPr>
              <w:spacing w:after="0"/>
              <w:rPr>
                <w:sz w:val="3"/>
                <w:szCs w:val="3"/>
                <w:color w:val="auto"/>
              </w:rPr>
            </w:pPr>
          </w:p>
        </w:tc>
        <w:tc>
          <w:tcPr>
            <w:tcW w:w="16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8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40" w:type="dxa"/>
            <w:vAlign w:val="bottom"/>
            <w:tcBorders>
              <w:top w:val="single" w:sz="8" w:color="F0FFFF"/>
              <w:bottom w:val="single" w:sz="8" w:color="F0FFFF"/>
            </w:tcBorders>
            <w:shd w:val="clear" w:color="auto" w:fill="F0FFFF"/>
          </w:tcPr>
          <w:p>
            <w:pPr>
              <w:spacing w:after="0"/>
              <w:rPr>
                <w:sz w:val="3"/>
                <w:szCs w:val="3"/>
                <w:color w:val="auto"/>
              </w:rPr>
            </w:pPr>
          </w:p>
        </w:tc>
        <w:tc>
          <w:tcPr>
            <w:tcW w:w="8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120" w:type="dxa"/>
            <w:vAlign w:val="bottom"/>
            <w:tcBorders>
              <w:top w:val="single" w:sz="8" w:color="F0FFFF"/>
              <w:bottom w:val="single" w:sz="8" w:color="F0FFFF"/>
            </w:tcBorders>
            <w:shd w:val="clear" w:color="auto" w:fill="F0FFFF"/>
          </w:tcPr>
          <w:p>
            <w:pPr>
              <w:spacing w:after="0"/>
              <w:rPr>
                <w:sz w:val="3"/>
                <w:szCs w:val="3"/>
                <w:color w:val="auto"/>
              </w:rPr>
            </w:pPr>
          </w:p>
        </w:tc>
        <w:tc>
          <w:tcPr>
            <w:tcW w:w="160" w:type="dxa"/>
            <w:vAlign w:val="bottom"/>
            <w:tcBorders>
              <w:top w:val="single" w:sz="8" w:color="F0FFFF"/>
              <w:bottom w:val="single" w:sz="8" w:color="F0FFFF"/>
              <w:right w:val="single" w:sz="8" w:color="F0FFFF"/>
            </w:tcBorders>
            <w:shd w:val="clear" w:color="auto" w:fill="F0FFFF"/>
          </w:tcPr>
          <w:p>
            <w:pPr>
              <w:spacing w:after="0"/>
              <w:rPr>
                <w:sz w:val="3"/>
                <w:szCs w:val="3"/>
                <w:color w:val="auto"/>
              </w:rPr>
            </w:pPr>
          </w:p>
        </w:tc>
        <w:tc>
          <w:tcPr>
            <w:tcW w:w="160" w:type="dxa"/>
            <w:vAlign w:val="bottom"/>
            <w:tcBorders>
              <w:top w:val="single" w:sz="8" w:color="F0FFFF"/>
              <w:bottom w:val="single" w:sz="8" w:color="F0FFFF"/>
            </w:tcBorders>
            <w:shd w:val="clear" w:color="auto" w:fill="F0FFFF"/>
          </w:tcPr>
          <w:p>
            <w:pPr>
              <w:spacing w:after="0"/>
              <w:rPr>
                <w:sz w:val="3"/>
                <w:szCs w:val="3"/>
                <w:color w:val="auto"/>
              </w:rPr>
            </w:pPr>
          </w:p>
        </w:tc>
        <w:tc>
          <w:tcPr>
            <w:tcW w:w="640" w:type="dxa"/>
            <w:vAlign w:val="bottom"/>
            <w:tcBorders>
              <w:top w:val="single" w:sz="8" w:color="F0FFFF"/>
              <w:bottom w:val="single" w:sz="8" w:color="F0FFFF"/>
            </w:tcBorders>
            <w:shd w:val="clear" w:color="auto" w:fill="F0FFFF"/>
          </w:tcPr>
          <w:p>
            <w:pPr>
              <w:spacing w:after="0"/>
              <w:rPr>
                <w:sz w:val="3"/>
                <w:szCs w:val="3"/>
                <w:color w:val="auto"/>
              </w:rPr>
            </w:pPr>
          </w:p>
        </w:tc>
        <w:tc>
          <w:tcPr>
            <w:tcW w:w="160" w:type="dxa"/>
            <w:vAlign w:val="bottom"/>
            <w:tcBorders>
              <w:top w:val="single" w:sz="8" w:color="F0FFFF"/>
              <w:bottom w:val="single" w:sz="8" w:color="F0FFFF"/>
            </w:tcBorders>
            <w:shd w:val="clear" w:color="auto" w:fill="F0FFFF"/>
          </w:tcPr>
          <w:p>
            <w:pPr>
              <w:spacing w:after="0"/>
              <w:rPr>
                <w:sz w:val="3"/>
                <w:szCs w:val="3"/>
                <w:color w:val="auto"/>
              </w:rPr>
            </w:pPr>
          </w:p>
        </w:tc>
        <w:tc>
          <w:tcPr>
            <w:tcW w:w="14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60" w:type="dxa"/>
            <w:vAlign w:val="bottom"/>
            <w:tcBorders>
              <w:top w:val="single" w:sz="8" w:color="F0FFFF"/>
              <w:bottom w:val="single" w:sz="8" w:color="F0FFFF"/>
            </w:tcBorders>
            <w:shd w:val="clear" w:color="auto" w:fill="F0FFFF"/>
          </w:tcPr>
          <w:p>
            <w:pPr>
              <w:spacing w:after="0"/>
              <w:rPr>
                <w:sz w:val="3"/>
                <w:szCs w:val="3"/>
                <w:color w:val="auto"/>
              </w:rPr>
            </w:pPr>
          </w:p>
        </w:tc>
        <w:tc>
          <w:tcPr>
            <w:tcW w:w="80" w:type="dxa"/>
            <w:vAlign w:val="bottom"/>
            <w:tcBorders>
              <w:top w:val="single" w:sz="8" w:color="F0FFFF"/>
              <w:bottom w:val="single" w:sz="8" w:color="F0FFFF"/>
            </w:tcBorders>
            <w:shd w:val="clear" w:color="auto" w:fill="F0FFFF"/>
          </w:tcPr>
          <w:p>
            <w:pPr>
              <w:spacing w:after="0"/>
              <w:rPr>
                <w:sz w:val="3"/>
                <w:szCs w:val="3"/>
                <w:color w:val="auto"/>
              </w:rPr>
            </w:pPr>
          </w:p>
        </w:tc>
        <w:tc>
          <w:tcPr>
            <w:tcW w:w="60" w:type="dxa"/>
            <w:vAlign w:val="bottom"/>
            <w:tcBorders>
              <w:top w:val="single" w:sz="8" w:color="F0FFFF"/>
              <w:bottom w:val="single" w:sz="8" w:color="F0FFFF"/>
            </w:tcBorders>
            <w:shd w:val="clear" w:color="auto" w:fill="F0FFFF"/>
          </w:tcPr>
          <w:p>
            <w:pPr>
              <w:spacing w:after="0"/>
              <w:rPr>
                <w:sz w:val="3"/>
                <w:szCs w:val="3"/>
                <w:color w:val="auto"/>
              </w:rPr>
            </w:pPr>
          </w:p>
        </w:tc>
        <w:tc>
          <w:tcPr>
            <w:tcW w:w="400" w:type="dxa"/>
            <w:vAlign w:val="bottom"/>
            <w:tcBorders>
              <w:top w:val="single" w:sz="8" w:color="F0FFFF"/>
              <w:bottom w:val="single" w:sz="8" w:color="F0FFFF"/>
            </w:tcBorders>
            <w:shd w:val="clear" w:color="auto" w:fill="F0FFFF"/>
          </w:tcPr>
          <w:p>
            <w:pPr>
              <w:spacing w:after="0"/>
              <w:rPr>
                <w:sz w:val="3"/>
                <w:szCs w:val="3"/>
                <w:color w:val="auto"/>
              </w:rPr>
            </w:pPr>
          </w:p>
        </w:tc>
        <w:tc>
          <w:tcPr>
            <w:tcW w:w="2680" w:type="dxa"/>
            <w:vAlign w:val="bottom"/>
            <w:tcBorders>
              <w:top w:val="single" w:sz="8" w:color="F0FFFF"/>
              <w:bottom w:val="single" w:sz="8" w:color="F0FFFF"/>
            </w:tcBorders>
            <w:shd w:val="clear" w:color="auto" w:fill="F0FFFF"/>
          </w:tcPr>
          <w:p>
            <w:pPr>
              <w:spacing w:after="0"/>
              <w:rPr>
                <w:sz w:val="3"/>
                <w:szCs w:val="3"/>
                <w:color w:val="auto"/>
              </w:rPr>
            </w:pPr>
          </w:p>
        </w:tc>
        <w:tc>
          <w:tcPr>
            <w:tcW w:w="320" w:type="dxa"/>
            <w:vAlign w:val="bottom"/>
            <w:tcBorders>
              <w:top w:val="single" w:sz="8" w:color="F0FFFF"/>
              <w:bottom w:val="single" w:sz="8" w:color="F0FFFF"/>
            </w:tcBorders>
            <w:vMerge w:val="continue"/>
            <w:shd w:val="clear" w:color="auto" w:fill="F0FFFF"/>
          </w:tcPr>
          <w:p>
            <w:pPr>
              <w:spacing w:after="0"/>
              <w:rPr>
                <w:sz w:val="3"/>
                <w:szCs w:val="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80" w:type="dxa"/>
            <w:vAlign w:val="bottom"/>
            <w:gridSpan w:val="28"/>
          </w:tcPr>
          <w:p>
            <w:pPr>
              <w:spacing w:after="0" w:line="104" w:lineRule="exact"/>
              <w:rPr>
                <w:sz w:val="20"/>
                <w:szCs w:val="20"/>
                <w:color w:val="auto"/>
              </w:rPr>
            </w:pPr>
            <w:r>
              <w:rPr>
                <w:rFonts w:ascii="Times New Roman" w:cs="Times New Roman" w:eastAsia="Times New Roman" w:hAnsi="Times New Roman"/>
                <w:sz w:val="11"/>
                <w:szCs w:val="11"/>
                <w:color w:val="0000EE"/>
              </w:rPr>
              <w:t>More than One Owner</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32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680" w:type="dxa"/>
            <w:vAlign w:val="bottom"/>
          </w:tcPr>
          <w:p>
            <w:pPr>
              <w:spacing w:after="0"/>
              <w:rPr>
                <w:sz w:val="3"/>
                <w:szCs w:val="3"/>
                <w:color w:val="auto"/>
              </w:rPr>
            </w:pPr>
          </w:p>
        </w:tc>
        <w:tc>
          <w:tcPr>
            <w:tcW w:w="3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40" w:type="dxa"/>
            <w:vAlign w:val="bottom"/>
            <w:shd w:val="clear" w:color="auto" w:fill="F0FFFF"/>
          </w:tcPr>
          <w:p>
            <w:pPr>
              <w:spacing w:after="0"/>
              <w:rPr>
                <w:sz w:val="10"/>
                <w:szCs w:val="10"/>
                <w:color w:val="auto"/>
              </w:rPr>
            </w:pPr>
          </w:p>
        </w:tc>
        <w:tc>
          <w:tcPr>
            <w:tcW w:w="6080" w:type="dxa"/>
            <w:vAlign w:val="bottom"/>
            <w:gridSpan w:val="28"/>
            <w:shd w:val="clear" w:color="auto" w:fill="F0FFFF"/>
          </w:tcPr>
          <w:p>
            <w:pPr>
              <w:spacing w:after="0" w:line="124" w:lineRule="exact"/>
              <w:rPr>
                <w:sz w:val="20"/>
                <w:szCs w:val="20"/>
                <w:color w:val="auto"/>
              </w:rPr>
            </w:pPr>
            <w:r>
              <w:rPr>
                <w:rFonts w:ascii="Times New Roman" w:cs="Times New Roman" w:eastAsia="Times New Roman" w:hAnsi="Times New Roman"/>
                <w:sz w:val="14"/>
                <w:szCs w:val="14"/>
                <w:color w:val="0000EE"/>
              </w:rPr>
              <w:t>Beneficiary</w:t>
            </w:r>
          </w:p>
        </w:tc>
        <w:tc>
          <w:tcPr>
            <w:tcW w:w="32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40" w:type="dxa"/>
            <w:vAlign w:val="bottom"/>
            <w:tcBorders>
              <w:top w:val="single" w:sz="8" w:color="F0FFFF"/>
              <w:bottom w:val="single" w:sz="8" w:color="F0FFFF"/>
            </w:tcBorders>
            <w:shd w:val="clear" w:color="auto" w:fill="F0FFFF"/>
          </w:tcPr>
          <w:p>
            <w:pPr>
              <w:spacing w:after="0"/>
              <w:rPr>
                <w:sz w:val="3"/>
                <w:szCs w:val="3"/>
                <w:color w:val="auto"/>
              </w:rPr>
            </w:pPr>
          </w:p>
        </w:tc>
        <w:tc>
          <w:tcPr>
            <w:tcW w:w="320" w:type="dxa"/>
            <w:vAlign w:val="bottom"/>
            <w:tcBorders>
              <w:top w:val="single" w:sz="8" w:color="0000EE"/>
              <w:bottom w:val="single" w:sz="8" w:color="F0FFFF"/>
            </w:tcBorders>
            <w:shd w:val="clear" w:color="auto" w:fill="F0FFFF"/>
          </w:tcPr>
          <w:p>
            <w:pPr>
              <w:spacing w:after="0"/>
              <w:rPr>
                <w:sz w:val="3"/>
                <w:szCs w:val="3"/>
                <w:color w:val="auto"/>
              </w:rPr>
            </w:pPr>
          </w:p>
        </w:tc>
        <w:tc>
          <w:tcPr>
            <w:tcW w:w="6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120" w:type="dxa"/>
            <w:vAlign w:val="bottom"/>
            <w:tcBorders>
              <w:top w:val="single" w:sz="8" w:color="0000EE"/>
              <w:bottom w:val="single" w:sz="8" w:color="F0FFFF"/>
              <w:right w:val="single" w:sz="8" w:color="F0FFFF"/>
            </w:tcBorders>
            <w:shd w:val="clear" w:color="auto" w:fill="F0FFFF"/>
          </w:tcPr>
          <w:p>
            <w:pPr>
              <w:spacing w:after="0"/>
              <w:rPr>
                <w:sz w:val="3"/>
                <w:szCs w:val="3"/>
                <w:color w:val="auto"/>
              </w:rPr>
            </w:pPr>
          </w:p>
        </w:tc>
        <w:tc>
          <w:tcPr>
            <w:tcW w:w="8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320" w:type="dxa"/>
            <w:vAlign w:val="bottom"/>
            <w:tcBorders>
              <w:top w:val="single" w:sz="8" w:color="F0FFFF"/>
              <w:bottom w:val="single" w:sz="8" w:color="F0FFFF"/>
            </w:tcBorders>
            <w:shd w:val="clear" w:color="auto" w:fill="F0FFFF"/>
          </w:tcPr>
          <w:p>
            <w:pPr>
              <w:spacing w:after="0"/>
              <w:rPr>
                <w:sz w:val="3"/>
                <w:szCs w:val="3"/>
                <w:color w:val="auto"/>
              </w:rPr>
            </w:pPr>
          </w:p>
        </w:tc>
        <w:tc>
          <w:tcPr>
            <w:tcW w:w="16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8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40" w:type="dxa"/>
            <w:vAlign w:val="bottom"/>
            <w:tcBorders>
              <w:top w:val="single" w:sz="8" w:color="F0FFFF"/>
              <w:bottom w:val="single" w:sz="8" w:color="F0FFFF"/>
            </w:tcBorders>
            <w:shd w:val="clear" w:color="auto" w:fill="F0FFFF"/>
          </w:tcPr>
          <w:p>
            <w:pPr>
              <w:spacing w:after="0"/>
              <w:rPr>
                <w:sz w:val="3"/>
                <w:szCs w:val="3"/>
                <w:color w:val="auto"/>
              </w:rPr>
            </w:pPr>
          </w:p>
        </w:tc>
        <w:tc>
          <w:tcPr>
            <w:tcW w:w="8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120" w:type="dxa"/>
            <w:vAlign w:val="bottom"/>
            <w:tcBorders>
              <w:top w:val="single" w:sz="8" w:color="F0FFFF"/>
              <w:bottom w:val="single" w:sz="8" w:color="F0FFFF"/>
            </w:tcBorders>
            <w:shd w:val="clear" w:color="auto" w:fill="F0FFFF"/>
          </w:tcPr>
          <w:p>
            <w:pPr>
              <w:spacing w:after="0"/>
              <w:rPr>
                <w:sz w:val="3"/>
                <w:szCs w:val="3"/>
                <w:color w:val="auto"/>
              </w:rPr>
            </w:pPr>
          </w:p>
        </w:tc>
        <w:tc>
          <w:tcPr>
            <w:tcW w:w="160" w:type="dxa"/>
            <w:vAlign w:val="bottom"/>
            <w:tcBorders>
              <w:top w:val="single" w:sz="8" w:color="F0FFFF"/>
              <w:bottom w:val="single" w:sz="8" w:color="F0FFFF"/>
              <w:right w:val="single" w:sz="8" w:color="F0FFFF"/>
            </w:tcBorders>
            <w:shd w:val="clear" w:color="auto" w:fill="F0FFFF"/>
          </w:tcPr>
          <w:p>
            <w:pPr>
              <w:spacing w:after="0"/>
              <w:rPr>
                <w:sz w:val="3"/>
                <w:szCs w:val="3"/>
                <w:color w:val="auto"/>
              </w:rPr>
            </w:pPr>
          </w:p>
        </w:tc>
        <w:tc>
          <w:tcPr>
            <w:tcW w:w="160" w:type="dxa"/>
            <w:vAlign w:val="bottom"/>
            <w:tcBorders>
              <w:top w:val="single" w:sz="8" w:color="F0FFFF"/>
              <w:bottom w:val="single" w:sz="8" w:color="F0FFFF"/>
            </w:tcBorders>
            <w:shd w:val="clear" w:color="auto" w:fill="F0FFFF"/>
          </w:tcPr>
          <w:p>
            <w:pPr>
              <w:spacing w:after="0"/>
              <w:rPr>
                <w:sz w:val="3"/>
                <w:szCs w:val="3"/>
                <w:color w:val="auto"/>
              </w:rPr>
            </w:pPr>
          </w:p>
        </w:tc>
        <w:tc>
          <w:tcPr>
            <w:tcW w:w="640" w:type="dxa"/>
            <w:vAlign w:val="bottom"/>
            <w:tcBorders>
              <w:top w:val="single" w:sz="8" w:color="F0FFFF"/>
              <w:bottom w:val="single" w:sz="8" w:color="F0FFFF"/>
            </w:tcBorders>
            <w:shd w:val="clear" w:color="auto" w:fill="F0FFFF"/>
          </w:tcPr>
          <w:p>
            <w:pPr>
              <w:spacing w:after="0"/>
              <w:rPr>
                <w:sz w:val="3"/>
                <w:szCs w:val="3"/>
                <w:color w:val="auto"/>
              </w:rPr>
            </w:pPr>
          </w:p>
        </w:tc>
        <w:tc>
          <w:tcPr>
            <w:tcW w:w="160" w:type="dxa"/>
            <w:vAlign w:val="bottom"/>
            <w:tcBorders>
              <w:top w:val="single" w:sz="8" w:color="F0FFFF"/>
              <w:bottom w:val="single" w:sz="8" w:color="F0FFFF"/>
            </w:tcBorders>
            <w:shd w:val="clear" w:color="auto" w:fill="F0FFFF"/>
          </w:tcPr>
          <w:p>
            <w:pPr>
              <w:spacing w:after="0"/>
              <w:rPr>
                <w:sz w:val="3"/>
                <w:szCs w:val="3"/>
                <w:color w:val="auto"/>
              </w:rPr>
            </w:pPr>
          </w:p>
        </w:tc>
        <w:tc>
          <w:tcPr>
            <w:tcW w:w="14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60" w:type="dxa"/>
            <w:vAlign w:val="bottom"/>
            <w:tcBorders>
              <w:top w:val="single" w:sz="8" w:color="F0FFFF"/>
              <w:bottom w:val="single" w:sz="8" w:color="F0FFFF"/>
            </w:tcBorders>
            <w:shd w:val="clear" w:color="auto" w:fill="F0FFFF"/>
          </w:tcPr>
          <w:p>
            <w:pPr>
              <w:spacing w:after="0"/>
              <w:rPr>
                <w:sz w:val="3"/>
                <w:szCs w:val="3"/>
                <w:color w:val="auto"/>
              </w:rPr>
            </w:pPr>
          </w:p>
        </w:tc>
        <w:tc>
          <w:tcPr>
            <w:tcW w:w="80" w:type="dxa"/>
            <w:vAlign w:val="bottom"/>
            <w:tcBorders>
              <w:top w:val="single" w:sz="8" w:color="F0FFFF"/>
              <w:bottom w:val="single" w:sz="8" w:color="F0FFFF"/>
            </w:tcBorders>
            <w:shd w:val="clear" w:color="auto" w:fill="F0FFFF"/>
          </w:tcPr>
          <w:p>
            <w:pPr>
              <w:spacing w:after="0"/>
              <w:rPr>
                <w:sz w:val="3"/>
                <w:szCs w:val="3"/>
                <w:color w:val="auto"/>
              </w:rPr>
            </w:pPr>
          </w:p>
        </w:tc>
        <w:tc>
          <w:tcPr>
            <w:tcW w:w="60" w:type="dxa"/>
            <w:vAlign w:val="bottom"/>
            <w:tcBorders>
              <w:top w:val="single" w:sz="8" w:color="F0FFFF"/>
              <w:bottom w:val="single" w:sz="8" w:color="F0FFFF"/>
            </w:tcBorders>
            <w:shd w:val="clear" w:color="auto" w:fill="F0FFFF"/>
          </w:tcPr>
          <w:p>
            <w:pPr>
              <w:spacing w:after="0"/>
              <w:rPr>
                <w:sz w:val="3"/>
                <w:szCs w:val="3"/>
                <w:color w:val="auto"/>
              </w:rPr>
            </w:pPr>
          </w:p>
        </w:tc>
        <w:tc>
          <w:tcPr>
            <w:tcW w:w="400" w:type="dxa"/>
            <w:vAlign w:val="bottom"/>
            <w:tcBorders>
              <w:top w:val="single" w:sz="8" w:color="F0FFFF"/>
              <w:bottom w:val="single" w:sz="8" w:color="F0FFFF"/>
            </w:tcBorders>
            <w:shd w:val="clear" w:color="auto" w:fill="F0FFFF"/>
          </w:tcPr>
          <w:p>
            <w:pPr>
              <w:spacing w:after="0"/>
              <w:rPr>
                <w:sz w:val="3"/>
                <w:szCs w:val="3"/>
                <w:color w:val="auto"/>
              </w:rPr>
            </w:pPr>
          </w:p>
        </w:tc>
        <w:tc>
          <w:tcPr>
            <w:tcW w:w="2680" w:type="dxa"/>
            <w:vAlign w:val="bottom"/>
            <w:tcBorders>
              <w:top w:val="single" w:sz="8" w:color="F0FFFF"/>
              <w:bottom w:val="single" w:sz="8" w:color="F0FFFF"/>
            </w:tcBorders>
            <w:shd w:val="clear" w:color="auto" w:fill="F0FFFF"/>
          </w:tcPr>
          <w:p>
            <w:pPr>
              <w:spacing w:after="0"/>
              <w:rPr>
                <w:sz w:val="3"/>
                <w:szCs w:val="3"/>
                <w:color w:val="auto"/>
              </w:rPr>
            </w:pPr>
          </w:p>
        </w:tc>
        <w:tc>
          <w:tcPr>
            <w:tcW w:w="320" w:type="dxa"/>
            <w:vAlign w:val="bottom"/>
            <w:tcBorders>
              <w:top w:val="single" w:sz="8" w:color="F0FFFF"/>
              <w:bottom w:val="single" w:sz="8" w:color="F0FFFF"/>
            </w:tcBorders>
            <w:vMerge w:val="continue"/>
            <w:shd w:val="clear" w:color="auto" w:fill="F0FFFF"/>
          </w:tcPr>
          <w:p>
            <w:pPr>
              <w:spacing w:after="0"/>
              <w:rPr>
                <w:sz w:val="3"/>
                <w:szCs w:val="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80" w:type="dxa"/>
            <w:vAlign w:val="bottom"/>
            <w:gridSpan w:val="28"/>
          </w:tcPr>
          <w:p>
            <w:pPr>
              <w:spacing w:after="0" w:line="104" w:lineRule="exact"/>
              <w:rPr>
                <w:sz w:val="20"/>
                <w:szCs w:val="20"/>
                <w:color w:val="auto"/>
              </w:rPr>
            </w:pPr>
            <w:r>
              <w:rPr>
                <w:rFonts w:ascii="Times New Roman" w:cs="Times New Roman" w:eastAsia="Times New Roman" w:hAnsi="Times New Roman"/>
                <w:sz w:val="11"/>
                <w:szCs w:val="11"/>
                <w:color w:val="0000EE"/>
              </w:rPr>
              <w:t>Assignment</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3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680" w:type="dxa"/>
            <w:vAlign w:val="bottom"/>
          </w:tcPr>
          <w:p>
            <w:pPr>
              <w:spacing w:after="0"/>
              <w:rPr>
                <w:sz w:val="3"/>
                <w:szCs w:val="3"/>
                <w:color w:val="auto"/>
              </w:rPr>
            </w:pPr>
          </w:p>
        </w:tc>
        <w:tc>
          <w:tcPr>
            <w:tcW w:w="3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320" w:type="dxa"/>
            <w:vAlign w:val="bottom"/>
            <w:gridSpan w:val="29"/>
            <w:shd w:val="clear" w:color="auto" w:fill="F0FFFF"/>
          </w:tcPr>
          <w:p>
            <w:pPr>
              <w:spacing w:after="0" w:line="124" w:lineRule="exact"/>
              <w:rPr>
                <w:sz w:val="20"/>
                <w:szCs w:val="20"/>
                <w:color w:val="auto"/>
              </w:rPr>
            </w:pPr>
            <w:r>
              <w:rPr>
                <w:rFonts w:ascii="Times New Roman" w:cs="Times New Roman" w:eastAsia="Times New Roman" w:hAnsi="Times New Roman"/>
                <w:sz w:val="14"/>
                <w:szCs w:val="14"/>
                <w:color w:val="0000EE"/>
              </w:rPr>
              <w:t>SUSPENSION OF PAYMENT OR TRANSFERS</w:t>
            </w:r>
          </w:p>
        </w:tc>
        <w:tc>
          <w:tcPr>
            <w:tcW w:w="32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0" w:type="dxa"/>
            <w:vAlign w:val="bottom"/>
          </w:tcPr>
          <w:p>
            <w:pPr>
              <w:spacing w:after="0"/>
              <w:rPr>
                <w:sz w:val="1"/>
                <w:szCs w:val="1"/>
                <w:color w:val="auto"/>
              </w:rPr>
            </w:pPr>
          </w:p>
        </w:tc>
      </w:tr>
      <w:tr>
        <w:trPr>
          <w:trHeight w:val="42"/>
        </w:trPr>
        <w:tc>
          <w:tcPr>
            <w:tcW w:w="20" w:type="dxa"/>
            <w:vAlign w:val="bottom"/>
            <w:tcBorders>
              <w:top w:val="single" w:sz="8" w:color="0000EE"/>
            </w:tcBorders>
          </w:tcPr>
          <w:p>
            <w:pPr>
              <w:spacing w:after="0"/>
              <w:rPr>
                <w:sz w:val="3"/>
                <w:szCs w:val="3"/>
                <w:color w:val="auto"/>
              </w:rPr>
            </w:pPr>
          </w:p>
        </w:tc>
        <w:tc>
          <w:tcPr>
            <w:tcW w:w="240" w:type="dxa"/>
            <w:vAlign w:val="bottom"/>
            <w:tcBorders>
              <w:top w:val="single" w:sz="8" w:color="0000EE"/>
              <w:bottom w:val="single" w:sz="8" w:color="F0FFFF"/>
            </w:tcBorders>
            <w:shd w:val="clear" w:color="auto" w:fill="F0FFFF"/>
          </w:tcPr>
          <w:p>
            <w:pPr>
              <w:spacing w:after="0"/>
              <w:rPr>
                <w:sz w:val="3"/>
                <w:szCs w:val="3"/>
                <w:color w:val="auto"/>
              </w:rPr>
            </w:pPr>
          </w:p>
        </w:tc>
        <w:tc>
          <w:tcPr>
            <w:tcW w:w="320" w:type="dxa"/>
            <w:vAlign w:val="bottom"/>
            <w:tcBorders>
              <w:top w:val="single" w:sz="8" w:color="0000EE"/>
              <w:bottom w:val="single" w:sz="8" w:color="F0FFFF"/>
            </w:tcBorders>
            <w:shd w:val="clear" w:color="auto" w:fill="F0FFFF"/>
          </w:tcPr>
          <w:p>
            <w:pPr>
              <w:spacing w:after="0"/>
              <w:rPr>
                <w:sz w:val="3"/>
                <w:szCs w:val="3"/>
                <w:color w:val="auto"/>
              </w:rPr>
            </w:pPr>
          </w:p>
        </w:tc>
        <w:tc>
          <w:tcPr>
            <w:tcW w:w="6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120" w:type="dxa"/>
            <w:vAlign w:val="bottom"/>
            <w:tcBorders>
              <w:top w:val="single" w:sz="8" w:color="0000EE"/>
              <w:bottom w:val="single" w:sz="8" w:color="F0FFFF"/>
              <w:right w:val="single" w:sz="8" w:color="F0FFFF"/>
            </w:tcBorders>
            <w:shd w:val="clear" w:color="auto" w:fill="F0FFFF"/>
          </w:tcPr>
          <w:p>
            <w:pPr>
              <w:spacing w:after="0"/>
              <w:rPr>
                <w:sz w:val="3"/>
                <w:szCs w:val="3"/>
                <w:color w:val="auto"/>
              </w:rPr>
            </w:pPr>
          </w:p>
        </w:tc>
        <w:tc>
          <w:tcPr>
            <w:tcW w:w="8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320" w:type="dxa"/>
            <w:vAlign w:val="bottom"/>
            <w:tcBorders>
              <w:top w:val="single" w:sz="8" w:color="0000EE"/>
              <w:bottom w:val="single" w:sz="8" w:color="F0FFFF"/>
            </w:tcBorders>
            <w:shd w:val="clear" w:color="auto" w:fill="F0FFFF"/>
          </w:tcPr>
          <w:p>
            <w:pPr>
              <w:spacing w:after="0"/>
              <w:rPr>
                <w:sz w:val="3"/>
                <w:szCs w:val="3"/>
                <w:color w:val="auto"/>
              </w:rPr>
            </w:pPr>
          </w:p>
        </w:tc>
        <w:tc>
          <w:tcPr>
            <w:tcW w:w="16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8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40" w:type="dxa"/>
            <w:vAlign w:val="bottom"/>
            <w:tcBorders>
              <w:top w:val="single" w:sz="8" w:color="0000EE"/>
              <w:bottom w:val="single" w:sz="8" w:color="F0FFFF"/>
            </w:tcBorders>
            <w:shd w:val="clear" w:color="auto" w:fill="F0FFFF"/>
          </w:tcPr>
          <w:p>
            <w:pPr>
              <w:spacing w:after="0"/>
              <w:rPr>
                <w:sz w:val="3"/>
                <w:szCs w:val="3"/>
                <w:color w:val="auto"/>
              </w:rPr>
            </w:pPr>
          </w:p>
        </w:tc>
        <w:tc>
          <w:tcPr>
            <w:tcW w:w="8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120" w:type="dxa"/>
            <w:vAlign w:val="bottom"/>
            <w:tcBorders>
              <w:top w:val="single" w:sz="8" w:color="0000EE"/>
              <w:bottom w:val="single" w:sz="8" w:color="F0FFFF"/>
            </w:tcBorders>
            <w:shd w:val="clear" w:color="auto" w:fill="F0FFFF"/>
          </w:tcPr>
          <w:p>
            <w:pPr>
              <w:spacing w:after="0"/>
              <w:rPr>
                <w:sz w:val="3"/>
                <w:szCs w:val="3"/>
                <w:color w:val="auto"/>
              </w:rPr>
            </w:pPr>
          </w:p>
        </w:tc>
        <w:tc>
          <w:tcPr>
            <w:tcW w:w="160" w:type="dxa"/>
            <w:vAlign w:val="bottom"/>
            <w:tcBorders>
              <w:top w:val="single" w:sz="8" w:color="0000EE"/>
              <w:bottom w:val="single" w:sz="8" w:color="F0FFFF"/>
              <w:right w:val="single" w:sz="8" w:color="F0FFFF"/>
            </w:tcBorders>
            <w:shd w:val="clear" w:color="auto" w:fill="F0FFFF"/>
          </w:tcPr>
          <w:p>
            <w:pPr>
              <w:spacing w:after="0"/>
              <w:rPr>
                <w:sz w:val="3"/>
                <w:szCs w:val="3"/>
                <w:color w:val="auto"/>
              </w:rPr>
            </w:pPr>
          </w:p>
        </w:tc>
        <w:tc>
          <w:tcPr>
            <w:tcW w:w="160" w:type="dxa"/>
            <w:vAlign w:val="bottom"/>
            <w:tcBorders>
              <w:top w:val="single" w:sz="8" w:color="0000EE"/>
              <w:bottom w:val="single" w:sz="8" w:color="F0FFFF"/>
            </w:tcBorders>
            <w:shd w:val="clear" w:color="auto" w:fill="F0FFFF"/>
          </w:tcPr>
          <w:p>
            <w:pPr>
              <w:spacing w:after="0"/>
              <w:rPr>
                <w:sz w:val="3"/>
                <w:szCs w:val="3"/>
                <w:color w:val="auto"/>
              </w:rPr>
            </w:pPr>
          </w:p>
        </w:tc>
        <w:tc>
          <w:tcPr>
            <w:tcW w:w="640" w:type="dxa"/>
            <w:vAlign w:val="bottom"/>
            <w:tcBorders>
              <w:top w:val="single" w:sz="8" w:color="0000EE"/>
              <w:bottom w:val="single" w:sz="8" w:color="F0FFFF"/>
            </w:tcBorders>
            <w:shd w:val="clear" w:color="auto" w:fill="F0FFFF"/>
          </w:tcPr>
          <w:p>
            <w:pPr>
              <w:spacing w:after="0"/>
              <w:rPr>
                <w:sz w:val="3"/>
                <w:szCs w:val="3"/>
                <w:color w:val="auto"/>
              </w:rPr>
            </w:pPr>
          </w:p>
        </w:tc>
        <w:tc>
          <w:tcPr>
            <w:tcW w:w="160" w:type="dxa"/>
            <w:vAlign w:val="bottom"/>
            <w:tcBorders>
              <w:top w:val="single" w:sz="8" w:color="F0FFFF"/>
              <w:bottom w:val="single" w:sz="8" w:color="F0FFFF"/>
            </w:tcBorders>
            <w:shd w:val="clear" w:color="auto" w:fill="F0FFFF"/>
          </w:tcPr>
          <w:p>
            <w:pPr>
              <w:spacing w:after="0"/>
              <w:rPr>
                <w:sz w:val="3"/>
                <w:szCs w:val="3"/>
                <w:color w:val="auto"/>
              </w:rPr>
            </w:pPr>
          </w:p>
        </w:tc>
        <w:tc>
          <w:tcPr>
            <w:tcW w:w="14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60" w:type="dxa"/>
            <w:vAlign w:val="bottom"/>
            <w:tcBorders>
              <w:top w:val="single" w:sz="8" w:color="F0FFFF"/>
              <w:bottom w:val="single" w:sz="8" w:color="F0FFFF"/>
            </w:tcBorders>
            <w:shd w:val="clear" w:color="auto" w:fill="F0FFFF"/>
          </w:tcPr>
          <w:p>
            <w:pPr>
              <w:spacing w:after="0"/>
              <w:rPr>
                <w:sz w:val="3"/>
                <w:szCs w:val="3"/>
                <w:color w:val="auto"/>
              </w:rPr>
            </w:pPr>
          </w:p>
        </w:tc>
        <w:tc>
          <w:tcPr>
            <w:tcW w:w="80" w:type="dxa"/>
            <w:vAlign w:val="bottom"/>
            <w:tcBorders>
              <w:top w:val="single" w:sz="8" w:color="F0FFFF"/>
              <w:bottom w:val="single" w:sz="8" w:color="F0FFFF"/>
            </w:tcBorders>
            <w:shd w:val="clear" w:color="auto" w:fill="F0FFFF"/>
          </w:tcPr>
          <w:p>
            <w:pPr>
              <w:spacing w:after="0"/>
              <w:rPr>
                <w:sz w:val="3"/>
                <w:szCs w:val="3"/>
                <w:color w:val="auto"/>
              </w:rPr>
            </w:pPr>
          </w:p>
        </w:tc>
        <w:tc>
          <w:tcPr>
            <w:tcW w:w="60" w:type="dxa"/>
            <w:vAlign w:val="bottom"/>
            <w:tcBorders>
              <w:top w:val="single" w:sz="8" w:color="F0FFFF"/>
              <w:bottom w:val="single" w:sz="8" w:color="F0FFFF"/>
            </w:tcBorders>
            <w:shd w:val="clear" w:color="auto" w:fill="F0FFFF"/>
          </w:tcPr>
          <w:p>
            <w:pPr>
              <w:spacing w:after="0"/>
              <w:rPr>
                <w:sz w:val="3"/>
                <w:szCs w:val="3"/>
                <w:color w:val="auto"/>
              </w:rPr>
            </w:pPr>
          </w:p>
        </w:tc>
        <w:tc>
          <w:tcPr>
            <w:tcW w:w="400" w:type="dxa"/>
            <w:vAlign w:val="bottom"/>
            <w:tcBorders>
              <w:top w:val="single" w:sz="8" w:color="F0FFFF"/>
              <w:bottom w:val="single" w:sz="8" w:color="F0FFFF"/>
            </w:tcBorders>
            <w:shd w:val="clear" w:color="auto" w:fill="F0FFFF"/>
          </w:tcPr>
          <w:p>
            <w:pPr>
              <w:spacing w:after="0"/>
              <w:rPr>
                <w:sz w:val="3"/>
                <w:szCs w:val="3"/>
                <w:color w:val="auto"/>
              </w:rPr>
            </w:pPr>
          </w:p>
        </w:tc>
        <w:tc>
          <w:tcPr>
            <w:tcW w:w="2680" w:type="dxa"/>
            <w:vAlign w:val="bottom"/>
            <w:tcBorders>
              <w:top w:val="single" w:sz="8" w:color="F0FFFF"/>
              <w:bottom w:val="single" w:sz="8" w:color="F0FFFF"/>
            </w:tcBorders>
            <w:shd w:val="clear" w:color="auto" w:fill="F0FFFF"/>
          </w:tcPr>
          <w:p>
            <w:pPr>
              <w:spacing w:after="0"/>
              <w:rPr>
                <w:sz w:val="3"/>
                <w:szCs w:val="3"/>
                <w:color w:val="auto"/>
              </w:rPr>
            </w:pPr>
          </w:p>
        </w:tc>
        <w:tc>
          <w:tcPr>
            <w:tcW w:w="320" w:type="dxa"/>
            <w:vAlign w:val="bottom"/>
            <w:tcBorders>
              <w:top w:val="single" w:sz="8" w:color="F0FFFF"/>
              <w:bottom w:val="single" w:sz="8" w:color="F0FFFF"/>
            </w:tcBorders>
            <w:vMerge w:val="continue"/>
            <w:shd w:val="clear" w:color="auto" w:fill="F0FFFF"/>
          </w:tcPr>
          <w:p>
            <w:pPr>
              <w:spacing w:after="0"/>
              <w:rPr>
                <w:sz w:val="3"/>
                <w:szCs w:val="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320" w:type="dxa"/>
            <w:vAlign w:val="bottom"/>
            <w:gridSpan w:val="29"/>
          </w:tcPr>
          <w:p>
            <w:pPr>
              <w:spacing w:after="0" w:line="104" w:lineRule="exact"/>
              <w:rPr>
                <w:sz w:val="20"/>
                <w:szCs w:val="20"/>
                <w:color w:val="auto"/>
              </w:rPr>
            </w:pPr>
            <w:r>
              <w:rPr>
                <w:rFonts w:ascii="Times New Roman" w:cs="Times New Roman" w:eastAsia="Times New Roman" w:hAnsi="Times New Roman"/>
                <w:sz w:val="11"/>
                <w:szCs w:val="11"/>
                <w:color w:val="0000EE"/>
              </w:rPr>
              <w:t>THE INSURANCE COMPANY</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0" w:type="dxa"/>
            <w:vAlign w:val="bottom"/>
          </w:tcPr>
          <w:p>
            <w:pPr>
              <w:spacing w:after="0"/>
              <w:rPr>
                <w:sz w:val="1"/>
                <w:szCs w:val="1"/>
                <w:color w:val="auto"/>
              </w:rPr>
            </w:pPr>
          </w:p>
        </w:tc>
      </w:tr>
      <w:tr>
        <w:trPr>
          <w:trHeight w:val="42"/>
        </w:trPr>
        <w:tc>
          <w:tcPr>
            <w:tcW w:w="20" w:type="dxa"/>
            <w:vAlign w:val="bottom"/>
            <w:tcBorders>
              <w:top w:val="single" w:sz="8" w:color="0000EE"/>
            </w:tcBorders>
          </w:tcPr>
          <w:p>
            <w:pPr>
              <w:spacing w:after="0"/>
              <w:rPr>
                <w:sz w:val="3"/>
                <w:szCs w:val="3"/>
                <w:color w:val="auto"/>
              </w:rPr>
            </w:pPr>
          </w:p>
        </w:tc>
        <w:tc>
          <w:tcPr>
            <w:tcW w:w="240" w:type="dxa"/>
            <w:vAlign w:val="bottom"/>
            <w:tcBorders>
              <w:top w:val="single" w:sz="8" w:color="0000EE"/>
            </w:tcBorders>
          </w:tcPr>
          <w:p>
            <w:pPr>
              <w:spacing w:after="0"/>
              <w:rPr>
                <w:sz w:val="3"/>
                <w:szCs w:val="3"/>
                <w:color w:val="auto"/>
              </w:rPr>
            </w:pPr>
          </w:p>
        </w:tc>
        <w:tc>
          <w:tcPr>
            <w:tcW w:w="3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32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680" w:type="dxa"/>
            <w:vAlign w:val="bottom"/>
          </w:tcPr>
          <w:p>
            <w:pPr>
              <w:spacing w:after="0"/>
              <w:rPr>
                <w:sz w:val="3"/>
                <w:szCs w:val="3"/>
                <w:color w:val="auto"/>
              </w:rPr>
            </w:pPr>
          </w:p>
        </w:tc>
        <w:tc>
          <w:tcPr>
            <w:tcW w:w="3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40" w:type="dxa"/>
            <w:vAlign w:val="bottom"/>
            <w:shd w:val="clear" w:color="auto" w:fill="F0FFFF"/>
          </w:tcPr>
          <w:p>
            <w:pPr>
              <w:spacing w:after="0"/>
              <w:rPr>
                <w:sz w:val="10"/>
                <w:szCs w:val="10"/>
                <w:color w:val="auto"/>
              </w:rPr>
            </w:pPr>
          </w:p>
        </w:tc>
        <w:tc>
          <w:tcPr>
            <w:tcW w:w="6080" w:type="dxa"/>
            <w:vAlign w:val="bottom"/>
            <w:gridSpan w:val="28"/>
            <w:shd w:val="clear" w:color="auto" w:fill="F0FFFF"/>
          </w:tcPr>
          <w:p>
            <w:pPr>
              <w:spacing w:after="0" w:line="124" w:lineRule="exact"/>
              <w:rPr>
                <w:sz w:val="20"/>
                <w:szCs w:val="20"/>
                <w:color w:val="auto"/>
              </w:rPr>
            </w:pPr>
            <w:r>
              <w:rPr>
                <w:rFonts w:ascii="Times New Roman" w:cs="Times New Roman" w:eastAsia="Times New Roman" w:hAnsi="Times New Roman"/>
                <w:sz w:val="14"/>
                <w:szCs w:val="14"/>
                <w:color w:val="0000EE"/>
              </w:rPr>
              <w:t>Brighthouse Life Insurance Company (“BLIC”)</w:t>
            </w:r>
          </w:p>
        </w:tc>
        <w:tc>
          <w:tcPr>
            <w:tcW w:w="32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40" w:type="dxa"/>
            <w:vAlign w:val="bottom"/>
            <w:tcBorders>
              <w:top w:val="single" w:sz="8" w:color="F0FFFF"/>
              <w:bottom w:val="single" w:sz="8" w:color="F0FFFF"/>
            </w:tcBorders>
            <w:shd w:val="clear" w:color="auto" w:fill="F0FFFF"/>
          </w:tcPr>
          <w:p>
            <w:pPr>
              <w:spacing w:after="0"/>
              <w:rPr>
                <w:sz w:val="3"/>
                <w:szCs w:val="3"/>
                <w:color w:val="auto"/>
              </w:rPr>
            </w:pPr>
          </w:p>
        </w:tc>
        <w:tc>
          <w:tcPr>
            <w:tcW w:w="320" w:type="dxa"/>
            <w:vAlign w:val="bottom"/>
            <w:tcBorders>
              <w:top w:val="single" w:sz="8" w:color="0000EE"/>
              <w:bottom w:val="single" w:sz="8" w:color="F0FFFF"/>
            </w:tcBorders>
            <w:shd w:val="clear" w:color="auto" w:fill="F0FFFF"/>
          </w:tcPr>
          <w:p>
            <w:pPr>
              <w:spacing w:after="0"/>
              <w:rPr>
                <w:sz w:val="3"/>
                <w:szCs w:val="3"/>
                <w:color w:val="auto"/>
              </w:rPr>
            </w:pPr>
          </w:p>
        </w:tc>
        <w:tc>
          <w:tcPr>
            <w:tcW w:w="6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120" w:type="dxa"/>
            <w:vAlign w:val="bottom"/>
            <w:tcBorders>
              <w:top w:val="single" w:sz="8" w:color="0000EE"/>
              <w:bottom w:val="single" w:sz="8" w:color="F0FFFF"/>
              <w:right w:val="single" w:sz="8" w:color="F0FFFF"/>
            </w:tcBorders>
            <w:shd w:val="clear" w:color="auto" w:fill="F0FFFF"/>
          </w:tcPr>
          <w:p>
            <w:pPr>
              <w:spacing w:after="0"/>
              <w:rPr>
                <w:sz w:val="3"/>
                <w:szCs w:val="3"/>
                <w:color w:val="auto"/>
              </w:rPr>
            </w:pPr>
          </w:p>
        </w:tc>
        <w:tc>
          <w:tcPr>
            <w:tcW w:w="8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320" w:type="dxa"/>
            <w:vAlign w:val="bottom"/>
            <w:tcBorders>
              <w:top w:val="single" w:sz="8" w:color="0000EE"/>
              <w:bottom w:val="single" w:sz="8" w:color="F0FFFF"/>
            </w:tcBorders>
            <w:shd w:val="clear" w:color="auto" w:fill="F0FFFF"/>
          </w:tcPr>
          <w:p>
            <w:pPr>
              <w:spacing w:after="0"/>
              <w:rPr>
                <w:sz w:val="3"/>
                <w:szCs w:val="3"/>
                <w:color w:val="auto"/>
              </w:rPr>
            </w:pPr>
          </w:p>
        </w:tc>
        <w:tc>
          <w:tcPr>
            <w:tcW w:w="16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8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40" w:type="dxa"/>
            <w:vAlign w:val="bottom"/>
            <w:tcBorders>
              <w:top w:val="single" w:sz="8" w:color="0000EE"/>
              <w:bottom w:val="single" w:sz="8" w:color="F0FFFF"/>
            </w:tcBorders>
            <w:shd w:val="clear" w:color="auto" w:fill="F0FFFF"/>
          </w:tcPr>
          <w:p>
            <w:pPr>
              <w:spacing w:after="0"/>
              <w:rPr>
                <w:sz w:val="3"/>
                <w:szCs w:val="3"/>
                <w:color w:val="auto"/>
              </w:rPr>
            </w:pPr>
          </w:p>
        </w:tc>
        <w:tc>
          <w:tcPr>
            <w:tcW w:w="8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120" w:type="dxa"/>
            <w:vAlign w:val="bottom"/>
            <w:tcBorders>
              <w:top w:val="single" w:sz="8" w:color="0000EE"/>
              <w:bottom w:val="single" w:sz="8" w:color="F0FFFF"/>
            </w:tcBorders>
            <w:shd w:val="clear" w:color="auto" w:fill="F0FFFF"/>
          </w:tcPr>
          <w:p>
            <w:pPr>
              <w:spacing w:after="0"/>
              <w:rPr>
                <w:sz w:val="3"/>
                <w:szCs w:val="3"/>
                <w:color w:val="auto"/>
              </w:rPr>
            </w:pPr>
          </w:p>
        </w:tc>
        <w:tc>
          <w:tcPr>
            <w:tcW w:w="160" w:type="dxa"/>
            <w:vAlign w:val="bottom"/>
            <w:tcBorders>
              <w:top w:val="single" w:sz="8" w:color="0000EE"/>
              <w:bottom w:val="single" w:sz="8" w:color="F0FFFF"/>
              <w:right w:val="single" w:sz="8" w:color="F0FFFF"/>
            </w:tcBorders>
            <w:shd w:val="clear" w:color="auto" w:fill="F0FFFF"/>
          </w:tcPr>
          <w:p>
            <w:pPr>
              <w:spacing w:after="0"/>
              <w:rPr>
                <w:sz w:val="3"/>
                <w:szCs w:val="3"/>
                <w:color w:val="auto"/>
              </w:rPr>
            </w:pPr>
          </w:p>
        </w:tc>
        <w:tc>
          <w:tcPr>
            <w:tcW w:w="160" w:type="dxa"/>
            <w:vAlign w:val="bottom"/>
            <w:tcBorders>
              <w:top w:val="single" w:sz="8" w:color="0000EE"/>
              <w:bottom w:val="single" w:sz="8" w:color="F0FFFF"/>
            </w:tcBorders>
            <w:shd w:val="clear" w:color="auto" w:fill="F0FFFF"/>
          </w:tcPr>
          <w:p>
            <w:pPr>
              <w:spacing w:after="0"/>
              <w:rPr>
                <w:sz w:val="3"/>
                <w:szCs w:val="3"/>
                <w:color w:val="auto"/>
              </w:rPr>
            </w:pPr>
          </w:p>
        </w:tc>
        <w:tc>
          <w:tcPr>
            <w:tcW w:w="640" w:type="dxa"/>
            <w:vAlign w:val="bottom"/>
            <w:tcBorders>
              <w:top w:val="single" w:sz="8" w:color="0000EE"/>
              <w:bottom w:val="single" w:sz="8" w:color="F0FFFF"/>
            </w:tcBorders>
            <w:shd w:val="clear" w:color="auto" w:fill="F0FFFF"/>
          </w:tcPr>
          <w:p>
            <w:pPr>
              <w:spacing w:after="0"/>
              <w:rPr>
                <w:sz w:val="3"/>
                <w:szCs w:val="3"/>
                <w:color w:val="auto"/>
              </w:rPr>
            </w:pPr>
          </w:p>
        </w:tc>
        <w:tc>
          <w:tcPr>
            <w:tcW w:w="160" w:type="dxa"/>
            <w:vAlign w:val="bottom"/>
            <w:tcBorders>
              <w:top w:val="single" w:sz="8" w:color="0000EE"/>
              <w:bottom w:val="single" w:sz="8" w:color="F0FFFF"/>
            </w:tcBorders>
            <w:shd w:val="clear" w:color="auto" w:fill="F0FFFF"/>
          </w:tcPr>
          <w:p>
            <w:pPr>
              <w:spacing w:after="0"/>
              <w:rPr>
                <w:sz w:val="3"/>
                <w:szCs w:val="3"/>
                <w:color w:val="auto"/>
              </w:rPr>
            </w:pPr>
          </w:p>
        </w:tc>
        <w:tc>
          <w:tcPr>
            <w:tcW w:w="14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60" w:type="dxa"/>
            <w:vAlign w:val="bottom"/>
            <w:tcBorders>
              <w:top w:val="single" w:sz="8" w:color="F0FFFF"/>
              <w:bottom w:val="single" w:sz="8" w:color="F0FFFF"/>
            </w:tcBorders>
            <w:shd w:val="clear" w:color="auto" w:fill="F0FFFF"/>
          </w:tcPr>
          <w:p>
            <w:pPr>
              <w:spacing w:after="0"/>
              <w:rPr>
                <w:sz w:val="3"/>
                <w:szCs w:val="3"/>
                <w:color w:val="auto"/>
              </w:rPr>
            </w:pPr>
          </w:p>
        </w:tc>
        <w:tc>
          <w:tcPr>
            <w:tcW w:w="80" w:type="dxa"/>
            <w:vAlign w:val="bottom"/>
            <w:tcBorders>
              <w:top w:val="single" w:sz="8" w:color="F0FFFF"/>
              <w:bottom w:val="single" w:sz="8" w:color="F0FFFF"/>
            </w:tcBorders>
            <w:shd w:val="clear" w:color="auto" w:fill="F0FFFF"/>
          </w:tcPr>
          <w:p>
            <w:pPr>
              <w:spacing w:after="0"/>
              <w:rPr>
                <w:sz w:val="3"/>
                <w:szCs w:val="3"/>
                <w:color w:val="auto"/>
              </w:rPr>
            </w:pPr>
          </w:p>
        </w:tc>
        <w:tc>
          <w:tcPr>
            <w:tcW w:w="60" w:type="dxa"/>
            <w:vAlign w:val="bottom"/>
            <w:tcBorders>
              <w:top w:val="single" w:sz="8" w:color="F0FFFF"/>
              <w:bottom w:val="single" w:sz="8" w:color="F0FFFF"/>
            </w:tcBorders>
            <w:shd w:val="clear" w:color="auto" w:fill="F0FFFF"/>
          </w:tcPr>
          <w:p>
            <w:pPr>
              <w:spacing w:after="0"/>
              <w:rPr>
                <w:sz w:val="3"/>
                <w:szCs w:val="3"/>
                <w:color w:val="auto"/>
              </w:rPr>
            </w:pPr>
          </w:p>
        </w:tc>
        <w:tc>
          <w:tcPr>
            <w:tcW w:w="400" w:type="dxa"/>
            <w:vAlign w:val="bottom"/>
            <w:tcBorders>
              <w:top w:val="single" w:sz="8" w:color="F0FFFF"/>
              <w:bottom w:val="single" w:sz="8" w:color="F0FFFF"/>
            </w:tcBorders>
            <w:shd w:val="clear" w:color="auto" w:fill="F0FFFF"/>
          </w:tcPr>
          <w:p>
            <w:pPr>
              <w:spacing w:after="0"/>
              <w:rPr>
                <w:sz w:val="3"/>
                <w:szCs w:val="3"/>
                <w:color w:val="auto"/>
              </w:rPr>
            </w:pPr>
          </w:p>
        </w:tc>
        <w:tc>
          <w:tcPr>
            <w:tcW w:w="2680" w:type="dxa"/>
            <w:vAlign w:val="bottom"/>
            <w:tcBorders>
              <w:top w:val="single" w:sz="8" w:color="F0FFFF"/>
              <w:bottom w:val="single" w:sz="8" w:color="F0FFFF"/>
            </w:tcBorders>
            <w:shd w:val="clear" w:color="auto" w:fill="F0FFFF"/>
          </w:tcPr>
          <w:p>
            <w:pPr>
              <w:spacing w:after="0"/>
              <w:rPr>
                <w:sz w:val="3"/>
                <w:szCs w:val="3"/>
                <w:color w:val="auto"/>
              </w:rPr>
            </w:pPr>
          </w:p>
        </w:tc>
        <w:tc>
          <w:tcPr>
            <w:tcW w:w="320" w:type="dxa"/>
            <w:vAlign w:val="bottom"/>
            <w:tcBorders>
              <w:top w:val="single" w:sz="8" w:color="F0FFFF"/>
              <w:bottom w:val="single" w:sz="8" w:color="F0FFFF"/>
            </w:tcBorders>
            <w:vMerge w:val="continue"/>
            <w:shd w:val="clear" w:color="auto" w:fill="F0FFFF"/>
          </w:tcPr>
          <w:p>
            <w:pPr>
              <w:spacing w:after="0"/>
              <w:rPr>
                <w:sz w:val="3"/>
                <w:szCs w:val="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320" w:type="dxa"/>
            <w:vAlign w:val="bottom"/>
            <w:gridSpan w:val="29"/>
          </w:tcPr>
          <w:p>
            <w:pPr>
              <w:spacing w:after="0" w:line="104" w:lineRule="exact"/>
              <w:rPr>
                <w:sz w:val="20"/>
                <w:szCs w:val="20"/>
                <w:color w:val="auto"/>
              </w:rPr>
            </w:pPr>
            <w:r>
              <w:rPr>
                <w:rFonts w:ascii="Times New Roman" w:cs="Times New Roman" w:eastAsia="Times New Roman" w:hAnsi="Times New Roman"/>
                <w:sz w:val="11"/>
                <w:szCs w:val="11"/>
                <w:color w:val="0000EE"/>
              </w:rPr>
              <w:t>THE SEPARATE ACCOUNT</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0" w:type="dxa"/>
            <w:vAlign w:val="bottom"/>
          </w:tcPr>
          <w:p>
            <w:pPr>
              <w:spacing w:after="0"/>
              <w:rPr>
                <w:sz w:val="1"/>
                <w:szCs w:val="1"/>
                <w:color w:val="auto"/>
              </w:rPr>
            </w:pPr>
          </w:p>
        </w:tc>
      </w:tr>
      <w:tr>
        <w:trPr>
          <w:trHeight w:val="42"/>
        </w:trPr>
        <w:tc>
          <w:tcPr>
            <w:tcW w:w="20" w:type="dxa"/>
            <w:vAlign w:val="bottom"/>
            <w:tcBorders>
              <w:top w:val="single" w:sz="8" w:color="0000EE"/>
            </w:tcBorders>
          </w:tcPr>
          <w:p>
            <w:pPr>
              <w:spacing w:after="0"/>
              <w:rPr>
                <w:sz w:val="3"/>
                <w:szCs w:val="3"/>
                <w:color w:val="auto"/>
              </w:rPr>
            </w:pPr>
          </w:p>
        </w:tc>
        <w:tc>
          <w:tcPr>
            <w:tcW w:w="240" w:type="dxa"/>
            <w:vAlign w:val="bottom"/>
            <w:tcBorders>
              <w:top w:val="single" w:sz="8" w:color="0000EE"/>
            </w:tcBorders>
          </w:tcPr>
          <w:p>
            <w:pPr>
              <w:spacing w:after="0"/>
              <w:rPr>
                <w:sz w:val="3"/>
                <w:szCs w:val="3"/>
                <w:color w:val="auto"/>
              </w:rPr>
            </w:pPr>
          </w:p>
        </w:tc>
        <w:tc>
          <w:tcPr>
            <w:tcW w:w="3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32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680" w:type="dxa"/>
            <w:vAlign w:val="bottom"/>
          </w:tcPr>
          <w:p>
            <w:pPr>
              <w:spacing w:after="0"/>
              <w:rPr>
                <w:sz w:val="3"/>
                <w:szCs w:val="3"/>
                <w:color w:val="auto"/>
              </w:rPr>
            </w:pPr>
          </w:p>
        </w:tc>
        <w:tc>
          <w:tcPr>
            <w:tcW w:w="3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320" w:type="dxa"/>
            <w:vAlign w:val="bottom"/>
            <w:gridSpan w:val="29"/>
            <w:shd w:val="clear" w:color="auto" w:fill="F0FFFF"/>
          </w:tcPr>
          <w:p>
            <w:pPr>
              <w:spacing w:after="0" w:line="124" w:lineRule="exact"/>
              <w:rPr>
                <w:sz w:val="20"/>
                <w:szCs w:val="20"/>
                <w:color w:val="auto"/>
              </w:rPr>
            </w:pPr>
            <w:r>
              <w:rPr>
                <w:rFonts w:ascii="Times New Roman" w:cs="Times New Roman" w:eastAsia="Times New Roman" w:hAnsi="Times New Roman"/>
                <w:sz w:val="14"/>
                <w:szCs w:val="14"/>
                <w:color w:val="0000EE"/>
              </w:rPr>
              <w:t>INVESTMENTS BY BLIC</w:t>
            </w:r>
          </w:p>
        </w:tc>
        <w:tc>
          <w:tcPr>
            <w:tcW w:w="32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0" w:type="dxa"/>
            <w:vAlign w:val="bottom"/>
          </w:tcPr>
          <w:p>
            <w:pPr>
              <w:spacing w:after="0"/>
              <w:rPr>
                <w:sz w:val="1"/>
                <w:szCs w:val="1"/>
                <w:color w:val="auto"/>
              </w:rPr>
            </w:pPr>
          </w:p>
        </w:tc>
      </w:tr>
      <w:tr>
        <w:trPr>
          <w:trHeight w:val="42"/>
        </w:trPr>
        <w:tc>
          <w:tcPr>
            <w:tcW w:w="20" w:type="dxa"/>
            <w:vAlign w:val="bottom"/>
            <w:tcBorders>
              <w:top w:val="single" w:sz="8" w:color="0000EE"/>
            </w:tcBorders>
          </w:tcPr>
          <w:p>
            <w:pPr>
              <w:spacing w:after="0"/>
              <w:rPr>
                <w:sz w:val="3"/>
                <w:szCs w:val="3"/>
                <w:color w:val="auto"/>
              </w:rPr>
            </w:pPr>
          </w:p>
        </w:tc>
        <w:tc>
          <w:tcPr>
            <w:tcW w:w="240" w:type="dxa"/>
            <w:vAlign w:val="bottom"/>
            <w:tcBorders>
              <w:top w:val="single" w:sz="8" w:color="0000EE"/>
              <w:bottom w:val="single" w:sz="8" w:color="F0FFFF"/>
            </w:tcBorders>
            <w:shd w:val="clear" w:color="auto" w:fill="F0FFFF"/>
          </w:tcPr>
          <w:p>
            <w:pPr>
              <w:spacing w:after="0"/>
              <w:rPr>
                <w:sz w:val="3"/>
                <w:szCs w:val="3"/>
                <w:color w:val="auto"/>
              </w:rPr>
            </w:pPr>
          </w:p>
        </w:tc>
        <w:tc>
          <w:tcPr>
            <w:tcW w:w="320" w:type="dxa"/>
            <w:vAlign w:val="bottom"/>
            <w:tcBorders>
              <w:top w:val="single" w:sz="8" w:color="0000EE"/>
              <w:bottom w:val="single" w:sz="8" w:color="F0FFFF"/>
            </w:tcBorders>
            <w:shd w:val="clear" w:color="auto" w:fill="F0FFFF"/>
          </w:tcPr>
          <w:p>
            <w:pPr>
              <w:spacing w:after="0"/>
              <w:rPr>
                <w:sz w:val="3"/>
                <w:szCs w:val="3"/>
                <w:color w:val="auto"/>
              </w:rPr>
            </w:pPr>
          </w:p>
        </w:tc>
        <w:tc>
          <w:tcPr>
            <w:tcW w:w="6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120" w:type="dxa"/>
            <w:vAlign w:val="bottom"/>
            <w:tcBorders>
              <w:top w:val="single" w:sz="8" w:color="0000EE"/>
              <w:bottom w:val="single" w:sz="8" w:color="F0FFFF"/>
              <w:right w:val="single" w:sz="8" w:color="F0FFFF"/>
            </w:tcBorders>
            <w:shd w:val="clear" w:color="auto" w:fill="F0FFFF"/>
          </w:tcPr>
          <w:p>
            <w:pPr>
              <w:spacing w:after="0"/>
              <w:rPr>
                <w:sz w:val="3"/>
                <w:szCs w:val="3"/>
                <w:color w:val="auto"/>
              </w:rPr>
            </w:pPr>
          </w:p>
        </w:tc>
        <w:tc>
          <w:tcPr>
            <w:tcW w:w="8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320" w:type="dxa"/>
            <w:vAlign w:val="bottom"/>
            <w:tcBorders>
              <w:top w:val="single" w:sz="8" w:color="0000EE"/>
              <w:bottom w:val="single" w:sz="8" w:color="F0FFFF"/>
            </w:tcBorders>
            <w:shd w:val="clear" w:color="auto" w:fill="F0FFFF"/>
          </w:tcPr>
          <w:p>
            <w:pPr>
              <w:spacing w:after="0"/>
              <w:rPr>
                <w:sz w:val="3"/>
                <w:szCs w:val="3"/>
                <w:color w:val="auto"/>
              </w:rPr>
            </w:pPr>
          </w:p>
        </w:tc>
        <w:tc>
          <w:tcPr>
            <w:tcW w:w="16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8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40" w:type="dxa"/>
            <w:vAlign w:val="bottom"/>
            <w:tcBorders>
              <w:top w:val="single" w:sz="8" w:color="F0FFFF"/>
              <w:bottom w:val="single" w:sz="8" w:color="F0FFFF"/>
            </w:tcBorders>
            <w:shd w:val="clear" w:color="auto" w:fill="F0FFFF"/>
          </w:tcPr>
          <w:p>
            <w:pPr>
              <w:spacing w:after="0"/>
              <w:rPr>
                <w:sz w:val="3"/>
                <w:szCs w:val="3"/>
                <w:color w:val="auto"/>
              </w:rPr>
            </w:pPr>
          </w:p>
        </w:tc>
        <w:tc>
          <w:tcPr>
            <w:tcW w:w="8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120" w:type="dxa"/>
            <w:vAlign w:val="bottom"/>
            <w:tcBorders>
              <w:top w:val="single" w:sz="8" w:color="F0FFFF"/>
              <w:bottom w:val="single" w:sz="8" w:color="F0FFFF"/>
            </w:tcBorders>
            <w:shd w:val="clear" w:color="auto" w:fill="F0FFFF"/>
          </w:tcPr>
          <w:p>
            <w:pPr>
              <w:spacing w:after="0"/>
              <w:rPr>
                <w:sz w:val="3"/>
                <w:szCs w:val="3"/>
                <w:color w:val="auto"/>
              </w:rPr>
            </w:pPr>
          </w:p>
        </w:tc>
        <w:tc>
          <w:tcPr>
            <w:tcW w:w="160" w:type="dxa"/>
            <w:vAlign w:val="bottom"/>
            <w:tcBorders>
              <w:top w:val="single" w:sz="8" w:color="F0FFFF"/>
              <w:bottom w:val="single" w:sz="8" w:color="F0FFFF"/>
              <w:right w:val="single" w:sz="8" w:color="F0FFFF"/>
            </w:tcBorders>
            <w:shd w:val="clear" w:color="auto" w:fill="F0FFFF"/>
          </w:tcPr>
          <w:p>
            <w:pPr>
              <w:spacing w:after="0"/>
              <w:rPr>
                <w:sz w:val="3"/>
                <w:szCs w:val="3"/>
                <w:color w:val="auto"/>
              </w:rPr>
            </w:pPr>
          </w:p>
        </w:tc>
        <w:tc>
          <w:tcPr>
            <w:tcW w:w="160" w:type="dxa"/>
            <w:vAlign w:val="bottom"/>
            <w:tcBorders>
              <w:top w:val="single" w:sz="8" w:color="F0FFFF"/>
              <w:bottom w:val="single" w:sz="8" w:color="F0FFFF"/>
            </w:tcBorders>
            <w:shd w:val="clear" w:color="auto" w:fill="F0FFFF"/>
          </w:tcPr>
          <w:p>
            <w:pPr>
              <w:spacing w:after="0"/>
              <w:rPr>
                <w:sz w:val="3"/>
                <w:szCs w:val="3"/>
                <w:color w:val="auto"/>
              </w:rPr>
            </w:pPr>
          </w:p>
        </w:tc>
        <w:tc>
          <w:tcPr>
            <w:tcW w:w="640" w:type="dxa"/>
            <w:vAlign w:val="bottom"/>
            <w:tcBorders>
              <w:top w:val="single" w:sz="8" w:color="F0FFFF"/>
              <w:bottom w:val="single" w:sz="8" w:color="F0FFFF"/>
            </w:tcBorders>
            <w:shd w:val="clear" w:color="auto" w:fill="F0FFFF"/>
          </w:tcPr>
          <w:p>
            <w:pPr>
              <w:spacing w:after="0"/>
              <w:rPr>
                <w:sz w:val="3"/>
                <w:szCs w:val="3"/>
                <w:color w:val="auto"/>
              </w:rPr>
            </w:pPr>
          </w:p>
        </w:tc>
        <w:tc>
          <w:tcPr>
            <w:tcW w:w="160" w:type="dxa"/>
            <w:vAlign w:val="bottom"/>
            <w:tcBorders>
              <w:top w:val="single" w:sz="8" w:color="F0FFFF"/>
              <w:bottom w:val="single" w:sz="8" w:color="F0FFFF"/>
            </w:tcBorders>
            <w:shd w:val="clear" w:color="auto" w:fill="F0FFFF"/>
          </w:tcPr>
          <w:p>
            <w:pPr>
              <w:spacing w:after="0"/>
              <w:rPr>
                <w:sz w:val="3"/>
                <w:szCs w:val="3"/>
                <w:color w:val="auto"/>
              </w:rPr>
            </w:pPr>
          </w:p>
        </w:tc>
        <w:tc>
          <w:tcPr>
            <w:tcW w:w="14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60" w:type="dxa"/>
            <w:vAlign w:val="bottom"/>
            <w:tcBorders>
              <w:top w:val="single" w:sz="8" w:color="F0FFFF"/>
              <w:bottom w:val="single" w:sz="8" w:color="F0FFFF"/>
            </w:tcBorders>
            <w:shd w:val="clear" w:color="auto" w:fill="F0FFFF"/>
          </w:tcPr>
          <w:p>
            <w:pPr>
              <w:spacing w:after="0"/>
              <w:rPr>
                <w:sz w:val="3"/>
                <w:szCs w:val="3"/>
                <w:color w:val="auto"/>
              </w:rPr>
            </w:pPr>
          </w:p>
        </w:tc>
        <w:tc>
          <w:tcPr>
            <w:tcW w:w="80" w:type="dxa"/>
            <w:vAlign w:val="bottom"/>
            <w:tcBorders>
              <w:top w:val="single" w:sz="8" w:color="F0FFFF"/>
              <w:bottom w:val="single" w:sz="8" w:color="F0FFFF"/>
            </w:tcBorders>
            <w:shd w:val="clear" w:color="auto" w:fill="F0FFFF"/>
          </w:tcPr>
          <w:p>
            <w:pPr>
              <w:spacing w:after="0"/>
              <w:rPr>
                <w:sz w:val="3"/>
                <w:szCs w:val="3"/>
                <w:color w:val="auto"/>
              </w:rPr>
            </w:pPr>
          </w:p>
        </w:tc>
        <w:tc>
          <w:tcPr>
            <w:tcW w:w="60" w:type="dxa"/>
            <w:vAlign w:val="bottom"/>
            <w:tcBorders>
              <w:top w:val="single" w:sz="8" w:color="F0FFFF"/>
              <w:bottom w:val="single" w:sz="8" w:color="F0FFFF"/>
            </w:tcBorders>
            <w:shd w:val="clear" w:color="auto" w:fill="F0FFFF"/>
          </w:tcPr>
          <w:p>
            <w:pPr>
              <w:spacing w:after="0"/>
              <w:rPr>
                <w:sz w:val="3"/>
                <w:szCs w:val="3"/>
                <w:color w:val="auto"/>
              </w:rPr>
            </w:pPr>
          </w:p>
        </w:tc>
        <w:tc>
          <w:tcPr>
            <w:tcW w:w="400" w:type="dxa"/>
            <w:vAlign w:val="bottom"/>
            <w:tcBorders>
              <w:top w:val="single" w:sz="8" w:color="F0FFFF"/>
              <w:bottom w:val="single" w:sz="8" w:color="F0FFFF"/>
            </w:tcBorders>
            <w:shd w:val="clear" w:color="auto" w:fill="F0FFFF"/>
          </w:tcPr>
          <w:p>
            <w:pPr>
              <w:spacing w:after="0"/>
              <w:rPr>
                <w:sz w:val="3"/>
                <w:szCs w:val="3"/>
                <w:color w:val="auto"/>
              </w:rPr>
            </w:pPr>
          </w:p>
        </w:tc>
        <w:tc>
          <w:tcPr>
            <w:tcW w:w="2680" w:type="dxa"/>
            <w:vAlign w:val="bottom"/>
            <w:tcBorders>
              <w:top w:val="single" w:sz="8" w:color="F0FFFF"/>
              <w:bottom w:val="single" w:sz="8" w:color="F0FFFF"/>
            </w:tcBorders>
            <w:shd w:val="clear" w:color="auto" w:fill="F0FFFF"/>
          </w:tcPr>
          <w:p>
            <w:pPr>
              <w:spacing w:after="0"/>
              <w:rPr>
                <w:sz w:val="3"/>
                <w:szCs w:val="3"/>
                <w:color w:val="auto"/>
              </w:rPr>
            </w:pPr>
          </w:p>
        </w:tc>
        <w:tc>
          <w:tcPr>
            <w:tcW w:w="320" w:type="dxa"/>
            <w:vAlign w:val="bottom"/>
            <w:tcBorders>
              <w:top w:val="single" w:sz="8" w:color="F0FFFF"/>
              <w:bottom w:val="single" w:sz="8" w:color="F0FFFF"/>
            </w:tcBorders>
            <w:vMerge w:val="continue"/>
            <w:shd w:val="clear" w:color="auto" w:fill="F0FFFF"/>
          </w:tcPr>
          <w:p>
            <w:pPr>
              <w:spacing w:after="0"/>
              <w:rPr>
                <w:sz w:val="3"/>
                <w:szCs w:val="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320" w:type="dxa"/>
            <w:vAlign w:val="bottom"/>
            <w:gridSpan w:val="29"/>
          </w:tcPr>
          <w:p>
            <w:pPr>
              <w:spacing w:after="0" w:line="104" w:lineRule="exact"/>
              <w:rPr>
                <w:sz w:val="20"/>
                <w:szCs w:val="20"/>
                <w:color w:val="auto"/>
              </w:rPr>
            </w:pPr>
            <w:r>
              <w:rPr>
                <w:rFonts w:ascii="Times New Roman" w:cs="Times New Roman" w:eastAsia="Times New Roman" w:hAnsi="Times New Roman"/>
                <w:sz w:val="11"/>
                <w:szCs w:val="11"/>
                <w:color w:val="0000EE"/>
              </w:rPr>
              <w:t>ANNUAL STATEMENT</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0" w:type="dxa"/>
            <w:vAlign w:val="bottom"/>
          </w:tcPr>
          <w:p>
            <w:pPr>
              <w:spacing w:after="0"/>
              <w:rPr>
                <w:sz w:val="1"/>
                <w:szCs w:val="1"/>
                <w:color w:val="auto"/>
              </w:rPr>
            </w:pPr>
          </w:p>
        </w:tc>
      </w:tr>
      <w:tr>
        <w:trPr>
          <w:trHeight w:val="42"/>
        </w:trPr>
        <w:tc>
          <w:tcPr>
            <w:tcW w:w="20" w:type="dxa"/>
            <w:vAlign w:val="bottom"/>
            <w:tcBorders>
              <w:top w:val="single" w:sz="8" w:color="0000EE"/>
            </w:tcBorders>
          </w:tcPr>
          <w:p>
            <w:pPr>
              <w:spacing w:after="0"/>
              <w:rPr>
                <w:sz w:val="3"/>
                <w:szCs w:val="3"/>
                <w:color w:val="auto"/>
              </w:rPr>
            </w:pPr>
          </w:p>
        </w:tc>
        <w:tc>
          <w:tcPr>
            <w:tcW w:w="240" w:type="dxa"/>
            <w:vAlign w:val="bottom"/>
            <w:tcBorders>
              <w:top w:val="single" w:sz="8" w:color="0000EE"/>
            </w:tcBorders>
          </w:tcPr>
          <w:p>
            <w:pPr>
              <w:spacing w:after="0"/>
              <w:rPr>
                <w:sz w:val="3"/>
                <w:szCs w:val="3"/>
                <w:color w:val="auto"/>
              </w:rPr>
            </w:pPr>
          </w:p>
        </w:tc>
        <w:tc>
          <w:tcPr>
            <w:tcW w:w="3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32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680" w:type="dxa"/>
            <w:vAlign w:val="bottom"/>
          </w:tcPr>
          <w:p>
            <w:pPr>
              <w:spacing w:after="0"/>
              <w:rPr>
                <w:sz w:val="3"/>
                <w:szCs w:val="3"/>
                <w:color w:val="auto"/>
              </w:rPr>
            </w:pPr>
          </w:p>
        </w:tc>
        <w:tc>
          <w:tcPr>
            <w:tcW w:w="3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320" w:type="dxa"/>
            <w:vAlign w:val="bottom"/>
            <w:gridSpan w:val="29"/>
            <w:shd w:val="clear" w:color="auto" w:fill="F0FFFF"/>
          </w:tcPr>
          <w:p>
            <w:pPr>
              <w:spacing w:after="0" w:line="124" w:lineRule="exact"/>
              <w:rPr>
                <w:sz w:val="20"/>
                <w:szCs w:val="20"/>
                <w:color w:val="auto"/>
              </w:rPr>
            </w:pPr>
            <w:r>
              <w:rPr>
                <w:rFonts w:ascii="Times New Roman" w:cs="Times New Roman" w:eastAsia="Times New Roman" w:hAnsi="Times New Roman"/>
                <w:sz w:val="14"/>
                <w:szCs w:val="14"/>
                <w:color w:val="0000EE"/>
              </w:rPr>
              <w:t>DISTRIBUTION OF THE POLICIES</w:t>
            </w:r>
          </w:p>
        </w:tc>
        <w:tc>
          <w:tcPr>
            <w:tcW w:w="32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0" w:type="dxa"/>
            <w:vAlign w:val="bottom"/>
          </w:tcPr>
          <w:p>
            <w:pPr>
              <w:spacing w:after="0"/>
              <w:rPr>
                <w:sz w:val="1"/>
                <w:szCs w:val="1"/>
                <w:color w:val="auto"/>
              </w:rPr>
            </w:pPr>
          </w:p>
        </w:tc>
      </w:tr>
      <w:tr>
        <w:trPr>
          <w:trHeight w:val="42"/>
        </w:trPr>
        <w:tc>
          <w:tcPr>
            <w:tcW w:w="20" w:type="dxa"/>
            <w:vAlign w:val="bottom"/>
            <w:tcBorders>
              <w:top w:val="single" w:sz="8" w:color="0000EE"/>
            </w:tcBorders>
          </w:tcPr>
          <w:p>
            <w:pPr>
              <w:spacing w:after="0"/>
              <w:rPr>
                <w:sz w:val="3"/>
                <w:szCs w:val="3"/>
                <w:color w:val="auto"/>
              </w:rPr>
            </w:pPr>
          </w:p>
        </w:tc>
        <w:tc>
          <w:tcPr>
            <w:tcW w:w="240" w:type="dxa"/>
            <w:vAlign w:val="bottom"/>
            <w:tcBorders>
              <w:top w:val="single" w:sz="8" w:color="0000EE"/>
              <w:bottom w:val="single" w:sz="8" w:color="F0FFFF"/>
            </w:tcBorders>
            <w:shd w:val="clear" w:color="auto" w:fill="F0FFFF"/>
          </w:tcPr>
          <w:p>
            <w:pPr>
              <w:spacing w:after="0"/>
              <w:rPr>
                <w:sz w:val="3"/>
                <w:szCs w:val="3"/>
                <w:color w:val="auto"/>
              </w:rPr>
            </w:pPr>
          </w:p>
        </w:tc>
        <w:tc>
          <w:tcPr>
            <w:tcW w:w="320" w:type="dxa"/>
            <w:vAlign w:val="bottom"/>
            <w:tcBorders>
              <w:top w:val="single" w:sz="8" w:color="0000EE"/>
              <w:bottom w:val="single" w:sz="8" w:color="F0FFFF"/>
            </w:tcBorders>
            <w:shd w:val="clear" w:color="auto" w:fill="F0FFFF"/>
          </w:tcPr>
          <w:p>
            <w:pPr>
              <w:spacing w:after="0"/>
              <w:rPr>
                <w:sz w:val="3"/>
                <w:szCs w:val="3"/>
                <w:color w:val="auto"/>
              </w:rPr>
            </w:pPr>
          </w:p>
        </w:tc>
        <w:tc>
          <w:tcPr>
            <w:tcW w:w="6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120" w:type="dxa"/>
            <w:vAlign w:val="bottom"/>
            <w:tcBorders>
              <w:top w:val="single" w:sz="8" w:color="0000EE"/>
              <w:bottom w:val="single" w:sz="8" w:color="F0FFFF"/>
              <w:right w:val="single" w:sz="8" w:color="F0FFFF"/>
            </w:tcBorders>
            <w:shd w:val="clear" w:color="auto" w:fill="F0FFFF"/>
          </w:tcPr>
          <w:p>
            <w:pPr>
              <w:spacing w:after="0"/>
              <w:rPr>
                <w:sz w:val="3"/>
                <w:szCs w:val="3"/>
                <w:color w:val="auto"/>
              </w:rPr>
            </w:pPr>
          </w:p>
        </w:tc>
        <w:tc>
          <w:tcPr>
            <w:tcW w:w="8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320" w:type="dxa"/>
            <w:vAlign w:val="bottom"/>
            <w:tcBorders>
              <w:top w:val="single" w:sz="8" w:color="0000EE"/>
              <w:bottom w:val="single" w:sz="8" w:color="F0FFFF"/>
            </w:tcBorders>
            <w:shd w:val="clear" w:color="auto" w:fill="F0FFFF"/>
          </w:tcPr>
          <w:p>
            <w:pPr>
              <w:spacing w:after="0"/>
              <w:rPr>
                <w:sz w:val="3"/>
                <w:szCs w:val="3"/>
                <w:color w:val="auto"/>
              </w:rPr>
            </w:pPr>
          </w:p>
        </w:tc>
        <w:tc>
          <w:tcPr>
            <w:tcW w:w="16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8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40" w:type="dxa"/>
            <w:vAlign w:val="bottom"/>
            <w:tcBorders>
              <w:top w:val="single" w:sz="8" w:color="0000EE"/>
              <w:bottom w:val="single" w:sz="8" w:color="F0FFFF"/>
            </w:tcBorders>
            <w:shd w:val="clear" w:color="auto" w:fill="F0FFFF"/>
          </w:tcPr>
          <w:p>
            <w:pPr>
              <w:spacing w:after="0"/>
              <w:rPr>
                <w:sz w:val="3"/>
                <w:szCs w:val="3"/>
                <w:color w:val="auto"/>
              </w:rPr>
            </w:pPr>
          </w:p>
        </w:tc>
        <w:tc>
          <w:tcPr>
            <w:tcW w:w="8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120" w:type="dxa"/>
            <w:vAlign w:val="bottom"/>
            <w:tcBorders>
              <w:top w:val="single" w:sz="8" w:color="0000EE"/>
              <w:bottom w:val="single" w:sz="8" w:color="F0FFFF"/>
            </w:tcBorders>
            <w:shd w:val="clear" w:color="auto" w:fill="F0FFFF"/>
          </w:tcPr>
          <w:p>
            <w:pPr>
              <w:spacing w:after="0"/>
              <w:rPr>
                <w:sz w:val="3"/>
                <w:szCs w:val="3"/>
                <w:color w:val="auto"/>
              </w:rPr>
            </w:pPr>
          </w:p>
        </w:tc>
        <w:tc>
          <w:tcPr>
            <w:tcW w:w="160" w:type="dxa"/>
            <w:vAlign w:val="bottom"/>
            <w:tcBorders>
              <w:top w:val="single" w:sz="8" w:color="0000EE"/>
              <w:bottom w:val="single" w:sz="8" w:color="F0FFFF"/>
              <w:right w:val="single" w:sz="8" w:color="F0FFFF"/>
            </w:tcBorders>
            <w:shd w:val="clear" w:color="auto" w:fill="F0FFFF"/>
          </w:tcPr>
          <w:p>
            <w:pPr>
              <w:spacing w:after="0"/>
              <w:rPr>
                <w:sz w:val="3"/>
                <w:szCs w:val="3"/>
                <w:color w:val="auto"/>
              </w:rPr>
            </w:pPr>
          </w:p>
        </w:tc>
        <w:tc>
          <w:tcPr>
            <w:tcW w:w="160" w:type="dxa"/>
            <w:vAlign w:val="bottom"/>
            <w:tcBorders>
              <w:top w:val="single" w:sz="8" w:color="0000EE"/>
              <w:bottom w:val="single" w:sz="8" w:color="F0FFFF"/>
            </w:tcBorders>
            <w:shd w:val="clear" w:color="auto" w:fill="F0FFFF"/>
          </w:tcPr>
          <w:p>
            <w:pPr>
              <w:spacing w:after="0"/>
              <w:rPr>
                <w:sz w:val="3"/>
                <w:szCs w:val="3"/>
                <w:color w:val="auto"/>
              </w:rPr>
            </w:pPr>
          </w:p>
        </w:tc>
        <w:tc>
          <w:tcPr>
            <w:tcW w:w="640" w:type="dxa"/>
            <w:vAlign w:val="bottom"/>
            <w:tcBorders>
              <w:top w:val="single" w:sz="8" w:color="F0FFFF"/>
              <w:bottom w:val="single" w:sz="8" w:color="F0FFFF"/>
            </w:tcBorders>
            <w:shd w:val="clear" w:color="auto" w:fill="F0FFFF"/>
          </w:tcPr>
          <w:p>
            <w:pPr>
              <w:spacing w:after="0"/>
              <w:rPr>
                <w:sz w:val="3"/>
                <w:szCs w:val="3"/>
                <w:color w:val="auto"/>
              </w:rPr>
            </w:pPr>
          </w:p>
        </w:tc>
        <w:tc>
          <w:tcPr>
            <w:tcW w:w="160" w:type="dxa"/>
            <w:vAlign w:val="bottom"/>
            <w:tcBorders>
              <w:top w:val="single" w:sz="8" w:color="F0FFFF"/>
              <w:bottom w:val="single" w:sz="8" w:color="F0FFFF"/>
            </w:tcBorders>
            <w:shd w:val="clear" w:color="auto" w:fill="F0FFFF"/>
          </w:tcPr>
          <w:p>
            <w:pPr>
              <w:spacing w:after="0"/>
              <w:rPr>
                <w:sz w:val="3"/>
                <w:szCs w:val="3"/>
                <w:color w:val="auto"/>
              </w:rPr>
            </w:pPr>
          </w:p>
        </w:tc>
        <w:tc>
          <w:tcPr>
            <w:tcW w:w="14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60" w:type="dxa"/>
            <w:vAlign w:val="bottom"/>
            <w:tcBorders>
              <w:top w:val="single" w:sz="8" w:color="F0FFFF"/>
              <w:bottom w:val="single" w:sz="8" w:color="F0FFFF"/>
            </w:tcBorders>
            <w:shd w:val="clear" w:color="auto" w:fill="F0FFFF"/>
          </w:tcPr>
          <w:p>
            <w:pPr>
              <w:spacing w:after="0"/>
              <w:rPr>
                <w:sz w:val="3"/>
                <w:szCs w:val="3"/>
                <w:color w:val="auto"/>
              </w:rPr>
            </w:pPr>
          </w:p>
        </w:tc>
        <w:tc>
          <w:tcPr>
            <w:tcW w:w="80" w:type="dxa"/>
            <w:vAlign w:val="bottom"/>
            <w:tcBorders>
              <w:top w:val="single" w:sz="8" w:color="F0FFFF"/>
              <w:bottom w:val="single" w:sz="8" w:color="F0FFFF"/>
            </w:tcBorders>
            <w:shd w:val="clear" w:color="auto" w:fill="F0FFFF"/>
          </w:tcPr>
          <w:p>
            <w:pPr>
              <w:spacing w:after="0"/>
              <w:rPr>
                <w:sz w:val="3"/>
                <w:szCs w:val="3"/>
                <w:color w:val="auto"/>
              </w:rPr>
            </w:pPr>
          </w:p>
        </w:tc>
        <w:tc>
          <w:tcPr>
            <w:tcW w:w="60" w:type="dxa"/>
            <w:vAlign w:val="bottom"/>
            <w:tcBorders>
              <w:top w:val="single" w:sz="8" w:color="F0FFFF"/>
              <w:bottom w:val="single" w:sz="8" w:color="F0FFFF"/>
            </w:tcBorders>
            <w:shd w:val="clear" w:color="auto" w:fill="F0FFFF"/>
          </w:tcPr>
          <w:p>
            <w:pPr>
              <w:spacing w:after="0"/>
              <w:rPr>
                <w:sz w:val="3"/>
                <w:szCs w:val="3"/>
                <w:color w:val="auto"/>
              </w:rPr>
            </w:pPr>
          </w:p>
        </w:tc>
        <w:tc>
          <w:tcPr>
            <w:tcW w:w="400" w:type="dxa"/>
            <w:vAlign w:val="bottom"/>
            <w:tcBorders>
              <w:top w:val="single" w:sz="8" w:color="F0FFFF"/>
              <w:bottom w:val="single" w:sz="8" w:color="F0FFFF"/>
            </w:tcBorders>
            <w:shd w:val="clear" w:color="auto" w:fill="F0FFFF"/>
          </w:tcPr>
          <w:p>
            <w:pPr>
              <w:spacing w:after="0"/>
              <w:rPr>
                <w:sz w:val="3"/>
                <w:szCs w:val="3"/>
                <w:color w:val="auto"/>
              </w:rPr>
            </w:pPr>
          </w:p>
        </w:tc>
        <w:tc>
          <w:tcPr>
            <w:tcW w:w="2680" w:type="dxa"/>
            <w:vAlign w:val="bottom"/>
            <w:tcBorders>
              <w:top w:val="single" w:sz="8" w:color="F0FFFF"/>
              <w:bottom w:val="single" w:sz="8" w:color="F0FFFF"/>
            </w:tcBorders>
            <w:shd w:val="clear" w:color="auto" w:fill="F0FFFF"/>
          </w:tcPr>
          <w:p>
            <w:pPr>
              <w:spacing w:after="0"/>
              <w:rPr>
                <w:sz w:val="3"/>
                <w:szCs w:val="3"/>
                <w:color w:val="auto"/>
              </w:rPr>
            </w:pPr>
          </w:p>
        </w:tc>
        <w:tc>
          <w:tcPr>
            <w:tcW w:w="320" w:type="dxa"/>
            <w:vAlign w:val="bottom"/>
            <w:tcBorders>
              <w:top w:val="single" w:sz="8" w:color="F0FFFF"/>
              <w:bottom w:val="single" w:sz="8" w:color="F0FFFF"/>
            </w:tcBorders>
            <w:vMerge w:val="continue"/>
            <w:shd w:val="clear" w:color="auto" w:fill="F0FFFF"/>
          </w:tcPr>
          <w:p>
            <w:pPr>
              <w:spacing w:after="0"/>
              <w:rPr>
                <w:sz w:val="3"/>
                <w:szCs w:val="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320" w:type="dxa"/>
            <w:vAlign w:val="bottom"/>
            <w:gridSpan w:val="29"/>
          </w:tcPr>
          <w:p>
            <w:pPr>
              <w:spacing w:after="0" w:line="104" w:lineRule="exact"/>
              <w:rPr>
                <w:sz w:val="20"/>
                <w:szCs w:val="20"/>
                <w:color w:val="auto"/>
              </w:rPr>
            </w:pPr>
            <w:r>
              <w:rPr>
                <w:rFonts w:ascii="Times New Roman" w:cs="Times New Roman" w:eastAsia="Times New Roman" w:hAnsi="Times New Roman"/>
                <w:sz w:val="11"/>
                <w:szCs w:val="11"/>
                <w:color w:val="0000EE"/>
              </w:rPr>
              <w:t>THE FIXED ACCOUNT</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0" w:type="dxa"/>
            <w:vAlign w:val="bottom"/>
          </w:tcPr>
          <w:p>
            <w:pPr>
              <w:spacing w:after="0"/>
              <w:rPr>
                <w:sz w:val="1"/>
                <w:szCs w:val="1"/>
                <w:color w:val="auto"/>
              </w:rPr>
            </w:pPr>
          </w:p>
        </w:tc>
      </w:tr>
      <w:tr>
        <w:trPr>
          <w:trHeight w:val="42"/>
        </w:trPr>
        <w:tc>
          <w:tcPr>
            <w:tcW w:w="20" w:type="dxa"/>
            <w:vAlign w:val="bottom"/>
            <w:tcBorders>
              <w:top w:val="single" w:sz="8" w:color="0000EE"/>
            </w:tcBorders>
          </w:tcPr>
          <w:p>
            <w:pPr>
              <w:spacing w:after="0"/>
              <w:rPr>
                <w:sz w:val="3"/>
                <w:szCs w:val="3"/>
                <w:color w:val="auto"/>
              </w:rPr>
            </w:pPr>
          </w:p>
        </w:tc>
        <w:tc>
          <w:tcPr>
            <w:tcW w:w="240" w:type="dxa"/>
            <w:vAlign w:val="bottom"/>
            <w:tcBorders>
              <w:top w:val="single" w:sz="8" w:color="0000EE"/>
            </w:tcBorders>
          </w:tcPr>
          <w:p>
            <w:pPr>
              <w:spacing w:after="0"/>
              <w:rPr>
                <w:sz w:val="3"/>
                <w:szCs w:val="3"/>
                <w:color w:val="auto"/>
              </w:rPr>
            </w:pPr>
          </w:p>
        </w:tc>
        <w:tc>
          <w:tcPr>
            <w:tcW w:w="3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32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680" w:type="dxa"/>
            <w:vAlign w:val="bottom"/>
          </w:tcPr>
          <w:p>
            <w:pPr>
              <w:spacing w:after="0"/>
              <w:rPr>
                <w:sz w:val="3"/>
                <w:szCs w:val="3"/>
                <w:color w:val="auto"/>
              </w:rPr>
            </w:pPr>
          </w:p>
        </w:tc>
        <w:tc>
          <w:tcPr>
            <w:tcW w:w="3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320" w:type="dxa"/>
            <w:vAlign w:val="bottom"/>
            <w:gridSpan w:val="29"/>
            <w:shd w:val="clear" w:color="auto" w:fill="F0FFFF"/>
          </w:tcPr>
          <w:p>
            <w:pPr>
              <w:spacing w:after="0" w:line="124" w:lineRule="exact"/>
              <w:rPr>
                <w:sz w:val="20"/>
                <w:szCs w:val="20"/>
                <w:color w:val="auto"/>
              </w:rPr>
            </w:pPr>
            <w:r>
              <w:rPr>
                <w:rFonts w:ascii="Times New Roman" w:cs="Times New Roman" w:eastAsia="Times New Roman" w:hAnsi="Times New Roman"/>
                <w:sz w:val="14"/>
                <w:szCs w:val="14"/>
                <w:color w:val="0000EE"/>
              </w:rPr>
              <w:t>RESTRICTIONS ON FINANCIAL TRANSACTIONS</w:t>
            </w:r>
          </w:p>
        </w:tc>
        <w:tc>
          <w:tcPr>
            <w:tcW w:w="32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0" w:type="dxa"/>
            <w:vAlign w:val="bottom"/>
          </w:tcPr>
          <w:p>
            <w:pPr>
              <w:spacing w:after="0"/>
              <w:rPr>
                <w:sz w:val="1"/>
                <w:szCs w:val="1"/>
                <w:color w:val="auto"/>
              </w:rPr>
            </w:pPr>
          </w:p>
        </w:tc>
      </w:tr>
      <w:tr>
        <w:trPr>
          <w:trHeight w:val="42"/>
        </w:trPr>
        <w:tc>
          <w:tcPr>
            <w:tcW w:w="20" w:type="dxa"/>
            <w:vAlign w:val="bottom"/>
            <w:tcBorders>
              <w:top w:val="single" w:sz="8" w:color="0000EE"/>
            </w:tcBorders>
          </w:tcPr>
          <w:p>
            <w:pPr>
              <w:spacing w:after="0"/>
              <w:rPr>
                <w:sz w:val="3"/>
                <w:szCs w:val="3"/>
                <w:color w:val="auto"/>
              </w:rPr>
            </w:pPr>
          </w:p>
        </w:tc>
        <w:tc>
          <w:tcPr>
            <w:tcW w:w="240" w:type="dxa"/>
            <w:vAlign w:val="bottom"/>
            <w:tcBorders>
              <w:top w:val="single" w:sz="8" w:color="0000EE"/>
              <w:bottom w:val="single" w:sz="8" w:color="F0FFFF"/>
            </w:tcBorders>
            <w:shd w:val="clear" w:color="auto" w:fill="F0FFFF"/>
          </w:tcPr>
          <w:p>
            <w:pPr>
              <w:spacing w:after="0"/>
              <w:rPr>
                <w:sz w:val="3"/>
                <w:szCs w:val="3"/>
                <w:color w:val="auto"/>
              </w:rPr>
            </w:pPr>
          </w:p>
        </w:tc>
        <w:tc>
          <w:tcPr>
            <w:tcW w:w="320" w:type="dxa"/>
            <w:vAlign w:val="bottom"/>
            <w:tcBorders>
              <w:top w:val="single" w:sz="8" w:color="0000EE"/>
              <w:bottom w:val="single" w:sz="8" w:color="F0FFFF"/>
            </w:tcBorders>
            <w:shd w:val="clear" w:color="auto" w:fill="F0FFFF"/>
          </w:tcPr>
          <w:p>
            <w:pPr>
              <w:spacing w:after="0"/>
              <w:rPr>
                <w:sz w:val="3"/>
                <w:szCs w:val="3"/>
                <w:color w:val="auto"/>
              </w:rPr>
            </w:pPr>
          </w:p>
        </w:tc>
        <w:tc>
          <w:tcPr>
            <w:tcW w:w="6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120" w:type="dxa"/>
            <w:vAlign w:val="bottom"/>
            <w:tcBorders>
              <w:top w:val="single" w:sz="8" w:color="0000EE"/>
              <w:bottom w:val="single" w:sz="8" w:color="F0FFFF"/>
              <w:right w:val="single" w:sz="8" w:color="F0FFFF"/>
            </w:tcBorders>
            <w:shd w:val="clear" w:color="auto" w:fill="F0FFFF"/>
          </w:tcPr>
          <w:p>
            <w:pPr>
              <w:spacing w:after="0"/>
              <w:rPr>
                <w:sz w:val="3"/>
                <w:szCs w:val="3"/>
                <w:color w:val="auto"/>
              </w:rPr>
            </w:pPr>
          </w:p>
        </w:tc>
        <w:tc>
          <w:tcPr>
            <w:tcW w:w="8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320" w:type="dxa"/>
            <w:vAlign w:val="bottom"/>
            <w:tcBorders>
              <w:top w:val="single" w:sz="8" w:color="0000EE"/>
              <w:bottom w:val="single" w:sz="8" w:color="F0FFFF"/>
            </w:tcBorders>
            <w:shd w:val="clear" w:color="auto" w:fill="F0FFFF"/>
          </w:tcPr>
          <w:p>
            <w:pPr>
              <w:spacing w:after="0"/>
              <w:rPr>
                <w:sz w:val="3"/>
                <w:szCs w:val="3"/>
                <w:color w:val="auto"/>
              </w:rPr>
            </w:pPr>
          </w:p>
        </w:tc>
        <w:tc>
          <w:tcPr>
            <w:tcW w:w="16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8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40" w:type="dxa"/>
            <w:vAlign w:val="bottom"/>
            <w:tcBorders>
              <w:top w:val="single" w:sz="8" w:color="0000EE"/>
              <w:bottom w:val="single" w:sz="8" w:color="F0FFFF"/>
            </w:tcBorders>
            <w:shd w:val="clear" w:color="auto" w:fill="F0FFFF"/>
          </w:tcPr>
          <w:p>
            <w:pPr>
              <w:spacing w:after="0"/>
              <w:rPr>
                <w:sz w:val="3"/>
                <w:szCs w:val="3"/>
                <w:color w:val="auto"/>
              </w:rPr>
            </w:pPr>
          </w:p>
        </w:tc>
        <w:tc>
          <w:tcPr>
            <w:tcW w:w="8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120" w:type="dxa"/>
            <w:vAlign w:val="bottom"/>
            <w:tcBorders>
              <w:top w:val="single" w:sz="8" w:color="0000EE"/>
              <w:bottom w:val="single" w:sz="8" w:color="F0FFFF"/>
            </w:tcBorders>
            <w:shd w:val="clear" w:color="auto" w:fill="F0FFFF"/>
          </w:tcPr>
          <w:p>
            <w:pPr>
              <w:spacing w:after="0"/>
              <w:rPr>
                <w:sz w:val="3"/>
                <w:szCs w:val="3"/>
                <w:color w:val="auto"/>
              </w:rPr>
            </w:pPr>
          </w:p>
        </w:tc>
        <w:tc>
          <w:tcPr>
            <w:tcW w:w="160" w:type="dxa"/>
            <w:vAlign w:val="bottom"/>
            <w:tcBorders>
              <w:top w:val="single" w:sz="8" w:color="0000EE"/>
              <w:bottom w:val="single" w:sz="8" w:color="F0FFFF"/>
              <w:right w:val="single" w:sz="8" w:color="F0FFFF"/>
            </w:tcBorders>
            <w:shd w:val="clear" w:color="auto" w:fill="F0FFFF"/>
          </w:tcPr>
          <w:p>
            <w:pPr>
              <w:spacing w:after="0"/>
              <w:rPr>
                <w:sz w:val="3"/>
                <w:szCs w:val="3"/>
                <w:color w:val="auto"/>
              </w:rPr>
            </w:pPr>
          </w:p>
        </w:tc>
        <w:tc>
          <w:tcPr>
            <w:tcW w:w="160" w:type="dxa"/>
            <w:vAlign w:val="bottom"/>
            <w:tcBorders>
              <w:top w:val="single" w:sz="8" w:color="0000EE"/>
              <w:bottom w:val="single" w:sz="8" w:color="F0FFFF"/>
            </w:tcBorders>
            <w:shd w:val="clear" w:color="auto" w:fill="F0FFFF"/>
          </w:tcPr>
          <w:p>
            <w:pPr>
              <w:spacing w:after="0"/>
              <w:rPr>
                <w:sz w:val="3"/>
                <w:szCs w:val="3"/>
                <w:color w:val="auto"/>
              </w:rPr>
            </w:pPr>
          </w:p>
        </w:tc>
        <w:tc>
          <w:tcPr>
            <w:tcW w:w="640" w:type="dxa"/>
            <w:vAlign w:val="bottom"/>
            <w:tcBorders>
              <w:top w:val="single" w:sz="8" w:color="0000EE"/>
              <w:bottom w:val="single" w:sz="8" w:color="F0FFFF"/>
            </w:tcBorders>
            <w:shd w:val="clear" w:color="auto" w:fill="F0FFFF"/>
          </w:tcPr>
          <w:p>
            <w:pPr>
              <w:spacing w:after="0"/>
              <w:rPr>
                <w:sz w:val="3"/>
                <w:szCs w:val="3"/>
                <w:color w:val="auto"/>
              </w:rPr>
            </w:pPr>
          </w:p>
        </w:tc>
        <w:tc>
          <w:tcPr>
            <w:tcW w:w="160" w:type="dxa"/>
            <w:vAlign w:val="bottom"/>
            <w:tcBorders>
              <w:top w:val="single" w:sz="8" w:color="0000EE"/>
              <w:bottom w:val="single" w:sz="8" w:color="F0FFFF"/>
            </w:tcBorders>
            <w:shd w:val="clear" w:color="auto" w:fill="F0FFFF"/>
          </w:tcPr>
          <w:p>
            <w:pPr>
              <w:spacing w:after="0"/>
              <w:rPr>
                <w:sz w:val="3"/>
                <w:szCs w:val="3"/>
                <w:color w:val="auto"/>
              </w:rPr>
            </w:pPr>
          </w:p>
        </w:tc>
        <w:tc>
          <w:tcPr>
            <w:tcW w:w="14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60" w:type="dxa"/>
            <w:vAlign w:val="bottom"/>
            <w:tcBorders>
              <w:top w:val="single" w:sz="8" w:color="F0FFFF"/>
              <w:bottom w:val="single" w:sz="8" w:color="F0FFFF"/>
            </w:tcBorders>
            <w:shd w:val="clear" w:color="auto" w:fill="F0FFFF"/>
          </w:tcPr>
          <w:p>
            <w:pPr>
              <w:spacing w:after="0"/>
              <w:rPr>
                <w:sz w:val="3"/>
                <w:szCs w:val="3"/>
                <w:color w:val="auto"/>
              </w:rPr>
            </w:pPr>
          </w:p>
        </w:tc>
        <w:tc>
          <w:tcPr>
            <w:tcW w:w="80" w:type="dxa"/>
            <w:vAlign w:val="bottom"/>
            <w:tcBorders>
              <w:top w:val="single" w:sz="8" w:color="F0FFFF"/>
              <w:bottom w:val="single" w:sz="8" w:color="F0FFFF"/>
            </w:tcBorders>
            <w:shd w:val="clear" w:color="auto" w:fill="F0FFFF"/>
          </w:tcPr>
          <w:p>
            <w:pPr>
              <w:spacing w:after="0"/>
              <w:rPr>
                <w:sz w:val="3"/>
                <w:szCs w:val="3"/>
                <w:color w:val="auto"/>
              </w:rPr>
            </w:pPr>
          </w:p>
        </w:tc>
        <w:tc>
          <w:tcPr>
            <w:tcW w:w="60" w:type="dxa"/>
            <w:vAlign w:val="bottom"/>
            <w:tcBorders>
              <w:top w:val="single" w:sz="8" w:color="F0FFFF"/>
              <w:bottom w:val="single" w:sz="8" w:color="F0FFFF"/>
            </w:tcBorders>
            <w:shd w:val="clear" w:color="auto" w:fill="F0FFFF"/>
          </w:tcPr>
          <w:p>
            <w:pPr>
              <w:spacing w:after="0"/>
              <w:rPr>
                <w:sz w:val="3"/>
                <w:szCs w:val="3"/>
                <w:color w:val="auto"/>
              </w:rPr>
            </w:pPr>
          </w:p>
        </w:tc>
        <w:tc>
          <w:tcPr>
            <w:tcW w:w="400" w:type="dxa"/>
            <w:vAlign w:val="bottom"/>
            <w:tcBorders>
              <w:top w:val="single" w:sz="8" w:color="F0FFFF"/>
              <w:bottom w:val="single" w:sz="8" w:color="F0FFFF"/>
            </w:tcBorders>
            <w:shd w:val="clear" w:color="auto" w:fill="F0FFFF"/>
          </w:tcPr>
          <w:p>
            <w:pPr>
              <w:spacing w:after="0"/>
              <w:rPr>
                <w:sz w:val="3"/>
                <w:szCs w:val="3"/>
                <w:color w:val="auto"/>
              </w:rPr>
            </w:pPr>
          </w:p>
        </w:tc>
        <w:tc>
          <w:tcPr>
            <w:tcW w:w="2680" w:type="dxa"/>
            <w:vAlign w:val="bottom"/>
            <w:tcBorders>
              <w:top w:val="single" w:sz="8" w:color="F0FFFF"/>
              <w:bottom w:val="single" w:sz="8" w:color="F0FFFF"/>
            </w:tcBorders>
            <w:shd w:val="clear" w:color="auto" w:fill="F0FFFF"/>
          </w:tcPr>
          <w:p>
            <w:pPr>
              <w:spacing w:after="0"/>
              <w:rPr>
                <w:sz w:val="3"/>
                <w:szCs w:val="3"/>
                <w:color w:val="auto"/>
              </w:rPr>
            </w:pPr>
          </w:p>
        </w:tc>
        <w:tc>
          <w:tcPr>
            <w:tcW w:w="320" w:type="dxa"/>
            <w:vAlign w:val="bottom"/>
            <w:tcBorders>
              <w:top w:val="single" w:sz="8" w:color="F0FFFF"/>
              <w:bottom w:val="single" w:sz="8" w:color="F0FFFF"/>
            </w:tcBorders>
            <w:vMerge w:val="continue"/>
            <w:shd w:val="clear" w:color="auto" w:fill="F0FFFF"/>
          </w:tcPr>
          <w:p>
            <w:pPr>
              <w:spacing w:after="0"/>
              <w:rPr>
                <w:sz w:val="3"/>
                <w:szCs w:val="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320" w:type="dxa"/>
            <w:vAlign w:val="bottom"/>
            <w:gridSpan w:val="29"/>
          </w:tcPr>
          <w:p>
            <w:pPr>
              <w:spacing w:after="0" w:line="104" w:lineRule="exact"/>
              <w:rPr>
                <w:sz w:val="20"/>
                <w:szCs w:val="20"/>
                <w:color w:val="auto"/>
              </w:rPr>
            </w:pPr>
            <w:r>
              <w:rPr>
                <w:rFonts w:ascii="Times New Roman" w:cs="Times New Roman" w:eastAsia="Times New Roman" w:hAnsi="Times New Roman"/>
                <w:sz w:val="11"/>
                <w:szCs w:val="11"/>
                <w:color w:val="0000EE"/>
              </w:rPr>
              <w:t>REQUESTS AND ELECTIONS</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0" w:type="dxa"/>
            <w:vAlign w:val="bottom"/>
          </w:tcPr>
          <w:p>
            <w:pPr>
              <w:spacing w:after="0"/>
              <w:rPr>
                <w:sz w:val="1"/>
                <w:szCs w:val="1"/>
                <w:color w:val="auto"/>
              </w:rPr>
            </w:pPr>
          </w:p>
        </w:tc>
      </w:tr>
      <w:tr>
        <w:trPr>
          <w:trHeight w:val="42"/>
        </w:trPr>
        <w:tc>
          <w:tcPr>
            <w:tcW w:w="20" w:type="dxa"/>
            <w:vAlign w:val="bottom"/>
            <w:tcBorders>
              <w:top w:val="single" w:sz="8" w:color="0000EE"/>
            </w:tcBorders>
          </w:tcPr>
          <w:p>
            <w:pPr>
              <w:spacing w:after="0"/>
              <w:rPr>
                <w:sz w:val="3"/>
                <w:szCs w:val="3"/>
                <w:color w:val="auto"/>
              </w:rPr>
            </w:pPr>
          </w:p>
        </w:tc>
        <w:tc>
          <w:tcPr>
            <w:tcW w:w="240" w:type="dxa"/>
            <w:vAlign w:val="bottom"/>
            <w:tcBorders>
              <w:top w:val="single" w:sz="8" w:color="0000EE"/>
            </w:tcBorders>
          </w:tcPr>
          <w:p>
            <w:pPr>
              <w:spacing w:after="0"/>
              <w:rPr>
                <w:sz w:val="3"/>
                <w:szCs w:val="3"/>
                <w:color w:val="auto"/>
              </w:rPr>
            </w:pPr>
          </w:p>
        </w:tc>
        <w:tc>
          <w:tcPr>
            <w:tcW w:w="3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32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680" w:type="dxa"/>
            <w:vAlign w:val="bottom"/>
          </w:tcPr>
          <w:p>
            <w:pPr>
              <w:spacing w:after="0"/>
              <w:rPr>
                <w:sz w:val="3"/>
                <w:szCs w:val="3"/>
                <w:color w:val="auto"/>
              </w:rPr>
            </w:pPr>
          </w:p>
        </w:tc>
        <w:tc>
          <w:tcPr>
            <w:tcW w:w="3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320" w:type="dxa"/>
            <w:vAlign w:val="bottom"/>
            <w:gridSpan w:val="29"/>
            <w:shd w:val="clear" w:color="auto" w:fill="F0FFFF"/>
          </w:tcPr>
          <w:p>
            <w:pPr>
              <w:spacing w:after="0" w:line="124" w:lineRule="exact"/>
              <w:rPr>
                <w:sz w:val="20"/>
                <w:szCs w:val="20"/>
                <w:color w:val="auto"/>
              </w:rPr>
            </w:pPr>
            <w:r>
              <w:rPr>
                <w:rFonts w:ascii="Times New Roman" w:cs="Times New Roman" w:eastAsia="Times New Roman" w:hAnsi="Times New Roman"/>
                <w:sz w:val="14"/>
                <w:szCs w:val="14"/>
                <w:color w:val="0000EE"/>
              </w:rPr>
              <w:t>CONFIRMING TRANSACTIONS</w:t>
            </w:r>
          </w:p>
        </w:tc>
        <w:tc>
          <w:tcPr>
            <w:tcW w:w="32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0" w:type="dxa"/>
            <w:vAlign w:val="bottom"/>
          </w:tcPr>
          <w:p>
            <w:pPr>
              <w:spacing w:after="0"/>
              <w:rPr>
                <w:sz w:val="1"/>
                <w:szCs w:val="1"/>
                <w:color w:val="auto"/>
              </w:rPr>
            </w:pPr>
          </w:p>
        </w:tc>
      </w:tr>
      <w:tr>
        <w:trPr>
          <w:trHeight w:val="42"/>
        </w:trPr>
        <w:tc>
          <w:tcPr>
            <w:tcW w:w="20" w:type="dxa"/>
            <w:vAlign w:val="bottom"/>
            <w:tcBorders>
              <w:top w:val="single" w:sz="8" w:color="0000EE"/>
            </w:tcBorders>
          </w:tcPr>
          <w:p>
            <w:pPr>
              <w:spacing w:after="0"/>
              <w:rPr>
                <w:sz w:val="3"/>
                <w:szCs w:val="3"/>
                <w:color w:val="auto"/>
              </w:rPr>
            </w:pPr>
          </w:p>
        </w:tc>
        <w:tc>
          <w:tcPr>
            <w:tcW w:w="240" w:type="dxa"/>
            <w:vAlign w:val="bottom"/>
            <w:tcBorders>
              <w:top w:val="single" w:sz="8" w:color="0000EE"/>
              <w:bottom w:val="single" w:sz="8" w:color="F0FFFF"/>
            </w:tcBorders>
            <w:shd w:val="clear" w:color="auto" w:fill="F0FFFF"/>
          </w:tcPr>
          <w:p>
            <w:pPr>
              <w:spacing w:after="0"/>
              <w:rPr>
                <w:sz w:val="3"/>
                <w:szCs w:val="3"/>
                <w:color w:val="auto"/>
              </w:rPr>
            </w:pPr>
          </w:p>
        </w:tc>
        <w:tc>
          <w:tcPr>
            <w:tcW w:w="320" w:type="dxa"/>
            <w:vAlign w:val="bottom"/>
            <w:tcBorders>
              <w:top w:val="single" w:sz="8" w:color="0000EE"/>
              <w:bottom w:val="single" w:sz="8" w:color="F0FFFF"/>
            </w:tcBorders>
            <w:shd w:val="clear" w:color="auto" w:fill="F0FFFF"/>
          </w:tcPr>
          <w:p>
            <w:pPr>
              <w:spacing w:after="0"/>
              <w:rPr>
                <w:sz w:val="3"/>
                <w:szCs w:val="3"/>
                <w:color w:val="auto"/>
              </w:rPr>
            </w:pPr>
          </w:p>
        </w:tc>
        <w:tc>
          <w:tcPr>
            <w:tcW w:w="6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120" w:type="dxa"/>
            <w:vAlign w:val="bottom"/>
            <w:tcBorders>
              <w:top w:val="single" w:sz="8" w:color="0000EE"/>
              <w:bottom w:val="single" w:sz="8" w:color="F0FFFF"/>
              <w:right w:val="single" w:sz="8" w:color="F0FFFF"/>
            </w:tcBorders>
            <w:shd w:val="clear" w:color="auto" w:fill="F0FFFF"/>
          </w:tcPr>
          <w:p>
            <w:pPr>
              <w:spacing w:after="0"/>
              <w:rPr>
                <w:sz w:val="3"/>
                <w:szCs w:val="3"/>
                <w:color w:val="auto"/>
              </w:rPr>
            </w:pPr>
          </w:p>
        </w:tc>
        <w:tc>
          <w:tcPr>
            <w:tcW w:w="8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320" w:type="dxa"/>
            <w:vAlign w:val="bottom"/>
            <w:tcBorders>
              <w:top w:val="single" w:sz="8" w:color="0000EE"/>
              <w:bottom w:val="single" w:sz="8" w:color="F0FFFF"/>
            </w:tcBorders>
            <w:shd w:val="clear" w:color="auto" w:fill="F0FFFF"/>
          </w:tcPr>
          <w:p>
            <w:pPr>
              <w:spacing w:after="0"/>
              <w:rPr>
                <w:sz w:val="3"/>
                <w:szCs w:val="3"/>
                <w:color w:val="auto"/>
              </w:rPr>
            </w:pPr>
          </w:p>
        </w:tc>
        <w:tc>
          <w:tcPr>
            <w:tcW w:w="16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8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40" w:type="dxa"/>
            <w:vAlign w:val="bottom"/>
            <w:tcBorders>
              <w:top w:val="single" w:sz="8" w:color="0000EE"/>
              <w:bottom w:val="single" w:sz="8" w:color="F0FFFF"/>
            </w:tcBorders>
            <w:shd w:val="clear" w:color="auto" w:fill="F0FFFF"/>
          </w:tcPr>
          <w:p>
            <w:pPr>
              <w:spacing w:after="0"/>
              <w:rPr>
                <w:sz w:val="3"/>
                <w:szCs w:val="3"/>
                <w:color w:val="auto"/>
              </w:rPr>
            </w:pPr>
          </w:p>
        </w:tc>
        <w:tc>
          <w:tcPr>
            <w:tcW w:w="8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120" w:type="dxa"/>
            <w:vAlign w:val="bottom"/>
            <w:tcBorders>
              <w:top w:val="single" w:sz="8" w:color="0000EE"/>
              <w:bottom w:val="single" w:sz="8" w:color="F0FFFF"/>
            </w:tcBorders>
            <w:shd w:val="clear" w:color="auto" w:fill="F0FFFF"/>
          </w:tcPr>
          <w:p>
            <w:pPr>
              <w:spacing w:after="0"/>
              <w:rPr>
                <w:sz w:val="3"/>
                <w:szCs w:val="3"/>
                <w:color w:val="auto"/>
              </w:rPr>
            </w:pPr>
          </w:p>
        </w:tc>
        <w:tc>
          <w:tcPr>
            <w:tcW w:w="160" w:type="dxa"/>
            <w:vAlign w:val="bottom"/>
            <w:tcBorders>
              <w:top w:val="single" w:sz="8" w:color="0000EE"/>
              <w:bottom w:val="single" w:sz="8" w:color="F0FFFF"/>
              <w:right w:val="single" w:sz="8" w:color="F0FFFF"/>
            </w:tcBorders>
            <w:shd w:val="clear" w:color="auto" w:fill="F0FFFF"/>
          </w:tcPr>
          <w:p>
            <w:pPr>
              <w:spacing w:after="0"/>
              <w:rPr>
                <w:sz w:val="3"/>
                <w:szCs w:val="3"/>
                <w:color w:val="auto"/>
              </w:rPr>
            </w:pPr>
          </w:p>
        </w:tc>
        <w:tc>
          <w:tcPr>
            <w:tcW w:w="160" w:type="dxa"/>
            <w:vAlign w:val="bottom"/>
            <w:tcBorders>
              <w:top w:val="single" w:sz="8" w:color="F0FFFF"/>
              <w:bottom w:val="single" w:sz="8" w:color="F0FFFF"/>
            </w:tcBorders>
            <w:shd w:val="clear" w:color="auto" w:fill="F0FFFF"/>
          </w:tcPr>
          <w:p>
            <w:pPr>
              <w:spacing w:after="0"/>
              <w:rPr>
                <w:sz w:val="3"/>
                <w:szCs w:val="3"/>
                <w:color w:val="auto"/>
              </w:rPr>
            </w:pPr>
          </w:p>
        </w:tc>
        <w:tc>
          <w:tcPr>
            <w:tcW w:w="640" w:type="dxa"/>
            <w:vAlign w:val="bottom"/>
            <w:tcBorders>
              <w:top w:val="single" w:sz="8" w:color="F0FFFF"/>
              <w:bottom w:val="single" w:sz="8" w:color="F0FFFF"/>
            </w:tcBorders>
            <w:shd w:val="clear" w:color="auto" w:fill="F0FFFF"/>
          </w:tcPr>
          <w:p>
            <w:pPr>
              <w:spacing w:after="0"/>
              <w:rPr>
                <w:sz w:val="3"/>
                <w:szCs w:val="3"/>
                <w:color w:val="auto"/>
              </w:rPr>
            </w:pPr>
          </w:p>
        </w:tc>
        <w:tc>
          <w:tcPr>
            <w:tcW w:w="160" w:type="dxa"/>
            <w:vAlign w:val="bottom"/>
            <w:tcBorders>
              <w:top w:val="single" w:sz="8" w:color="F0FFFF"/>
              <w:bottom w:val="single" w:sz="8" w:color="F0FFFF"/>
            </w:tcBorders>
            <w:shd w:val="clear" w:color="auto" w:fill="F0FFFF"/>
          </w:tcPr>
          <w:p>
            <w:pPr>
              <w:spacing w:after="0"/>
              <w:rPr>
                <w:sz w:val="3"/>
                <w:szCs w:val="3"/>
                <w:color w:val="auto"/>
              </w:rPr>
            </w:pPr>
          </w:p>
        </w:tc>
        <w:tc>
          <w:tcPr>
            <w:tcW w:w="14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60" w:type="dxa"/>
            <w:vAlign w:val="bottom"/>
            <w:tcBorders>
              <w:top w:val="single" w:sz="8" w:color="F0FFFF"/>
              <w:bottom w:val="single" w:sz="8" w:color="F0FFFF"/>
            </w:tcBorders>
            <w:shd w:val="clear" w:color="auto" w:fill="F0FFFF"/>
          </w:tcPr>
          <w:p>
            <w:pPr>
              <w:spacing w:after="0"/>
              <w:rPr>
                <w:sz w:val="3"/>
                <w:szCs w:val="3"/>
                <w:color w:val="auto"/>
              </w:rPr>
            </w:pPr>
          </w:p>
        </w:tc>
        <w:tc>
          <w:tcPr>
            <w:tcW w:w="80" w:type="dxa"/>
            <w:vAlign w:val="bottom"/>
            <w:tcBorders>
              <w:top w:val="single" w:sz="8" w:color="F0FFFF"/>
              <w:bottom w:val="single" w:sz="8" w:color="F0FFFF"/>
            </w:tcBorders>
            <w:shd w:val="clear" w:color="auto" w:fill="F0FFFF"/>
          </w:tcPr>
          <w:p>
            <w:pPr>
              <w:spacing w:after="0"/>
              <w:rPr>
                <w:sz w:val="3"/>
                <w:szCs w:val="3"/>
                <w:color w:val="auto"/>
              </w:rPr>
            </w:pPr>
          </w:p>
        </w:tc>
        <w:tc>
          <w:tcPr>
            <w:tcW w:w="60" w:type="dxa"/>
            <w:vAlign w:val="bottom"/>
            <w:tcBorders>
              <w:top w:val="single" w:sz="8" w:color="F0FFFF"/>
              <w:bottom w:val="single" w:sz="8" w:color="F0FFFF"/>
            </w:tcBorders>
            <w:shd w:val="clear" w:color="auto" w:fill="F0FFFF"/>
          </w:tcPr>
          <w:p>
            <w:pPr>
              <w:spacing w:after="0"/>
              <w:rPr>
                <w:sz w:val="3"/>
                <w:szCs w:val="3"/>
                <w:color w:val="auto"/>
              </w:rPr>
            </w:pPr>
          </w:p>
        </w:tc>
        <w:tc>
          <w:tcPr>
            <w:tcW w:w="400" w:type="dxa"/>
            <w:vAlign w:val="bottom"/>
            <w:tcBorders>
              <w:top w:val="single" w:sz="8" w:color="F0FFFF"/>
              <w:bottom w:val="single" w:sz="8" w:color="F0FFFF"/>
            </w:tcBorders>
            <w:shd w:val="clear" w:color="auto" w:fill="F0FFFF"/>
          </w:tcPr>
          <w:p>
            <w:pPr>
              <w:spacing w:after="0"/>
              <w:rPr>
                <w:sz w:val="3"/>
                <w:szCs w:val="3"/>
                <w:color w:val="auto"/>
              </w:rPr>
            </w:pPr>
          </w:p>
        </w:tc>
        <w:tc>
          <w:tcPr>
            <w:tcW w:w="2680" w:type="dxa"/>
            <w:vAlign w:val="bottom"/>
            <w:tcBorders>
              <w:top w:val="single" w:sz="8" w:color="F0FFFF"/>
              <w:bottom w:val="single" w:sz="8" w:color="F0FFFF"/>
            </w:tcBorders>
            <w:shd w:val="clear" w:color="auto" w:fill="F0FFFF"/>
          </w:tcPr>
          <w:p>
            <w:pPr>
              <w:spacing w:after="0"/>
              <w:rPr>
                <w:sz w:val="3"/>
                <w:szCs w:val="3"/>
                <w:color w:val="auto"/>
              </w:rPr>
            </w:pPr>
          </w:p>
        </w:tc>
        <w:tc>
          <w:tcPr>
            <w:tcW w:w="320" w:type="dxa"/>
            <w:vAlign w:val="bottom"/>
            <w:tcBorders>
              <w:top w:val="single" w:sz="8" w:color="F0FFFF"/>
              <w:bottom w:val="single" w:sz="8" w:color="F0FFFF"/>
            </w:tcBorders>
            <w:vMerge w:val="continue"/>
            <w:shd w:val="clear" w:color="auto" w:fill="F0FFFF"/>
          </w:tcPr>
          <w:p>
            <w:pPr>
              <w:spacing w:after="0"/>
              <w:rPr>
                <w:sz w:val="3"/>
                <w:szCs w:val="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320" w:type="dxa"/>
            <w:vAlign w:val="bottom"/>
            <w:gridSpan w:val="29"/>
          </w:tcPr>
          <w:p>
            <w:pPr>
              <w:spacing w:after="0" w:line="104" w:lineRule="exact"/>
              <w:rPr>
                <w:sz w:val="20"/>
                <w:szCs w:val="20"/>
                <w:color w:val="auto"/>
              </w:rPr>
            </w:pPr>
            <w:r>
              <w:rPr>
                <w:rFonts w:ascii="Times New Roman" w:cs="Times New Roman" w:eastAsia="Times New Roman" w:hAnsi="Times New Roman"/>
                <w:sz w:val="11"/>
                <w:szCs w:val="11"/>
                <w:color w:val="0000EE"/>
              </w:rPr>
              <w:t>LEGAL PROCEEDINGS</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0" w:type="dxa"/>
            <w:vAlign w:val="bottom"/>
          </w:tcPr>
          <w:p>
            <w:pPr>
              <w:spacing w:after="0"/>
              <w:rPr>
                <w:sz w:val="1"/>
                <w:szCs w:val="1"/>
                <w:color w:val="auto"/>
              </w:rPr>
            </w:pPr>
          </w:p>
        </w:tc>
      </w:tr>
      <w:tr>
        <w:trPr>
          <w:trHeight w:val="42"/>
        </w:trPr>
        <w:tc>
          <w:tcPr>
            <w:tcW w:w="20" w:type="dxa"/>
            <w:vAlign w:val="bottom"/>
            <w:tcBorders>
              <w:top w:val="single" w:sz="8" w:color="0000EE"/>
            </w:tcBorders>
          </w:tcPr>
          <w:p>
            <w:pPr>
              <w:spacing w:after="0"/>
              <w:rPr>
                <w:sz w:val="3"/>
                <w:szCs w:val="3"/>
                <w:color w:val="auto"/>
              </w:rPr>
            </w:pPr>
          </w:p>
        </w:tc>
        <w:tc>
          <w:tcPr>
            <w:tcW w:w="240" w:type="dxa"/>
            <w:vAlign w:val="bottom"/>
            <w:tcBorders>
              <w:top w:val="single" w:sz="8" w:color="0000EE"/>
            </w:tcBorders>
          </w:tcPr>
          <w:p>
            <w:pPr>
              <w:spacing w:after="0"/>
              <w:rPr>
                <w:sz w:val="3"/>
                <w:szCs w:val="3"/>
                <w:color w:val="auto"/>
              </w:rPr>
            </w:pPr>
          </w:p>
        </w:tc>
        <w:tc>
          <w:tcPr>
            <w:tcW w:w="3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32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680" w:type="dxa"/>
            <w:vAlign w:val="bottom"/>
          </w:tcPr>
          <w:p>
            <w:pPr>
              <w:spacing w:after="0"/>
              <w:rPr>
                <w:sz w:val="3"/>
                <w:szCs w:val="3"/>
                <w:color w:val="auto"/>
              </w:rPr>
            </w:pPr>
          </w:p>
        </w:tc>
        <w:tc>
          <w:tcPr>
            <w:tcW w:w="3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320" w:type="dxa"/>
            <w:vAlign w:val="bottom"/>
            <w:gridSpan w:val="29"/>
            <w:shd w:val="clear" w:color="auto" w:fill="F0FFFF"/>
          </w:tcPr>
          <w:p>
            <w:pPr>
              <w:spacing w:after="0" w:line="124" w:lineRule="exact"/>
              <w:rPr>
                <w:sz w:val="20"/>
                <w:szCs w:val="20"/>
                <w:color w:val="auto"/>
              </w:rPr>
            </w:pPr>
            <w:r>
              <w:rPr>
                <w:rFonts w:ascii="Times New Roman" w:cs="Times New Roman" w:eastAsia="Times New Roman" w:hAnsi="Times New Roman"/>
                <w:sz w:val="14"/>
                <w:szCs w:val="14"/>
                <w:color w:val="0000EE"/>
              </w:rPr>
              <w:t>EXPERTS</w:t>
            </w:r>
          </w:p>
        </w:tc>
        <w:tc>
          <w:tcPr>
            <w:tcW w:w="32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0" w:type="dxa"/>
            <w:vAlign w:val="bottom"/>
          </w:tcPr>
          <w:p>
            <w:pPr>
              <w:spacing w:after="0"/>
              <w:rPr>
                <w:sz w:val="1"/>
                <w:szCs w:val="1"/>
                <w:color w:val="auto"/>
              </w:rPr>
            </w:pPr>
          </w:p>
        </w:tc>
      </w:tr>
      <w:tr>
        <w:trPr>
          <w:trHeight w:val="42"/>
        </w:trPr>
        <w:tc>
          <w:tcPr>
            <w:tcW w:w="20" w:type="dxa"/>
            <w:vAlign w:val="bottom"/>
            <w:tcBorders>
              <w:top w:val="single" w:sz="8" w:color="0000EE"/>
            </w:tcBorders>
          </w:tcPr>
          <w:p>
            <w:pPr>
              <w:spacing w:after="0"/>
              <w:rPr>
                <w:sz w:val="3"/>
                <w:szCs w:val="3"/>
                <w:color w:val="auto"/>
              </w:rPr>
            </w:pPr>
          </w:p>
        </w:tc>
        <w:tc>
          <w:tcPr>
            <w:tcW w:w="240" w:type="dxa"/>
            <w:vAlign w:val="bottom"/>
            <w:tcBorders>
              <w:top w:val="single" w:sz="8" w:color="0000EE"/>
              <w:bottom w:val="single" w:sz="8" w:color="F0FFFF"/>
            </w:tcBorders>
            <w:shd w:val="clear" w:color="auto" w:fill="F0FFFF"/>
          </w:tcPr>
          <w:p>
            <w:pPr>
              <w:spacing w:after="0"/>
              <w:rPr>
                <w:sz w:val="3"/>
                <w:szCs w:val="3"/>
                <w:color w:val="auto"/>
              </w:rPr>
            </w:pPr>
          </w:p>
        </w:tc>
        <w:tc>
          <w:tcPr>
            <w:tcW w:w="320" w:type="dxa"/>
            <w:vAlign w:val="bottom"/>
            <w:tcBorders>
              <w:top w:val="single" w:sz="8" w:color="0000EE"/>
              <w:bottom w:val="single" w:sz="8" w:color="F0FFFF"/>
            </w:tcBorders>
            <w:shd w:val="clear" w:color="auto" w:fill="F0FFFF"/>
          </w:tcPr>
          <w:p>
            <w:pPr>
              <w:spacing w:after="0"/>
              <w:rPr>
                <w:sz w:val="3"/>
                <w:szCs w:val="3"/>
                <w:color w:val="auto"/>
              </w:rPr>
            </w:pPr>
          </w:p>
        </w:tc>
        <w:tc>
          <w:tcPr>
            <w:tcW w:w="6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120" w:type="dxa"/>
            <w:vAlign w:val="bottom"/>
            <w:tcBorders>
              <w:top w:val="single" w:sz="8" w:color="F0FFFF"/>
              <w:bottom w:val="single" w:sz="8" w:color="F0FFFF"/>
              <w:right w:val="single" w:sz="8" w:color="F0FFFF"/>
            </w:tcBorders>
            <w:shd w:val="clear" w:color="auto" w:fill="F0FFFF"/>
          </w:tcPr>
          <w:p>
            <w:pPr>
              <w:spacing w:after="0"/>
              <w:rPr>
                <w:sz w:val="3"/>
                <w:szCs w:val="3"/>
                <w:color w:val="auto"/>
              </w:rPr>
            </w:pPr>
          </w:p>
        </w:tc>
        <w:tc>
          <w:tcPr>
            <w:tcW w:w="8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320" w:type="dxa"/>
            <w:vAlign w:val="bottom"/>
            <w:tcBorders>
              <w:top w:val="single" w:sz="8" w:color="F0FFFF"/>
              <w:bottom w:val="single" w:sz="8" w:color="F0FFFF"/>
            </w:tcBorders>
            <w:shd w:val="clear" w:color="auto" w:fill="F0FFFF"/>
          </w:tcPr>
          <w:p>
            <w:pPr>
              <w:spacing w:after="0"/>
              <w:rPr>
                <w:sz w:val="3"/>
                <w:szCs w:val="3"/>
                <w:color w:val="auto"/>
              </w:rPr>
            </w:pPr>
          </w:p>
        </w:tc>
        <w:tc>
          <w:tcPr>
            <w:tcW w:w="16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8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40" w:type="dxa"/>
            <w:vAlign w:val="bottom"/>
            <w:tcBorders>
              <w:top w:val="single" w:sz="8" w:color="F0FFFF"/>
              <w:bottom w:val="single" w:sz="8" w:color="F0FFFF"/>
            </w:tcBorders>
            <w:shd w:val="clear" w:color="auto" w:fill="F0FFFF"/>
          </w:tcPr>
          <w:p>
            <w:pPr>
              <w:spacing w:after="0"/>
              <w:rPr>
                <w:sz w:val="3"/>
                <w:szCs w:val="3"/>
                <w:color w:val="auto"/>
              </w:rPr>
            </w:pPr>
          </w:p>
        </w:tc>
        <w:tc>
          <w:tcPr>
            <w:tcW w:w="8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120" w:type="dxa"/>
            <w:vAlign w:val="bottom"/>
            <w:tcBorders>
              <w:top w:val="single" w:sz="8" w:color="F0FFFF"/>
              <w:bottom w:val="single" w:sz="8" w:color="F0FFFF"/>
            </w:tcBorders>
            <w:shd w:val="clear" w:color="auto" w:fill="F0FFFF"/>
          </w:tcPr>
          <w:p>
            <w:pPr>
              <w:spacing w:after="0"/>
              <w:rPr>
                <w:sz w:val="3"/>
                <w:szCs w:val="3"/>
                <w:color w:val="auto"/>
              </w:rPr>
            </w:pPr>
          </w:p>
        </w:tc>
        <w:tc>
          <w:tcPr>
            <w:tcW w:w="160" w:type="dxa"/>
            <w:vAlign w:val="bottom"/>
            <w:tcBorders>
              <w:top w:val="single" w:sz="8" w:color="F0FFFF"/>
              <w:bottom w:val="single" w:sz="8" w:color="F0FFFF"/>
              <w:right w:val="single" w:sz="8" w:color="F0FFFF"/>
            </w:tcBorders>
            <w:shd w:val="clear" w:color="auto" w:fill="F0FFFF"/>
          </w:tcPr>
          <w:p>
            <w:pPr>
              <w:spacing w:after="0"/>
              <w:rPr>
                <w:sz w:val="3"/>
                <w:szCs w:val="3"/>
                <w:color w:val="auto"/>
              </w:rPr>
            </w:pPr>
          </w:p>
        </w:tc>
        <w:tc>
          <w:tcPr>
            <w:tcW w:w="160" w:type="dxa"/>
            <w:vAlign w:val="bottom"/>
            <w:tcBorders>
              <w:top w:val="single" w:sz="8" w:color="F0FFFF"/>
              <w:bottom w:val="single" w:sz="8" w:color="F0FFFF"/>
            </w:tcBorders>
            <w:shd w:val="clear" w:color="auto" w:fill="F0FFFF"/>
          </w:tcPr>
          <w:p>
            <w:pPr>
              <w:spacing w:after="0"/>
              <w:rPr>
                <w:sz w:val="3"/>
                <w:szCs w:val="3"/>
                <w:color w:val="auto"/>
              </w:rPr>
            </w:pPr>
          </w:p>
        </w:tc>
        <w:tc>
          <w:tcPr>
            <w:tcW w:w="640" w:type="dxa"/>
            <w:vAlign w:val="bottom"/>
            <w:tcBorders>
              <w:top w:val="single" w:sz="8" w:color="F0FFFF"/>
              <w:bottom w:val="single" w:sz="8" w:color="F0FFFF"/>
            </w:tcBorders>
            <w:shd w:val="clear" w:color="auto" w:fill="F0FFFF"/>
          </w:tcPr>
          <w:p>
            <w:pPr>
              <w:spacing w:after="0"/>
              <w:rPr>
                <w:sz w:val="3"/>
                <w:szCs w:val="3"/>
                <w:color w:val="auto"/>
              </w:rPr>
            </w:pPr>
          </w:p>
        </w:tc>
        <w:tc>
          <w:tcPr>
            <w:tcW w:w="160" w:type="dxa"/>
            <w:vAlign w:val="bottom"/>
            <w:tcBorders>
              <w:top w:val="single" w:sz="8" w:color="F0FFFF"/>
              <w:bottom w:val="single" w:sz="8" w:color="F0FFFF"/>
            </w:tcBorders>
            <w:shd w:val="clear" w:color="auto" w:fill="F0FFFF"/>
          </w:tcPr>
          <w:p>
            <w:pPr>
              <w:spacing w:after="0"/>
              <w:rPr>
                <w:sz w:val="3"/>
                <w:szCs w:val="3"/>
                <w:color w:val="auto"/>
              </w:rPr>
            </w:pPr>
          </w:p>
        </w:tc>
        <w:tc>
          <w:tcPr>
            <w:tcW w:w="14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60" w:type="dxa"/>
            <w:vAlign w:val="bottom"/>
            <w:tcBorders>
              <w:top w:val="single" w:sz="8" w:color="F0FFFF"/>
              <w:bottom w:val="single" w:sz="8" w:color="F0FFFF"/>
            </w:tcBorders>
            <w:shd w:val="clear" w:color="auto" w:fill="F0FFFF"/>
          </w:tcPr>
          <w:p>
            <w:pPr>
              <w:spacing w:after="0"/>
              <w:rPr>
                <w:sz w:val="3"/>
                <w:szCs w:val="3"/>
                <w:color w:val="auto"/>
              </w:rPr>
            </w:pPr>
          </w:p>
        </w:tc>
        <w:tc>
          <w:tcPr>
            <w:tcW w:w="80" w:type="dxa"/>
            <w:vAlign w:val="bottom"/>
            <w:tcBorders>
              <w:top w:val="single" w:sz="8" w:color="F0FFFF"/>
              <w:bottom w:val="single" w:sz="8" w:color="F0FFFF"/>
            </w:tcBorders>
            <w:shd w:val="clear" w:color="auto" w:fill="F0FFFF"/>
          </w:tcPr>
          <w:p>
            <w:pPr>
              <w:spacing w:after="0"/>
              <w:rPr>
                <w:sz w:val="3"/>
                <w:szCs w:val="3"/>
                <w:color w:val="auto"/>
              </w:rPr>
            </w:pPr>
          </w:p>
        </w:tc>
        <w:tc>
          <w:tcPr>
            <w:tcW w:w="60" w:type="dxa"/>
            <w:vAlign w:val="bottom"/>
            <w:tcBorders>
              <w:top w:val="single" w:sz="8" w:color="F0FFFF"/>
              <w:bottom w:val="single" w:sz="8" w:color="F0FFFF"/>
            </w:tcBorders>
            <w:shd w:val="clear" w:color="auto" w:fill="F0FFFF"/>
          </w:tcPr>
          <w:p>
            <w:pPr>
              <w:spacing w:after="0"/>
              <w:rPr>
                <w:sz w:val="3"/>
                <w:szCs w:val="3"/>
                <w:color w:val="auto"/>
              </w:rPr>
            </w:pPr>
          </w:p>
        </w:tc>
        <w:tc>
          <w:tcPr>
            <w:tcW w:w="400" w:type="dxa"/>
            <w:vAlign w:val="bottom"/>
            <w:tcBorders>
              <w:top w:val="single" w:sz="8" w:color="F0FFFF"/>
              <w:bottom w:val="single" w:sz="8" w:color="F0FFFF"/>
            </w:tcBorders>
            <w:shd w:val="clear" w:color="auto" w:fill="F0FFFF"/>
          </w:tcPr>
          <w:p>
            <w:pPr>
              <w:spacing w:after="0"/>
              <w:rPr>
                <w:sz w:val="3"/>
                <w:szCs w:val="3"/>
                <w:color w:val="auto"/>
              </w:rPr>
            </w:pPr>
          </w:p>
        </w:tc>
        <w:tc>
          <w:tcPr>
            <w:tcW w:w="2680" w:type="dxa"/>
            <w:vAlign w:val="bottom"/>
            <w:tcBorders>
              <w:top w:val="single" w:sz="8" w:color="F0FFFF"/>
              <w:bottom w:val="single" w:sz="8" w:color="F0FFFF"/>
            </w:tcBorders>
            <w:shd w:val="clear" w:color="auto" w:fill="F0FFFF"/>
          </w:tcPr>
          <w:p>
            <w:pPr>
              <w:spacing w:after="0"/>
              <w:rPr>
                <w:sz w:val="3"/>
                <w:szCs w:val="3"/>
                <w:color w:val="auto"/>
              </w:rPr>
            </w:pPr>
          </w:p>
        </w:tc>
        <w:tc>
          <w:tcPr>
            <w:tcW w:w="320" w:type="dxa"/>
            <w:vAlign w:val="bottom"/>
            <w:tcBorders>
              <w:top w:val="single" w:sz="8" w:color="F0FFFF"/>
              <w:bottom w:val="single" w:sz="8" w:color="F0FFFF"/>
            </w:tcBorders>
            <w:vMerge w:val="continue"/>
            <w:shd w:val="clear" w:color="auto" w:fill="F0FFFF"/>
          </w:tcPr>
          <w:p>
            <w:pPr>
              <w:spacing w:after="0"/>
              <w:rPr>
                <w:sz w:val="3"/>
                <w:szCs w:val="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320" w:type="dxa"/>
            <w:vAlign w:val="bottom"/>
            <w:gridSpan w:val="29"/>
          </w:tcPr>
          <w:p>
            <w:pPr>
              <w:spacing w:after="0" w:line="104" w:lineRule="exact"/>
              <w:rPr>
                <w:sz w:val="20"/>
                <w:szCs w:val="20"/>
                <w:color w:val="auto"/>
              </w:rPr>
            </w:pPr>
            <w:r>
              <w:rPr>
                <w:rFonts w:ascii="Times New Roman" w:cs="Times New Roman" w:eastAsia="Times New Roman" w:hAnsi="Times New Roman"/>
                <w:sz w:val="11"/>
                <w:szCs w:val="11"/>
                <w:color w:val="0000EE"/>
              </w:rPr>
              <w:t>INDEPENDENT REGISTERED PUBLIC ACCOUNTING FIRM</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0" w:type="dxa"/>
            <w:vAlign w:val="bottom"/>
          </w:tcPr>
          <w:p>
            <w:pPr>
              <w:spacing w:after="0"/>
              <w:rPr>
                <w:sz w:val="1"/>
                <w:szCs w:val="1"/>
                <w:color w:val="auto"/>
              </w:rPr>
            </w:pPr>
          </w:p>
        </w:tc>
      </w:tr>
      <w:tr>
        <w:trPr>
          <w:trHeight w:val="42"/>
        </w:trPr>
        <w:tc>
          <w:tcPr>
            <w:tcW w:w="20" w:type="dxa"/>
            <w:vAlign w:val="bottom"/>
            <w:tcBorders>
              <w:top w:val="single" w:sz="8" w:color="0000EE"/>
            </w:tcBorders>
          </w:tcPr>
          <w:p>
            <w:pPr>
              <w:spacing w:after="0"/>
              <w:rPr>
                <w:sz w:val="3"/>
                <w:szCs w:val="3"/>
                <w:color w:val="auto"/>
              </w:rPr>
            </w:pPr>
          </w:p>
        </w:tc>
        <w:tc>
          <w:tcPr>
            <w:tcW w:w="240" w:type="dxa"/>
            <w:vAlign w:val="bottom"/>
            <w:tcBorders>
              <w:top w:val="single" w:sz="8" w:color="0000EE"/>
            </w:tcBorders>
          </w:tcPr>
          <w:p>
            <w:pPr>
              <w:spacing w:after="0"/>
              <w:rPr>
                <w:sz w:val="3"/>
                <w:szCs w:val="3"/>
                <w:color w:val="auto"/>
              </w:rPr>
            </w:pPr>
          </w:p>
        </w:tc>
        <w:tc>
          <w:tcPr>
            <w:tcW w:w="3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32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64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400" w:type="dxa"/>
            <w:vAlign w:val="bottom"/>
            <w:tcBorders>
              <w:top w:val="single" w:sz="8" w:color="0000EE"/>
            </w:tcBorders>
          </w:tcPr>
          <w:p>
            <w:pPr>
              <w:spacing w:after="0"/>
              <w:rPr>
                <w:sz w:val="3"/>
                <w:szCs w:val="3"/>
                <w:color w:val="auto"/>
              </w:rPr>
            </w:pPr>
          </w:p>
        </w:tc>
        <w:tc>
          <w:tcPr>
            <w:tcW w:w="2680" w:type="dxa"/>
            <w:vAlign w:val="bottom"/>
          </w:tcPr>
          <w:p>
            <w:pPr>
              <w:spacing w:after="0"/>
              <w:rPr>
                <w:sz w:val="3"/>
                <w:szCs w:val="3"/>
                <w:color w:val="auto"/>
              </w:rPr>
            </w:pPr>
          </w:p>
        </w:tc>
        <w:tc>
          <w:tcPr>
            <w:tcW w:w="3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320" w:type="dxa"/>
            <w:vAlign w:val="bottom"/>
            <w:gridSpan w:val="29"/>
            <w:shd w:val="clear" w:color="auto" w:fill="F0FFFF"/>
          </w:tcPr>
          <w:p>
            <w:pPr>
              <w:spacing w:after="0" w:line="124" w:lineRule="exact"/>
              <w:rPr>
                <w:sz w:val="20"/>
                <w:szCs w:val="20"/>
                <w:color w:val="auto"/>
              </w:rPr>
            </w:pPr>
            <w:r>
              <w:rPr>
                <w:rFonts w:ascii="Times New Roman" w:cs="Times New Roman" w:eastAsia="Times New Roman" w:hAnsi="Times New Roman"/>
                <w:sz w:val="14"/>
                <w:szCs w:val="14"/>
                <w:color w:val="0000EE"/>
              </w:rPr>
              <w:t>STATE VARIATIONS</w:t>
            </w:r>
          </w:p>
        </w:tc>
        <w:tc>
          <w:tcPr>
            <w:tcW w:w="32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0" w:type="dxa"/>
            <w:vAlign w:val="bottom"/>
          </w:tcPr>
          <w:p>
            <w:pPr>
              <w:spacing w:after="0"/>
              <w:rPr>
                <w:sz w:val="1"/>
                <w:szCs w:val="1"/>
                <w:color w:val="auto"/>
              </w:rPr>
            </w:pPr>
          </w:p>
        </w:tc>
      </w:tr>
      <w:tr>
        <w:trPr>
          <w:trHeight w:val="42"/>
        </w:trPr>
        <w:tc>
          <w:tcPr>
            <w:tcW w:w="20" w:type="dxa"/>
            <w:vAlign w:val="bottom"/>
            <w:tcBorders>
              <w:top w:val="single" w:sz="8" w:color="0000EE"/>
            </w:tcBorders>
          </w:tcPr>
          <w:p>
            <w:pPr>
              <w:spacing w:after="0"/>
              <w:rPr>
                <w:sz w:val="3"/>
                <w:szCs w:val="3"/>
                <w:color w:val="auto"/>
              </w:rPr>
            </w:pPr>
          </w:p>
        </w:tc>
        <w:tc>
          <w:tcPr>
            <w:tcW w:w="240" w:type="dxa"/>
            <w:vAlign w:val="bottom"/>
            <w:tcBorders>
              <w:top w:val="single" w:sz="8" w:color="0000EE"/>
              <w:bottom w:val="single" w:sz="8" w:color="F0FFFF"/>
            </w:tcBorders>
            <w:shd w:val="clear" w:color="auto" w:fill="F0FFFF"/>
          </w:tcPr>
          <w:p>
            <w:pPr>
              <w:spacing w:after="0"/>
              <w:rPr>
                <w:sz w:val="3"/>
                <w:szCs w:val="3"/>
                <w:color w:val="auto"/>
              </w:rPr>
            </w:pPr>
          </w:p>
        </w:tc>
        <w:tc>
          <w:tcPr>
            <w:tcW w:w="320" w:type="dxa"/>
            <w:vAlign w:val="bottom"/>
            <w:tcBorders>
              <w:top w:val="single" w:sz="8" w:color="0000EE"/>
              <w:bottom w:val="single" w:sz="8" w:color="F0FFFF"/>
            </w:tcBorders>
            <w:shd w:val="clear" w:color="auto" w:fill="F0FFFF"/>
          </w:tcPr>
          <w:p>
            <w:pPr>
              <w:spacing w:after="0"/>
              <w:rPr>
                <w:sz w:val="3"/>
                <w:szCs w:val="3"/>
                <w:color w:val="auto"/>
              </w:rPr>
            </w:pPr>
          </w:p>
        </w:tc>
        <w:tc>
          <w:tcPr>
            <w:tcW w:w="6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120" w:type="dxa"/>
            <w:vAlign w:val="bottom"/>
            <w:tcBorders>
              <w:top w:val="single" w:sz="8" w:color="0000EE"/>
              <w:bottom w:val="single" w:sz="8" w:color="F0FFFF"/>
              <w:right w:val="single" w:sz="8" w:color="F0FFFF"/>
            </w:tcBorders>
            <w:shd w:val="clear" w:color="auto" w:fill="F0FFFF"/>
          </w:tcPr>
          <w:p>
            <w:pPr>
              <w:spacing w:after="0"/>
              <w:rPr>
                <w:sz w:val="3"/>
                <w:szCs w:val="3"/>
                <w:color w:val="auto"/>
              </w:rPr>
            </w:pPr>
          </w:p>
        </w:tc>
        <w:tc>
          <w:tcPr>
            <w:tcW w:w="8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320" w:type="dxa"/>
            <w:vAlign w:val="bottom"/>
            <w:tcBorders>
              <w:top w:val="single" w:sz="8" w:color="0000EE"/>
              <w:bottom w:val="single" w:sz="8" w:color="F0FFFF"/>
            </w:tcBorders>
            <w:shd w:val="clear" w:color="auto" w:fill="F0FFFF"/>
          </w:tcPr>
          <w:p>
            <w:pPr>
              <w:spacing w:after="0"/>
              <w:rPr>
                <w:sz w:val="3"/>
                <w:szCs w:val="3"/>
                <w:color w:val="auto"/>
              </w:rPr>
            </w:pPr>
          </w:p>
        </w:tc>
        <w:tc>
          <w:tcPr>
            <w:tcW w:w="16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8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40" w:type="dxa"/>
            <w:vAlign w:val="bottom"/>
            <w:tcBorders>
              <w:top w:val="single" w:sz="8" w:color="F0FFFF"/>
              <w:bottom w:val="single" w:sz="8" w:color="F0FFFF"/>
            </w:tcBorders>
            <w:shd w:val="clear" w:color="auto" w:fill="F0FFFF"/>
          </w:tcPr>
          <w:p>
            <w:pPr>
              <w:spacing w:after="0"/>
              <w:rPr>
                <w:sz w:val="3"/>
                <w:szCs w:val="3"/>
                <w:color w:val="auto"/>
              </w:rPr>
            </w:pPr>
          </w:p>
        </w:tc>
        <w:tc>
          <w:tcPr>
            <w:tcW w:w="8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120" w:type="dxa"/>
            <w:vAlign w:val="bottom"/>
            <w:tcBorders>
              <w:top w:val="single" w:sz="8" w:color="F0FFFF"/>
              <w:bottom w:val="single" w:sz="8" w:color="F0FFFF"/>
            </w:tcBorders>
            <w:shd w:val="clear" w:color="auto" w:fill="F0FFFF"/>
          </w:tcPr>
          <w:p>
            <w:pPr>
              <w:spacing w:after="0"/>
              <w:rPr>
                <w:sz w:val="3"/>
                <w:szCs w:val="3"/>
                <w:color w:val="auto"/>
              </w:rPr>
            </w:pPr>
          </w:p>
        </w:tc>
        <w:tc>
          <w:tcPr>
            <w:tcW w:w="160" w:type="dxa"/>
            <w:vAlign w:val="bottom"/>
            <w:tcBorders>
              <w:top w:val="single" w:sz="8" w:color="F0FFFF"/>
              <w:bottom w:val="single" w:sz="8" w:color="F0FFFF"/>
              <w:right w:val="single" w:sz="8" w:color="F0FFFF"/>
            </w:tcBorders>
            <w:shd w:val="clear" w:color="auto" w:fill="F0FFFF"/>
          </w:tcPr>
          <w:p>
            <w:pPr>
              <w:spacing w:after="0"/>
              <w:rPr>
                <w:sz w:val="3"/>
                <w:szCs w:val="3"/>
                <w:color w:val="auto"/>
              </w:rPr>
            </w:pPr>
          </w:p>
        </w:tc>
        <w:tc>
          <w:tcPr>
            <w:tcW w:w="160" w:type="dxa"/>
            <w:vAlign w:val="bottom"/>
            <w:tcBorders>
              <w:top w:val="single" w:sz="8" w:color="F0FFFF"/>
              <w:bottom w:val="single" w:sz="8" w:color="F0FFFF"/>
            </w:tcBorders>
            <w:shd w:val="clear" w:color="auto" w:fill="F0FFFF"/>
          </w:tcPr>
          <w:p>
            <w:pPr>
              <w:spacing w:after="0"/>
              <w:rPr>
                <w:sz w:val="3"/>
                <w:szCs w:val="3"/>
                <w:color w:val="auto"/>
              </w:rPr>
            </w:pPr>
          </w:p>
        </w:tc>
        <w:tc>
          <w:tcPr>
            <w:tcW w:w="640" w:type="dxa"/>
            <w:vAlign w:val="bottom"/>
            <w:tcBorders>
              <w:top w:val="single" w:sz="8" w:color="F0FFFF"/>
              <w:bottom w:val="single" w:sz="8" w:color="F0FFFF"/>
            </w:tcBorders>
            <w:shd w:val="clear" w:color="auto" w:fill="F0FFFF"/>
          </w:tcPr>
          <w:p>
            <w:pPr>
              <w:spacing w:after="0"/>
              <w:rPr>
                <w:sz w:val="3"/>
                <w:szCs w:val="3"/>
                <w:color w:val="auto"/>
              </w:rPr>
            </w:pPr>
          </w:p>
        </w:tc>
        <w:tc>
          <w:tcPr>
            <w:tcW w:w="160" w:type="dxa"/>
            <w:vAlign w:val="bottom"/>
            <w:tcBorders>
              <w:top w:val="single" w:sz="8" w:color="F0FFFF"/>
              <w:bottom w:val="single" w:sz="8" w:color="F0FFFF"/>
            </w:tcBorders>
            <w:shd w:val="clear" w:color="auto" w:fill="F0FFFF"/>
          </w:tcPr>
          <w:p>
            <w:pPr>
              <w:spacing w:after="0"/>
              <w:rPr>
                <w:sz w:val="3"/>
                <w:szCs w:val="3"/>
                <w:color w:val="auto"/>
              </w:rPr>
            </w:pPr>
          </w:p>
        </w:tc>
        <w:tc>
          <w:tcPr>
            <w:tcW w:w="14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60" w:type="dxa"/>
            <w:vAlign w:val="bottom"/>
            <w:tcBorders>
              <w:top w:val="single" w:sz="8" w:color="F0FFFF"/>
              <w:bottom w:val="single" w:sz="8" w:color="F0FFFF"/>
            </w:tcBorders>
            <w:shd w:val="clear" w:color="auto" w:fill="F0FFFF"/>
          </w:tcPr>
          <w:p>
            <w:pPr>
              <w:spacing w:after="0"/>
              <w:rPr>
                <w:sz w:val="3"/>
                <w:szCs w:val="3"/>
                <w:color w:val="auto"/>
              </w:rPr>
            </w:pPr>
          </w:p>
        </w:tc>
        <w:tc>
          <w:tcPr>
            <w:tcW w:w="80" w:type="dxa"/>
            <w:vAlign w:val="bottom"/>
            <w:tcBorders>
              <w:top w:val="single" w:sz="8" w:color="F0FFFF"/>
              <w:bottom w:val="single" w:sz="8" w:color="F0FFFF"/>
            </w:tcBorders>
            <w:shd w:val="clear" w:color="auto" w:fill="F0FFFF"/>
          </w:tcPr>
          <w:p>
            <w:pPr>
              <w:spacing w:after="0"/>
              <w:rPr>
                <w:sz w:val="3"/>
                <w:szCs w:val="3"/>
                <w:color w:val="auto"/>
              </w:rPr>
            </w:pPr>
          </w:p>
        </w:tc>
        <w:tc>
          <w:tcPr>
            <w:tcW w:w="60" w:type="dxa"/>
            <w:vAlign w:val="bottom"/>
            <w:tcBorders>
              <w:top w:val="single" w:sz="8" w:color="F0FFFF"/>
              <w:bottom w:val="single" w:sz="8" w:color="F0FFFF"/>
            </w:tcBorders>
            <w:shd w:val="clear" w:color="auto" w:fill="F0FFFF"/>
          </w:tcPr>
          <w:p>
            <w:pPr>
              <w:spacing w:after="0"/>
              <w:rPr>
                <w:sz w:val="3"/>
                <w:szCs w:val="3"/>
                <w:color w:val="auto"/>
              </w:rPr>
            </w:pPr>
          </w:p>
        </w:tc>
        <w:tc>
          <w:tcPr>
            <w:tcW w:w="400" w:type="dxa"/>
            <w:vAlign w:val="bottom"/>
            <w:tcBorders>
              <w:top w:val="single" w:sz="8" w:color="F0FFFF"/>
              <w:bottom w:val="single" w:sz="8" w:color="F0FFFF"/>
            </w:tcBorders>
            <w:shd w:val="clear" w:color="auto" w:fill="F0FFFF"/>
          </w:tcPr>
          <w:p>
            <w:pPr>
              <w:spacing w:after="0"/>
              <w:rPr>
                <w:sz w:val="3"/>
                <w:szCs w:val="3"/>
                <w:color w:val="auto"/>
              </w:rPr>
            </w:pPr>
          </w:p>
        </w:tc>
        <w:tc>
          <w:tcPr>
            <w:tcW w:w="2680" w:type="dxa"/>
            <w:vAlign w:val="bottom"/>
            <w:tcBorders>
              <w:top w:val="single" w:sz="8" w:color="F0FFFF"/>
              <w:bottom w:val="single" w:sz="8" w:color="F0FFFF"/>
            </w:tcBorders>
            <w:shd w:val="clear" w:color="auto" w:fill="F0FFFF"/>
          </w:tcPr>
          <w:p>
            <w:pPr>
              <w:spacing w:after="0"/>
              <w:rPr>
                <w:sz w:val="3"/>
                <w:szCs w:val="3"/>
                <w:color w:val="auto"/>
              </w:rPr>
            </w:pPr>
          </w:p>
        </w:tc>
        <w:tc>
          <w:tcPr>
            <w:tcW w:w="320" w:type="dxa"/>
            <w:vAlign w:val="bottom"/>
            <w:tcBorders>
              <w:top w:val="single" w:sz="8" w:color="F0FFFF"/>
              <w:bottom w:val="single" w:sz="8" w:color="F0FFFF"/>
            </w:tcBorders>
            <w:vMerge w:val="continue"/>
            <w:shd w:val="clear" w:color="auto" w:fill="F0FFFF"/>
          </w:tcPr>
          <w:p>
            <w:pPr>
              <w:spacing w:after="0"/>
              <w:rPr>
                <w:sz w:val="3"/>
                <w:szCs w:val="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320" w:type="dxa"/>
            <w:vAlign w:val="bottom"/>
            <w:gridSpan w:val="29"/>
          </w:tcPr>
          <w:p>
            <w:pPr>
              <w:spacing w:after="0" w:line="104" w:lineRule="exact"/>
              <w:rPr>
                <w:sz w:val="20"/>
                <w:szCs w:val="20"/>
                <w:color w:val="auto"/>
              </w:rPr>
            </w:pPr>
            <w:r>
              <w:rPr>
                <w:rFonts w:ascii="Times New Roman" w:cs="Times New Roman" w:eastAsia="Times New Roman" w:hAnsi="Times New Roman"/>
                <w:sz w:val="11"/>
                <w:szCs w:val="11"/>
                <w:color w:val="0000EE"/>
              </w:rPr>
              <w:t>ELECTRONIC DELIVERY</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0" w:type="dxa"/>
            <w:vAlign w:val="bottom"/>
          </w:tcPr>
          <w:p>
            <w:pPr>
              <w:spacing w:after="0"/>
              <w:rPr>
                <w:sz w:val="1"/>
                <w:szCs w:val="1"/>
                <w:color w:val="auto"/>
              </w:rPr>
            </w:pPr>
          </w:p>
        </w:tc>
      </w:tr>
      <w:tr>
        <w:trPr>
          <w:trHeight w:val="42"/>
        </w:trPr>
        <w:tc>
          <w:tcPr>
            <w:tcW w:w="20" w:type="dxa"/>
            <w:vAlign w:val="bottom"/>
            <w:tcBorders>
              <w:top w:val="single" w:sz="8" w:color="0000EE"/>
            </w:tcBorders>
          </w:tcPr>
          <w:p>
            <w:pPr>
              <w:spacing w:after="0"/>
              <w:rPr>
                <w:sz w:val="3"/>
                <w:szCs w:val="3"/>
                <w:color w:val="auto"/>
              </w:rPr>
            </w:pPr>
          </w:p>
        </w:tc>
        <w:tc>
          <w:tcPr>
            <w:tcW w:w="240" w:type="dxa"/>
            <w:vAlign w:val="bottom"/>
            <w:tcBorders>
              <w:top w:val="single" w:sz="8" w:color="0000EE"/>
            </w:tcBorders>
          </w:tcPr>
          <w:p>
            <w:pPr>
              <w:spacing w:after="0"/>
              <w:rPr>
                <w:sz w:val="3"/>
                <w:szCs w:val="3"/>
                <w:color w:val="auto"/>
              </w:rPr>
            </w:pPr>
          </w:p>
        </w:tc>
        <w:tc>
          <w:tcPr>
            <w:tcW w:w="3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32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680" w:type="dxa"/>
            <w:vAlign w:val="bottom"/>
          </w:tcPr>
          <w:p>
            <w:pPr>
              <w:spacing w:after="0"/>
              <w:rPr>
                <w:sz w:val="3"/>
                <w:szCs w:val="3"/>
                <w:color w:val="auto"/>
              </w:rPr>
            </w:pPr>
          </w:p>
        </w:tc>
        <w:tc>
          <w:tcPr>
            <w:tcW w:w="3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320" w:type="dxa"/>
            <w:vAlign w:val="bottom"/>
            <w:gridSpan w:val="29"/>
            <w:shd w:val="clear" w:color="auto" w:fill="F0FFFF"/>
          </w:tcPr>
          <w:p>
            <w:pPr>
              <w:spacing w:after="0" w:line="124" w:lineRule="exact"/>
              <w:rPr>
                <w:sz w:val="20"/>
                <w:szCs w:val="20"/>
                <w:color w:val="auto"/>
              </w:rPr>
            </w:pPr>
            <w:r>
              <w:rPr>
                <w:rFonts w:ascii="Times New Roman" w:cs="Times New Roman" w:eastAsia="Times New Roman" w:hAnsi="Times New Roman"/>
                <w:sz w:val="14"/>
                <w:szCs w:val="14"/>
                <w:color w:val="0000EE"/>
              </w:rPr>
              <w:t>AMENDMENT OF THE POLICY</w:t>
            </w:r>
          </w:p>
        </w:tc>
        <w:tc>
          <w:tcPr>
            <w:tcW w:w="32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0" w:type="dxa"/>
            <w:vAlign w:val="bottom"/>
          </w:tcPr>
          <w:p>
            <w:pPr>
              <w:spacing w:after="0"/>
              <w:rPr>
                <w:sz w:val="1"/>
                <w:szCs w:val="1"/>
                <w:color w:val="auto"/>
              </w:rPr>
            </w:pPr>
          </w:p>
        </w:tc>
      </w:tr>
      <w:tr>
        <w:trPr>
          <w:trHeight w:val="42"/>
        </w:trPr>
        <w:tc>
          <w:tcPr>
            <w:tcW w:w="20" w:type="dxa"/>
            <w:vAlign w:val="bottom"/>
            <w:tcBorders>
              <w:top w:val="single" w:sz="8" w:color="0000EE"/>
            </w:tcBorders>
          </w:tcPr>
          <w:p>
            <w:pPr>
              <w:spacing w:after="0"/>
              <w:rPr>
                <w:sz w:val="3"/>
                <w:szCs w:val="3"/>
                <w:color w:val="auto"/>
              </w:rPr>
            </w:pPr>
          </w:p>
        </w:tc>
        <w:tc>
          <w:tcPr>
            <w:tcW w:w="240" w:type="dxa"/>
            <w:vAlign w:val="bottom"/>
            <w:tcBorders>
              <w:top w:val="single" w:sz="8" w:color="0000EE"/>
              <w:bottom w:val="single" w:sz="8" w:color="F0FFFF"/>
            </w:tcBorders>
            <w:shd w:val="clear" w:color="auto" w:fill="F0FFFF"/>
          </w:tcPr>
          <w:p>
            <w:pPr>
              <w:spacing w:after="0"/>
              <w:rPr>
                <w:sz w:val="3"/>
                <w:szCs w:val="3"/>
                <w:color w:val="auto"/>
              </w:rPr>
            </w:pPr>
          </w:p>
        </w:tc>
        <w:tc>
          <w:tcPr>
            <w:tcW w:w="320" w:type="dxa"/>
            <w:vAlign w:val="bottom"/>
            <w:tcBorders>
              <w:top w:val="single" w:sz="8" w:color="0000EE"/>
              <w:bottom w:val="single" w:sz="8" w:color="F0FFFF"/>
            </w:tcBorders>
            <w:shd w:val="clear" w:color="auto" w:fill="F0FFFF"/>
          </w:tcPr>
          <w:p>
            <w:pPr>
              <w:spacing w:after="0"/>
              <w:rPr>
                <w:sz w:val="3"/>
                <w:szCs w:val="3"/>
                <w:color w:val="auto"/>
              </w:rPr>
            </w:pPr>
          </w:p>
        </w:tc>
        <w:tc>
          <w:tcPr>
            <w:tcW w:w="6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120" w:type="dxa"/>
            <w:vAlign w:val="bottom"/>
            <w:tcBorders>
              <w:top w:val="single" w:sz="8" w:color="0000EE"/>
              <w:bottom w:val="single" w:sz="8" w:color="F0FFFF"/>
              <w:right w:val="single" w:sz="8" w:color="F0FFFF"/>
            </w:tcBorders>
            <w:shd w:val="clear" w:color="auto" w:fill="F0FFFF"/>
          </w:tcPr>
          <w:p>
            <w:pPr>
              <w:spacing w:after="0"/>
              <w:rPr>
                <w:sz w:val="3"/>
                <w:szCs w:val="3"/>
                <w:color w:val="auto"/>
              </w:rPr>
            </w:pPr>
          </w:p>
        </w:tc>
        <w:tc>
          <w:tcPr>
            <w:tcW w:w="8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320" w:type="dxa"/>
            <w:vAlign w:val="bottom"/>
            <w:tcBorders>
              <w:top w:val="single" w:sz="8" w:color="0000EE"/>
              <w:bottom w:val="single" w:sz="8" w:color="F0FFFF"/>
            </w:tcBorders>
            <w:shd w:val="clear" w:color="auto" w:fill="F0FFFF"/>
          </w:tcPr>
          <w:p>
            <w:pPr>
              <w:spacing w:after="0"/>
              <w:rPr>
                <w:sz w:val="3"/>
                <w:szCs w:val="3"/>
                <w:color w:val="auto"/>
              </w:rPr>
            </w:pPr>
          </w:p>
        </w:tc>
        <w:tc>
          <w:tcPr>
            <w:tcW w:w="16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8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40" w:type="dxa"/>
            <w:vAlign w:val="bottom"/>
            <w:tcBorders>
              <w:top w:val="single" w:sz="8" w:color="0000EE"/>
              <w:bottom w:val="single" w:sz="8" w:color="F0FFFF"/>
            </w:tcBorders>
            <w:shd w:val="clear" w:color="auto" w:fill="F0FFFF"/>
          </w:tcPr>
          <w:p>
            <w:pPr>
              <w:spacing w:after="0"/>
              <w:rPr>
                <w:sz w:val="3"/>
                <w:szCs w:val="3"/>
                <w:color w:val="auto"/>
              </w:rPr>
            </w:pPr>
          </w:p>
        </w:tc>
        <w:tc>
          <w:tcPr>
            <w:tcW w:w="8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120" w:type="dxa"/>
            <w:vAlign w:val="bottom"/>
            <w:tcBorders>
              <w:top w:val="single" w:sz="8" w:color="0000EE"/>
              <w:bottom w:val="single" w:sz="8" w:color="F0FFFF"/>
            </w:tcBorders>
            <w:shd w:val="clear" w:color="auto" w:fill="F0FFFF"/>
          </w:tcPr>
          <w:p>
            <w:pPr>
              <w:spacing w:after="0"/>
              <w:rPr>
                <w:sz w:val="3"/>
                <w:szCs w:val="3"/>
                <w:color w:val="auto"/>
              </w:rPr>
            </w:pPr>
          </w:p>
        </w:tc>
        <w:tc>
          <w:tcPr>
            <w:tcW w:w="160" w:type="dxa"/>
            <w:vAlign w:val="bottom"/>
            <w:tcBorders>
              <w:top w:val="single" w:sz="8" w:color="0000EE"/>
              <w:bottom w:val="single" w:sz="8" w:color="F0FFFF"/>
              <w:right w:val="single" w:sz="8" w:color="F0FFFF"/>
            </w:tcBorders>
            <w:shd w:val="clear" w:color="auto" w:fill="F0FFFF"/>
          </w:tcPr>
          <w:p>
            <w:pPr>
              <w:spacing w:after="0"/>
              <w:rPr>
                <w:sz w:val="3"/>
                <w:szCs w:val="3"/>
                <w:color w:val="auto"/>
              </w:rPr>
            </w:pPr>
          </w:p>
        </w:tc>
        <w:tc>
          <w:tcPr>
            <w:tcW w:w="160" w:type="dxa"/>
            <w:vAlign w:val="bottom"/>
            <w:tcBorders>
              <w:top w:val="single" w:sz="8" w:color="F0FFFF"/>
              <w:bottom w:val="single" w:sz="8" w:color="F0FFFF"/>
            </w:tcBorders>
            <w:shd w:val="clear" w:color="auto" w:fill="F0FFFF"/>
          </w:tcPr>
          <w:p>
            <w:pPr>
              <w:spacing w:after="0"/>
              <w:rPr>
                <w:sz w:val="3"/>
                <w:szCs w:val="3"/>
                <w:color w:val="auto"/>
              </w:rPr>
            </w:pPr>
          </w:p>
        </w:tc>
        <w:tc>
          <w:tcPr>
            <w:tcW w:w="640" w:type="dxa"/>
            <w:vAlign w:val="bottom"/>
            <w:tcBorders>
              <w:top w:val="single" w:sz="8" w:color="F0FFFF"/>
              <w:bottom w:val="single" w:sz="8" w:color="F0FFFF"/>
            </w:tcBorders>
            <w:shd w:val="clear" w:color="auto" w:fill="F0FFFF"/>
          </w:tcPr>
          <w:p>
            <w:pPr>
              <w:spacing w:after="0"/>
              <w:rPr>
                <w:sz w:val="3"/>
                <w:szCs w:val="3"/>
                <w:color w:val="auto"/>
              </w:rPr>
            </w:pPr>
          </w:p>
        </w:tc>
        <w:tc>
          <w:tcPr>
            <w:tcW w:w="160" w:type="dxa"/>
            <w:vAlign w:val="bottom"/>
            <w:tcBorders>
              <w:top w:val="single" w:sz="8" w:color="F0FFFF"/>
              <w:bottom w:val="single" w:sz="8" w:color="F0FFFF"/>
            </w:tcBorders>
            <w:shd w:val="clear" w:color="auto" w:fill="F0FFFF"/>
          </w:tcPr>
          <w:p>
            <w:pPr>
              <w:spacing w:after="0"/>
              <w:rPr>
                <w:sz w:val="3"/>
                <w:szCs w:val="3"/>
                <w:color w:val="auto"/>
              </w:rPr>
            </w:pPr>
          </w:p>
        </w:tc>
        <w:tc>
          <w:tcPr>
            <w:tcW w:w="14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60" w:type="dxa"/>
            <w:vAlign w:val="bottom"/>
            <w:tcBorders>
              <w:top w:val="single" w:sz="8" w:color="F0FFFF"/>
              <w:bottom w:val="single" w:sz="8" w:color="F0FFFF"/>
            </w:tcBorders>
            <w:shd w:val="clear" w:color="auto" w:fill="F0FFFF"/>
          </w:tcPr>
          <w:p>
            <w:pPr>
              <w:spacing w:after="0"/>
              <w:rPr>
                <w:sz w:val="3"/>
                <w:szCs w:val="3"/>
                <w:color w:val="auto"/>
              </w:rPr>
            </w:pPr>
          </w:p>
        </w:tc>
        <w:tc>
          <w:tcPr>
            <w:tcW w:w="80" w:type="dxa"/>
            <w:vAlign w:val="bottom"/>
            <w:tcBorders>
              <w:top w:val="single" w:sz="8" w:color="F0FFFF"/>
              <w:bottom w:val="single" w:sz="8" w:color="F0FFFF"/>
            </w:tcBorders>
            <w:shd w:val="clear" w:color="auto" w:fill="F0FFFF"/>
          </w:tcPr>
          <w:p>
            <w:pPr>
              <w:spacing w:after="0"/>
              <w:rPr>
                <w:sz w:val="3"/>
                <w:szCs w:val="3"/>
                <w:color w:val="auto"/>
              </w:rPr>
            </w:pPr>
          </w:p>
        </w:tc>
        <w:tc>
          <w:tcPr>
            <w:tcW w:w="60" w:type="dxa"/>
            <w:vAlign w:val="bottom"/>
            <w:tcBorders>
              <w:top w:val="single" w:sz="8" w:color="F0FFFF"/>
              <w:bottom w:val="single" w:sz="8" w:color="F0FFFF"/>
            </w:tcBorders>
            <w:shd w:val="clear" w:color="auto" w:fill="F0FFFF"/>
          </w:tcPr>
          <w:p>
            <w:pPr>
              <w:spacing w:after="0"/>
              <w:rPr>
                <w:sz w:val="3"/>
                <w:szCs w:val="3"/>
                <w:color w:val="auto"/>
              </w:rPr>
            </w:pPr>
          </w:p>
        </w:tc>
        <w:tc>
          <w:tcPr>
            <w:tcW w:w="400" w:type="dxa"/>
            <w:vAlign w:val="bottom"/>
            <w:tcBorders>
              <w:top w:val="single" w:sz="8" w:color="F0FFFF"/>
              <w:bottom w:val="single" w:sz="8" w:color="F0FFFF"/>
            </w:tcBorders>
            <w:shd w:val="clear" w:color="auto" w:fill="F0FFFF"/>
          </w:tcPr>
          <w:p>
            <w:pPr>
              <w:spacing w:after="0"/>
              <w:rPr>
                <w:sz w:val="3"/>
                <w:szCs w:val="3"/>
                <w:color w:val="auto"/>
              </w:rPr>
            </w:pPr>
          </w:p>
        </w:tc>
        <w:tc>
          <w:tcPr>
            <w:tcW w:w="2680" w:type="dxa"/>
            <w:vAlign w:val="bottom"/>
            <w:tcBorders>
              <w:top w:val="single" w:sz="8" w:color="F0FFFF"/>
              <w:bottom w:val="single" w:sz="8" w:color="F0FFFF"/>
            </w:tcBorders>
            <w:shd w:val="clear" w:color="auto" w:fill="F0FFFF"/>
          </w:tcPr>
          <w:p>
            <w:pPr>
              <w:spacing w:after="0"/>
              <w:rPr>
                <w:sz w:val="3"/>
                <w:szCs w:val="3"/>
                <w:color w:val="auto"/>
              </w:rPr>
            </w:pPr>
          </w:p>
        </w:tc>
        <w:tc>
          <w:tcPr>
            <w:tcW w:w="320" w:type="dxa"/>
            <w:vAlign w:val="bottom"/>
            <w:tcBorders>
              <w:top w:val="single" w:sz="8" w:color="F0FFFF"/>
              <w:bottom w:val="single" w:sz="8" w:color="F0FFFF"/>
            </w:tcBorders>
            <w:vMerge w:val="continue"/>
            <w:shd w:val="clear" w:color="auto" w:fill="F0FFFF"/>
          </w:tcPr>
          <w:p>
            <w:pPr>
              <w:spacing w:after="0"/>
              <w:rPr>
                <w:sz w:val="3"/>
                <w:szCs w:val="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320" w:type="dxa"/>
            <w:vAlign w:val="bottom"/>
            <w:gridSpan w:val="29"/>
          </w:tcPr>
          <w:p>
            <w:pPr>
              <w:spacing w:after="0" w:line="104" w:lineRule="exact"/>
              <w:rPr>
                <w:sz w:val="20"/>
                <w:szCs w:val="20"/>
                <w:color w:val="auto"/>
              </w:rPr>
            </w:pPr>
            <w:r>
              <w:rPr>
                <w:rFonts w:ascii="Times New Roman" w:cs="Times New Roman" w:eastAsia="Times New Roman" w:hAnsi="Times New Roman"/>
                <w:sz w:val="11"/>
                <w:szCs w:val="11"/>
                <w:color w:val="0000EE"/>
              </w:rPr>
              <w:t>INFORMATION INCORPORATED BY REFERENCE</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0" w:type="dxa"/>
            <w:vAlign w:val="bottom"/>
          </w:tcPr>
          <w:p>
            <w:pPr>
              <w:spacing w:after="0"/>
              <w:rPr>
                <w:sz w:val="1"/>
                <w:szCs w:val="1"/>
                <w:color w:val="auto"/>
              </w:rPr>
            </w:pPr>
          </w:p>
        </w:tc>
      </w:tr>
      <w:tr>
        <w:trPr>
          <w:trHeight w:val="42"/>
        </w:trPr>
        <w:tc>
          <w:tcPr>
            <w:tcW w:w="20" w:type="dxa"/>
            <w:vAlign w:val="bottom"/>
            <w:tcBorders>
              <w:top w:val="single" w:sz="8" w:color="0000EE"/>
            </w:tcBorders>
          </w:tcPr>
          <w:p>
            <w:pPr>
              <w:spacing w:after="0"/>
              <w:rPr>
                <w:sz w:val="3"/>
                <w:szCs w:val="3"/>
                <w:color w:val="auto"/>
              </w:rPr>
            </w:pPr>
          </w:p>
        </w:tc>
        <w:tc>
          <w:tcPr>
            <w:tcW w:w="240" w:type="dxa"/>
            <w:vAlign w:val="bottom"/>
            <w:tcBorders>
              <w:top w:val="single" w:sz="8" w:color="0000EE"/>
            </w:tcBorders>
          </w:tcPr>
          <w:p>
            <w:pPr>
              <w:spacing w:after="0"/>
              <w:rPr>
                <w:sz w:val="3"/>
                <w:szCs w:val="3"/>
                <w:color w:val="auto"/>
              </w:rPr>
            </w:pPr>
          </w:p>
        </w:tc>
        <w:tc>
          <w:tcPr>
            <w:tcW w:w="3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32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64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680" w:type="dxa"/>
            <w:vAlign w:val="bottom"/>
          </w:tcPr>
          <w:p>
            <w:pPr>
              <w:spacing w:after="0"/>
              <w:rPr>
                <w:sz w:val="3"/>
                <w:szCs w:val="3"/>
                <w:color w:val="auto"/>
              </w:rPr>
            </w:pPr>
          </w:p>
        </w:tc>
        <w:tc>
          <w:tcPr>
            <w:tcW w:w="3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3"/>
        </w:trPr>
        <w:tc>
          <w:tcPr>
            <w:tcW w:w="20" w:type="dxa"/>
            <w:vAlign w:val="bottom"/>
            <w:tcBorders>
              <w:bottom w:val="single" w:sz="8" w:color="0000EE"/>
            </w:tcBorders>
          </w:tcPr>
          <w:p>
            <w:pPr>
              <w:spacing w:after="0"/>
              <w:rPr>
                <w:sz w:val="10"/>
                <w:szCs w:val="10"/>
                <w:color w:val="auto"/>
              </w:rPr>
            </w:pPr>
          </w:p>
        </w:tc>
        <w:tc>
          <w:tcPr>
            <w:tcW w:w="6320" w:type="dxa"/>
            <w:vAlign w:val="bottom"/>
            <w:tcBorders>
              <w:bottom w:val="single" w:sz="8" w:color="0000EE"/>
            </w:tcBorders>
            <w:gridSpan w:val="29"/>
            <w:shd w:val="clear" w:color="auto" w:fill="F0FFFF"/>
          </w:tcPr>
          <w:p>
            <w:pPr>
              <w:spacing w:after="0" w:line="124" w:lineRule="exact"/>
              <w:rPr>
                <w:sz w:val="20"/>
                <w:szCs w:val="20"/>
                <w:color w:val="auto"/>
              </w:rPr>
            </w:pPr>
            <w:r>
              <w:rPr>
                <w:rFonts w:ascii="Times New Roman" w:cs="Times New Roman" w:eastAsia="Times New Roman" w:hAnsi="Times New Roman"/>
                <w:sz w:val="14"/>
                <w:szCs w:val="14"/>
                <w:color w:val="0000EE"/>
                <w:highlight w:val="white"/>
                <w:w w:val="96"/>
              </w:rPr>
              <w:t>DISCLOSURE OF COMMISSION POSITION ON INDEMNIFICATION FOR SECURITIES ACT LIABILITIES</w:t>
            </w:r>
          </w:p>
        </w:tc>
        <w:tc>
          <w:tcPr>
            <w:tcW w:w="320" w:type="dxa"/>
            <w:vAlign w:val="bottom"/>
            <w:tcBorders>
              <w:bottom w:val="single" w:sz="8" w:color="F0FFFF"/>
            </w:tcBorders>
            <w:vMerge w:val="restart"/>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highlight w:val="white"/>
              </w:rPr>
              <w:t>75</w:t>
            </w: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40" w:type="dxa"/>
            <w:vAlign w:val="bottom"/>
            <w:tcBorders>
              <w:bottom w:val="single" w:sz="8" w:color="F0FFFF"/>
            </w:tcBorders>
            <w:shd w:val="clear" w:color="auto" w:fill="F0FFFF"/>
          </w:tcPr>
          <w:p>
            <w:pPr>
              <w:spacing w:after="0"/>
              <w:rPr>
                <w:sz w:val="3"/>
                <w:szCs w:val="3"/>
                <w:color w:val="auto"/>
              </w:rPr>
            </w:pPr>
          </w:p>
        </w:tc>
        <w:tc>
          <w:tcPr>
            <w:tcW w:w="320" w:type="dxa"/>
            <w:vAlign w:val="bottom"/>
            <w:tcBorders>
              <w:bottom w:val="single" w:sz="8" w:color="F0FFFF"/>
            </w:tcBorders>
            <w:shd w:val="clear" w:color="auto" w:fill="F0FFFF"/>
          </w:tcPr>
          <w:p>
            <w:pPr>
              <w:spacing w:after="0"/>
              <w:rPr>
                <w:sz w:val="3"/>
                <w:szCs w:val="3"/>
                <w:color w:val="auto"/>
              </w:rPr>
            </w:pPr>
          </w:p>
        </w:tc>
        <w:tc>
          <w:tcPr>
            <w:tcW w:w="60" w:type="dxa"/>
            <w:vAlign w:val="bottom"/>
            <w:tcBorders>
              <w:bottom w:val="single" w:sz="8" w:color="F0FFFF"/>
            </w:tcBorders>
            <w:shd w:val="clear" w:color="auto" w:fill="F0FFFF"/>
          </w:tcPr>
          <w:p>
            <w:pPr>
              <w:spacing w:after="0"/>
              <w:rPr>
                <w:sz w:val="3"/>
                <w:szCs w:val="3"/>
                <w:color w:val="auto"/>
              </w:rPr>
            </w:pPr>
          </w:p>
        </w:tc>
        <w:tc>
          <w:tcPr>
            <w:tcW w:w="20" w:type="dxa"/>
            <w:vAlign w:val="bottom"/>
            <w:tcBorders>
              <w:bottom w:val="single" w:sz="8" w:color="F0FFFF"/>
            </w:tcBorders>
            <w:shd w:val="clear" w:color="auto" w:fill="F0FFFF"/>
          </w:tcPr>
          <w:p>
            <w:pPr>
              <w:spacing w:after="0"/>
              <w:rPr>
                <w:sz w:val="3"/>
                <w:szCs w:val="3"/>
                <w:color w:val="auto"/>
              </w:rPr>
            </w:pPr>
          </w:p>
        </w:tc>
        <w:tc>
          <w:tcPr>
            <w:tcW w:w="20" w:type="dxa"/>
            <w:vAlign w:val="bottom"/>
            <w:tcBorders>
              <w:bottom w:val="single" w:sz="8" w:color="F0FFFF"/>
            </w:tcBorders>
            <w:shd w:val="clear" w:color="auto" w:fill="F0FFFF"/>
          </w:tcPr>
          <w:p>
            <w:pPr>
              <w:spacing w:after="0"/>
              <w:rPr>
                <w:sz w:val="3"/>
                <w:szCs w:val="3"/>
                <w:color w:val="auto"/>
              </w:rPr>
            </w:pPr>
          </w:p>
        </w:tc>
        <w:tc>
          <w:tcPr>
            <w:tcW w:w="20" w:type="dxa"/>
            <w:vAlign w:val="bottom"/>
            <w:tcBorders>
              <w:bottom w:val="single" w:sz="8" w:color="F0FFFF"/>
            </w:tcBorders>
            <w:shd w:val="clear" w:color="auto" w:fill="F0FFFF"/>
          </w:tcPr>
          <w:p>
            <w:pPr>
              <w:spacing w:after="0"/>
              <w:rPr>
                <w:sz w:val="3"/>
                <w:szCs w:val="3"/>
                <w:color w:val="auto"/>
              </w:rPr>
            </w:pPr>
          </w:p>
        </w:tc>
        <w:tc>
          <w:tcPr>
            <w:tcW w:w="120" w:type="dxa"/>
            <w:vAlign w:val="bottom"/>
            <w:tcBorders>
              <w:bottom w:val="single" w:sz="8" w:color="F0FFFF"/>
              <w:right w:val="single" w:sz="8" w:color="F0FFFF"/>
            </w:tcBorders>
            <w:shd w:val="clear" w:color="auto" w:fill="F0FFFF"/>
          </w:tcPr>
          <w:p>
            <w:pPr>
              <w:spacing w:after="0"/>
              <w:rPr>
                <w:sz w:val="3"/>
                <w:szCs w:val="3"/>
                <w:color w:val="auto"/>
              </w:rPr>
            </w:pPr>
          </w:p>
        </w:tc>
        <w:tc>
          <w:tcPr>
            <w:tcW w:w="80" w:type="dxa"/>
            <w:vAlign w:val="bottom"/>
            <w:tcBorders>
              <w:bottom w:val="single" w:sz="8" w:color="F0FFFF"/>
            </w:tcBorders>
            <w:shd w:val="clear" w:color="auto" w:fill="F0FFFF"/>
          </w:tcPr>
          <w:p>
            <w:pPr>
              <w:spacing w:after="0"/>
              <w:rPr>
                <w:sz w:val="3"/>
                <w:szCs w:val="3"/>
                <w:color w:val="auto"/>
              </w:rPr>
            </w:pPr>
          </w:p>
        </w:tc>
        <w:tc>
          <w:tcPr>
            <w:tcW w:w="20" w:type="dxa"/>
            <w:vAlign w:val="bottom"/>
            <w:tcBorders>
              <w:bottom w:val="single" w:sz="8" w:color="F0FFFF"/>
            </w:tcBorders>
            <w:shd w:val="clear" w:color="auto" w:fill="F0FFFF"/>
          </w:tcPr>
          <w:p>
            <w:pPr>
              <w:spacing w:after="0"/>
              <w:rPr>
                <w:sz w:val="3"/>
                <w:szCs w:val="3"/>
                <w:color w:val="auto"/>
              </w:rPr>
            </w:pPr>
          </w:p>
        </w:tc>
        <w:tc>
          <w:tcPr>
            <w:tcW w:w="320" w:type="dxa"/>
            <w:vAlign w:val="bottom"/>
            <w:tcBorders>
              <w:bottom w:val="single" w:sz="8" w:color="F0FFFF"/>
            </w:tcBorders>
            <w:shd w:val="clear" w:color="auto" w:fill="F0FFFF"/>
          </w:tcPr>
          <w:p>
            <w:pPr>
              <w:spacing w:after="0"/>
              <w:rPr>
                <w:sz w:val="3"/>
                <w:szCs w:val="3"/>
                <w:color w:val="auto"/>
              </w:rPr>
            </w:pPr>
          </w:p>
        </w:tc>
        <w:tc>
          <w:tcPr>
            <w:tcW w:w="160" w:type="dxa"/>
            <w:vAlign w:val="bottom"/>
            <w:tcBorders>
              <w:bottom w:val="single" w:sz="8" w:color="F0FFFF"/>
            </w:tcBorders>
            <w:shd w:val="clear" w:color="auto" w:fill="F0FFFF"/>
          </w:tcPr>
          <w:p>
            <w:pPr>
              <w:spacing w:after="0"/>
              <w:rPr>
                <w:sz w:val="3"/>
                <w:szCs w:val="3"/>
                <w:color w:val="auto"/>
              </w:rPr>
            </w:pPr>
          </w:p>
        </w:tc>
        <w:tc>
          <w:tcPr>
            <w:tcW w:w="20" w:type="dxa"/>
            <w:vAlign w:val="bottom"/>
            <w:tcBorders>
              <w:bottom w:val="single" w:sz="8" w:color="F0FFFF"/>
            </w:tcBorders>
            <w:shd w:val="clear" w:color="auto" w:fill="F0FFFF"/>
          </w:tcPr>
          <w:p>
            <w:pPr>
              <w:spacing w:after="0"/>
              <w:rPr>
                <w:sz w:val="3"/>
                <w:szCs w:val="3"/>
                <w:color w:val="auto"/>
              </w:rPr>
            </w:pPr>
          </w:p>
        </w:tc>
        <w:tc>
          <w:tcPr>
            <w:tcW w:w="80" w:type="dxa"/>
            <w:vAlign w:val="bottom"/>
            <w:tcBorders>
              <w:bottom w:val="single" w:sz="8" w:color="F0FFFF"/>
            </w:tcBorders>
            <w:shd w:val="clear" w:color="auto" w:fill="F0FFFF"/>
          </w:tcPr>
          <w:p>
            <w:pPr>
              <w:spacing w:after="0"/>
              <w:rPr>
                <w:sz w:val="3"/>
                <w:szCs w:val="3"/>
                <w:color w:val="auto"/>
              </w:rPr>
            </w:pPr>
          </w:p>
        </w:tc>
        <w:tc>
          <w:tcPr>
            <w:tcW w:w="20" w:type="dxa"/>
            <w:vAlign w:val="bottom"/>
            <w:tcBorders>
              <w:bottom w:val="single" w:sz="8" w:color="F0FFFF"/>
            </w:tcBorders>
            <w:shd w:val="clear" w:color="auto" w:fill="F0FFFF"/>
          </w:tcPr>
          <w:p>
            <w:pPr>
              <w:spacing w:after="0"/>
              <w:rPr>
                <w:sz w:val="3"/>
                <w:szCs w:val="3"/>
                <w:color w:val="auto"/>
              </w:rPr>
            </w:pPr>
          </w:p>
        </w:tc>
        <w:tc>
          <w:tcPr>
            <w:tcW w:w="40" w:type="dxa"/>
            <w:vAlign w:val="bottom"/>
            <w:tcBorders>
              <w:bottom w:val="single" w:sz="8" w:color="F0FFFF"/>
            </w:tcBorders>
            <w:shd w:val="clear" w:color="auto" w:fill="F0FFFF"/>
          </w:tcPr>
          <w:p>
            <w:pPr>
              <w:spacing w:after="0"/>
              <w:rPr>
                <w:sz w:val="3"/>
                <w:szCs w:val="3"/>
                <w:color w:val="auto"/>
              </w:rPr>
            </w:pPr>
          </w:p>
        </w:tc>
        <w:tc>
          <w:tcPr>
            <w:tcW w:w="80" w:type="dxa"/>
            <w:vAlign w:val="bottom"/>
            <w:tcBorders>
              <w:bottom w:val="single" w:sz="8" w:color="F0FFFF"/>
            </w:tcBorders>
            <w:shd w:val="clear" w:color="auto" w:fill="F0FFFF"/>
          </w:tcPr>
          <w:p>
            <w:pPr>
              <w:spacing w:after="0"/>
              <w:rPr>
                <w:sz w:val="3"/>
                <w:szCs w:val="3"/>
                <w:color w:val="auto"/>
              </w:rPr>
            </w:pPr>
          </w:p>
        </w:tc>
        <w:tc>
          <w:tcPr>
            <w:tcW w:w="20" w:type="dxa"/>
            <w:vAlign w:val="bottom"/>
            <w:tcBorders>
              <w:bottom w:val="single" w:sz="8" w:color="F0FFFF"/>
            </w:tcBorders>
            <w:shd w:val="clear" w:color="auto" w:fill="F0FFFF"/>
          </w:tcPr>
          <w:p>
            <w:pPr>
              <w:spacing w:after="0"/>
              <w:rPr>
                <w:sz w:val="3"/>
                <w:szCs w:val="3"/>
                <w:color w:val="auto"/>
              </w:rPr>
            </w:pPr>
          </w:p>
        </w:tc>
        <w:tc>
          <w:tcPr>
            <w:tcW w:w="120" w:type="dxa"/>
            <w:vAlign w:val="bottom"/>
            <w:tcBorders>
              <w:bottom w:val="single" w:sz="8" w:color="F0FFFF"/>
            </w:tcBorders>
            <w:shd w:val="clear" w:color="auto" w:fill="F0FFFF"/>
          </w:tcPr>
          <w:p>
            <w:pPr>
              <w:spacing w:after="0"/>
              <w:rPr>
                <w:sz w:val="3"/>
                <w:szCs w:val="3"/>
                <w:color w:val="auto"/>
              </w:rPr>
            </w:pPr>
          </w:p>
        </w:tc>
        <w:tc>
          <w:tcPr>
            <w:tcW w:w="160" w:type="dxa"/>
            <w:vAlign w:val="bottom"/>
            <w:tcBorders>
              <w:bottom w:val="single" w:sz="8" w:color="F0FFFF"/>
              <w:right w:val="single" w:sz="8" w:color="F0FFFF"/>
            </w:tcBorders>
            <w:shd w:val="clear" w:color="auto" w:fill="F0FFFF"/>
          </w:tcPr>
          <w:p>
            <w:pPr>
              <w:spacing w:after="0"/>
              <w:rPr>
                <w:sz w:val="3"/>
                <w:szCs w:val="3"/>
                <w:color w:val="auto"/>
              </w:rPr>
            </w:pPr>
          </w:p>
        </w:tc>
        <w:tc>
          <w:tcPr>
            <w:tcW w:w="160" w:type="dxa"/>
            <w:vAlign w:val="bottom"/>
            <w:tcBorders>
              <w:bottom w:val="single" w:sz="8" w:color="F0FFFF"/>
            </w:tcBorders>
            <w:shd w:val="clear" w:color="auto" w:fill="F0FFFF"/>
          </w:tcPr>
          <w:p>
            <w:pPr>
              <w:spacing w:after="0"/>
              <w:rPr>
                <w:sz w:val="3"/>
                <w:szCs w:val="3"/>
                <w:color w:val="auto"/>
              </w:rPr>
            </w:pPr>
          </w:p>
        </w:tc>
        <w:tc>
          <w:tcPr>
            <w:tcW w:w="640" w:type="dxa"/>
            <w:vAlign w:val="bottom"/>
            <w:tcBorders>
              <w:bottom w:val="single" w:sz="8" w:color="F0FFFF"/>
            </w:tcBorders>
            <w:shd w:val="clear" w:color="auto" w:fill="F0FFFF"/>
          </w:tcPr>
          <w:p>
            <w:pPr>
              <w:spacing w:after="0"/>
              <w:rPr>
                <w:sz w:val="3"/>
                <w:szCs w:val="3"/>
                <w:color w:val="auto"/>
              </w:rPr>
            </w:pPr>
          </w:p>
        </w:tc>
        <w:tc>
          <w:tcPr>
            <w:tcW w:w="160" w:type="dxa"/>
            <w:vAlign w:val="bottom"/>
            <w:tcBorders>
              <w:bottom w:val="single" w:sz="8" w:color="F0FFFF"/>
            </w:tcBorders>
            <w:shd w:val="clear" w:color="auto" w:fill="F0FFFF"/>
          </w:tcPr>
          <w:p>
            <w:pPr>
              <w:spacing w:after="0"/>
              <w:rPr>
                <w:sz w:val="3"/>
                <w:szCs w:val="3"/>
                <w:color w:val="auto"/>
              </w:rPr>
            </w:pPr>
          </w:p>
        </w:tc>
        <w:tc>
          <w:tcPr>
            <w:tcW w:w="140" w:type="dxa"/>
            <w:vAlign w:val="bottom"/>
            <w:tcBorders>
              <w:bottom w:val="single" w:sz="8" w:color="F0FFFF"/>
            </w:tcBorders>
            <w:shd w:val="clear" w:color="auto" w:fill="F0FFFF"/>
          </w:tcPr>
          <w:p>
            <w:pPr>
              <w:spacing w:after="0"/>
              <w:rPr>
                <w:sz w:val="3"/>
                <w:szCs w:val="3"/>
                <w:color w:val="auto"/>
              </w:rPr>
            </w:pPr>
          </w:p>
        </w:tc>
        <w:tc>
          <w:tcPr>
            <w:tcW w:w="20" w:type="dxa"/>
            <w:vAlign w:val="bottom"/>
            <w:tcBorders>
              <w:bottom w:val="single" w:sz="8" w:color="F0FFFF"/>
            </w:tcBorders>
            <w:shd w:val="clear" w:color="auto" w:fill="F0FFFF"/>
          </w:tcPr>
          <w:p>
            <w:pPr>
              <w:spacing w:after="0"/>
              <w:rPr>
                <w:sz w:val="3"/>
                <w:szCs w:val="3"/>
                <w:color w:val="auto"/>
              </w:rPr>
            </w:pPr>
          </w:p>
        </w:tc>
        <w:tc>
          <w:tcPr>
            <w:tcW w:w="60" w:type="dxa"/>
            <w:vAlign w:val="bottom"/>
            <w:tcBorders>
              <w:bottom w:val="single" w:sz="8" w:color="F0FFFF"/>
            </w:tcBorders>
            <w:shd w:val="clear" w:color="auto" w:fill="F0FFFF"/>
          </w:tcPr>
          <w:p>
            <w:pPr>
              <w:spacing w:after="0"/>
              <w:rPr>
                <w:sz w:val="3"/>
                <w:szCs w:val="3"/>
                <w:color w:val="auto"/>
              </w:rPr>
            </w:pPr>
          </w:p>
        </w:tc>
        <w:tc>
          <w:tcPr>
            <w:tcW w:w="80" w:type="dxa"/>
            <w:vAlign w:val="bottom"/>
            <w:tcBorders>
              <w:bottom w:val="single" w:sz="8" w:color="F0FFFF"/>
            </w:tcBorders>
            <w:shd w:val="clear" w:color="auto" w:fill="F0FFFF"/>
          </w:tcPr>
          <w:p>
            <w:pPr>
              <w:spacing w:after="0"/>
              <w:rPr>
                <w:sz w:val="3"/>
                <w:szCs w:val="3"/>
                <w:color w:val="auto"/>
              </w:rPr>
            </w:pPr>
          </w:p>
        </w:tc>
        <w:tc>
          <w:tcPr>
            <w:tcW w:w="60" w:type="dxa"/>
            <w:vAlign w:val="bottom"/>
            <w:tcBorders>
              <w:bottom w:val="single" w:sz="8" w:color="F0FFFF"/>
            </w:tcBorders>
            <w:shd w:val="clear" w:color="auto" w:fill="F0FFFF"/>
          </w:tcPr>
          <w:p>
            <w:pPr>
              <w:spacing w:after="0"/>
              <w:rPr>
                <w:sz w:val="3"/>
                <w:szCs w:val="3"/>
                <w:color w:val="auto"/>
              </w:rPr>
            </w:pPr>
          </w:p>
        </w:tc>
        <w:tc>
          <w:tcPr>
            <w:tcW w:w="400" w:type="dxa"/>
            <w:vAlign w:val="bottom"/>
            <w:tcBorders>
              <w:bottom w:val="single" w:sz="8" w:color="F0FFFF"/>
            </w:tcBorders>
            <w:shd w:val="clear" w:color="auto" w:fill="F0FFFF"/>
          </w:tcPr>
          <w:p>
            <w:pPr>
              <w:spacing w:after="0"/>
              <w:rPr>
                <w:sz w:val="3"/>
                <w:szCs w:val="3"/>
                <w:color w:val="auto"/>
              </w:rPr>
            </w:pPr>
          </w:p>
        </w:tc>
        <w:tc>
          <w:tcPr>
            <w:tcW w:w="2680" w:type="dxa"/>
            <w:vAlign w:val="bottom"/>
            <w:tcBorders>
              <w:bottom w:val="single" w:sz="8" w:color="F0FFFF"/>
            </w:tcBorders>
            <w:shd w:val="clear" w:color="auto" w:fill="F0FFFF"/>
          </w:tcPr>
          <w:p>
            <w:pPr>
              <w:spacing w:after="0"/>
              <w:rPr>
                <w:sz w:val="3"/>
                <w:szCs w:val="3"/>
                <w:color w:val="auto"/>
              </w:rPr>
            </w:pPr>
          </w:p>
        </w:tc>
        <w:tc>
          <w:tcPr>
            <w:tcW w:w="320" w:type="dxa"/>
            <w:vAlign w:val="bottom"/>
            <w:tcBorders>
              <w:bottom w:val="single" w:sz="8" w:color="F0FFFF"/>
            </w:tcBorders>
            <w:vMerge w:val="continue"/>
            <w:shd w:val="clear" w:color="auto" w:fill="F0FFFF"/>
          </w:tcPr>
          <w:p>
            <w:pPr>
              <w:spacing w:after="0"/>
              <w:rPr>
                <w:sz w:val="3"/>
                <w:szCs w:val="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320" w:type="dxa"/>
            <w:vAlign w:val="bottom"/>
            <w:gridSpan w:val="29"/>
          </w:tcPr>
          <w:p>
            <w:pPr>
              <w:spacing w:after="0" w:line="104" w:lineRule="exact"/>
              <w:rPr>
                <w:sz w:val="20"/>
                <w:szCs w:val="20"/>
                <w:color w:val="auto"/>
              </w:rPr>
            </w:pPr>
            <w:r>
              <w:rPr>
                <w:rFonts w:ascii="Times New Roman" w:cs="Times New Roman" w:eastAsia="Times New Roman" w:hAnsi="Times New Roman"/>
                <w:sz w:val="11"/>
                <w:szCs w:val="11"/>
                <w:color w:val="0000EE"/>
              </w:rPr>
              <w:t>Appendix A — Index Publishers</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A-1</w:t>
            </w:r>
          </w:p>
        </w:tc>
        <w:tc>
          <w:tcPr>
            <w:tcW w:w="0" w:type="dxa"/>
            <w:vAlign w:val="bottom"/>
          </w:tcPr>
          <w:p>
            <w:pPr>
              <w:spacing w:after="0"/>
              <w:rPr>
                <w:sz w:val="1"/>
                <w:szCs w:val="1"/>
                <w:color w:val="auto"/>
              </w:rPr>
            </w:pPr>
          </w:p>
        </w:tc>
      </w:tr>
      <w:tr>
        <w:trPr>
          <w:trHeight w:val="42"/>
        </w:trPr>
        <w:tc>
          <w:tcPr>
            <w:tcW w:w="20" w:type="dxa"/>
            <w:vAlign w:val="bottom"/>
            <w:tcBorders>
              <w:top w:val="single" w:sz="8" w:color="0000EE"/>
            </w:tcBorders>
          </w:tcPr>
          <w:p>
            <w:pPr>
              <w:spacing w:after="0"/>
              <w:rPr>
                <w:sz w:val="3"/>
                <w:szCs w:val="3"/>
                <w:color w:val="auto"/>
              </w:rPr>
            </w:pPr>
          </w:p>
        </w:tc>
        <w:tc>
          <w:tcPr>
            <w:tcW w:w="240" w:type="dxa"/>
            <w:vAlign w:val="bottom"/>
            <w:tcBorders>
              <w:top w:val="single" w:sz="8" w:color="0000EE"/>
            </w:tcBorders>
          </w:tcPr>
          <w:p>
            <w:pPr>
              <w:spacing w:after="0"/>
              <w:rPr>
                <w:sz w:val="3"/>
                <w:szCs w:val="3"/>
                <w:color w:val="auto"/>
              </w:rPr>
            </w:pPr>
          </w:p>
        </w:tc>
        <w:tc>
          <w:tcPr>
            <w:tcW w:w="3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32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680" w:type="dxa"/>
            <w:vAlign w:val="bottom"/>
          </w:tcPr>
          <w:p>
            <w:pPr>
              <w:spacing w:after="0"/>
              <w:rPr>
                <w:sz w:val="3"/>
                <w:szCs w:val="3"/>
                <w:color w:val="auto"/>
              </w:rPr>
            </w:pPr>
          </w:p>
        </w:tc>
        <w:tc>
          <w:tcPr>
            <w:tcW w:w="3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320" w:type="dxa"/>
            <w:vAlign w:val="bottom"/>
            <w:gridSpan w:val="29"/>
            <w:shd w:val="clear" w:color="auto" w:fill="F0FFFF"/>
          </w:tcPr>
          <w:p>
            <w:pPr>
              <w:spacing w:after="0" w:line="124" w:lineRule="exact"/>
              <w:rPr>
                <w:sz w:val="20"/>
                <w:szCs w:val="20"/>
                <w:color w:val="auto"/>
              </w:rPr>
            </w:pPr>
            <w:r>
              <w:rPr>
                <w:rFonts w:ascii="Times New Roman" w:cs="Times New Roman" w:eastAsia="Times New Roman" w:hAnsi="Times New Roman"/>
                <w:sz w:val="14"/>
                <w:szCs w:val="14"/>
                <w:color w:val="0000EE"/>
              </w:rPr>
              <w:t>Appendix B — Index Substitution Segment Value Example</w:t>
            </w:r>
          </w:p>
        </w:tc>
        <w:tc>
          <w:tcPr>
            <w:tcW w:w="32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B-1</w:t>
            </w:r>
          </w:p>
        </w:tc>
        <w:tc>
          <w:tcPr>
            <w:tcW w:w="0" w:type="dxa"/>
            <w:vAlign w:val="bottom"/>
          </w:tcPr>
          <w:p>
            <w:pPr>
              <w:spacing w:after="0"/>
              <w:rPr>
                <w:sz w:val="1"/>
                <w:szCs w:val="1"/>
                <w:color w:val="auto"/>
              </w:rPr>
            </w:pPr>
          </w:p>
        </w:tc>
      </w:tr>
      <w:tr>
        <w:trPr>
          <w:trHeight w:val="42"/>
        </w:trPr>
        <w:tc>
          <w:tcPr>
            <w:tcW w:w="20" w:type="dxa"/>
            <w:vAlign w:val="bottom"/>
            <w:tcBorders>
              <w:top w:val="single" w:sz="8" w:color="0000EE"/>
            </w:tcBorders>
          </w:tcPr>
          <w:p>
            <w:pPr>
              <w:spacing w:after="0"/>
              <w:rPr>
                <w:sz w:val="3"/>
                <w:szCs w:val="3"/>
                <w:color w:val="auto"/>
              </w:rPr>
            </w:pPr>
          </w:p>
        </w:tc>
        <w:tc>
          <w:tcPr>
            <w:tcW w:w="240" w:type="dxa"/>
            <w:vAlign w:val="bottom"/>
            <w:tcBorders>
              <w:top w:val="single" w:sz="8" w:color="0000EE"/>
              <w:bottom w:val="single" w:sz="8" w:color="F0FFFF"/>
            </w:tcBorders>
            <w:shd w:val="clear" w:color="auto" w:fill="F0FFFF"/>
          </w:tcPr>
          <w:p>
            <w:pPr>
              <w:spacing w:after="0"/>
              <w:rPr>
                <w:sz w:val="3"/>
                <w:szCs w:val="3"/>
                <w:color w:val="auto"/>
              </w:rPr>
            </w:pPr>
          </w:p>
        </w:tc>
        <w:tc>
          <w:tcPr>
            <w:tcW w:w="320" w:type="dxa"/>
            <w:vAlign w:val="bottom"/>
            <w:tcBorders>
              <w:top w:val="single" w:sz="8" w:color="0000EE"/>
              <w:bottom w:val="single" w:sz="8" w:color="F0FFFF"/>
            </w:tcBorders>
            <w:shd w:val="clear" w:color="auto" w:fill="F0FFFF"/>
          </w:tcPr>
          <w:p>
            <w:pPr>
              <w:spacing w:after="0"/>
              <w:rPr>
                <w:sz w:val="3"/>
                <w:szCs w:val="3"/>
                <w:color w:val="auto"/>
              </w:rPr>
            </w:pPr>
          </w:p>
        </w:tc>
        <w:tc>
          <w:tcPr>
            <w:tcW w:w="6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120" w:type="dxa"/>
            <w:vAlign w:val="bottom"/>
            <w:tcBorders>
              <w:top w:val="single" w:sz="8" w:color="0000EE"/>
              <w:bottom w:val="single" w:sz="8" w:color="F0FFFF"/>
              <w:right w:val="single" w:sz="8" w:color="F0FFFF"/>
            </w:tcBorders>
            <w:shd w:val="clear" w:color="auto" w:fill="F0FFFF"/>
          </w:tcPr>
          <w:p>
            <w:pPr>
              <w:spacing w:after="0"/>
              <w:rPr>
                <w:sz w:val="3"/>
                <w:szCs w:val="3"/>
                <w:color w:val="auto"/>
              </w:rPr>
            </w:pPr>
          </w:p>
        </w:tc>
        <w:tc>
          <w:tcPr>
            <w:tcW w:w="8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320" w:type="dxa"/>
            <w:vAlign w:val="bottom"/>
            <w:tcBorders>
              <w:top w:val="single" w:sz="8" w:color="0000EE"/>
              <w:bottom w:val="single" w:sz="8" w:color="F0FFFF"/>
            </w:tcBorders>
            <w:shd w:val="clear" w:color="auto" w:fill="F0FFFF"/>
          </w:tcPr>
          <w:p>
            <w:pPr>
              <w:spacing w:after="0"/>
              <w:rPr>
                <w:sz w:val="3"/>
                <w:szCs w:val="3"/>
                <w:color w:val="auto"/>
              </w:rPr>
            </w:pPr>
          </w:p>
        </w:tc>
        <w:tc>
          <w:tcPr>
            <w:tcW w:w="16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8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40" w:type="dxa"/>
            <w:vAlign w:val="bottom"/>
            <w:tcBorders>
              <w:top w:val="single" w:sz="8" w:color="0000EE"/>
              <w:bottom w:val="single" w:sz="8" w:color="F0FFFF"/>
            </w:tcBorders>
            <w:shd w:val="clear" w:color="auto" w:fill="F0FFFF"/>
          </w:tcPr>
          <w:p>
            <w:pPr>
              <w:spacing w:after="0"/>
              <w:rPr>
                <w:sz w:val="3"/>
                <w:szCs w:val="3"/>
                <w:color w:val="auto"/>
              </w:rPr>
            </w:pPr>
          </w:p>
        </w:tc>
        <w:tc>
          <w:tcPr>
            <w:tcW w:w="8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120" w:type="dxa"/>
            <w:vAlign w:val="bottom"/>
            <w:tcBorders>
              <w:top w:val="single" w:sz="8" w:color="0000EE"/>
              <w:bottom w:val="single" w:sz="8" w:color="F0FFFF"/>
            </w:tcBorders>
            <w:shd w:val="clear" w:color="auto" w:fill="F0FFFF"/>
          </w:tcPr>
          <w:p>
            <w:pPr>
              <w:spacing w:after="0"/>
              <w:rPr>
                <w:sz w:val="3"/>
                <w:szCs w:val="3"/>
                <w:color w:val="auto"/>
              </w:rPr>
            </w:pPr>
          </w:p>
        </w:tc>
        <w:tc>
          <w:tcPr>
            <w:tcW w:w="160" w:type="dxa"/>
            <w:vAlign w:val="bottom"/>
            <w:tcBorders>
              <w:top w:val="single" w:sz="8" w:color="0000EE"/>
              <w:bottom w:val="single" w:sz="8" w:color="F0FFFF"/>
              <w:right w:val="single" w:sz="8" w:color="F0FFFF"/>
            </w:tcBorders>
            <w:shd w:val="clear" w:color="auto" w:fill="F0FFFF"/>
          </w:tcPr>
          <w:p>
            <w:pPr>
              <w:spacing w:after="0"/>
              <w:rPr>
                <w:sz w:val="3"/>
                <w:szCs w:val="3"/>
                <w:color w:val="auto"/>
              </w:rPr>
            </w:pPr>
          </w:p>
        </w:tc>
        <w:tc>
          <w:tcPr>
            <w:tcW w:w="160" w:type="dxa"/>
            <w:vAlign w:val="bottom"/>
            <w:tcBorders>
              <w:top w:val="single" w:sz="8" w:color="0000EE"/>
              <w:bottom w:val="single" w:sz="8" w:color="F0FFFF"/>
            </w:tcBorders>
            <w:shd w:val="clear" w:color="auto" w:fill="F0FFFF"/>
          </w:tcPr>
          <w:p>
            <w:pPr>
              <w:spacing w:after="0"/>
              <w:rPr>
                <w:sz w:val="3"/>
                <w:szCs w:val="3"/>
                <w:color w:val="auto"/>
              </w:rPr>
            </w:pPr>
          </w:p>
        </w:tc>
        <w:tc>
          <w:tcPr>
            <w:tcW w:w="640" w:type="dxa"/>
            <w:vAlign w:val="bottom"/>
            <w:tcBorders>
              <w:top w:val="single" w:sz="8" w:color="0000EE"/>
              <w:bottom w:val="single" w:sz="8" w:color="F0FFFF"/>
            </w:tcBorders>
            <w:shd w:val="clear" w:color="auto" w:fill="F0FFFF"/>
          </w:tcPr>
          <w:p>
            <w:pPr>
              <w:spacing w:after="0"/>
              <w:rPr>
                <w:sz w:val="3"/>
                <w:szCs w:val="3"/>
                <w:color w:val="auto"/>
              </w:rPr>
            </w:pPr>
          </w:p>
        </w:tc>
        <w:tc>
          <w:tcPr>
            <w:tcW w:w="160" w:type="dxa"/>
            <w:vAlign w:val="bottom"/>
            <w:tcBorders>
              <w:top w:val="single" w:sz="8" w:color="0000EE"/>
              <w:bottom w:val="single" w:sz="8" w:color="F0FFFF"/>
            </w:tcBorders>
            <w:shd w:val="clear" w:color="auto" w:fill="F0FFFF"/>
          </w:tcPr>
          <w:p>
            <w:pPr>
              <w:spacing w:after="0"/>
              <w:rPr>
                <w:sz w:val="3"/>
                <w:szCs w:val="3"/>
                <w:color w:val="auto"/>
              </w:rPr>
            </w:pPr>
          </w:p>
        </w:tc>
        <w:tc>
          <w:tcPr>
            <w:tcW w:w="14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60" w:type="dxa"/>
            <w:vAlign w:val="bottom"/>
            <w:tcBorders>
              <w:top w:val="single" w:sz="8" w:color="0000EE"/>
              <w:bottom w:val="single" w:sz="8" w:color="F0FFFF"/>
            </w:tcBorders>
            <w:shd w:val="clear" w:color="auto" w:fill="F0FFFF"/>
          </w:tcPr>
          <w:p>
            <w:pPr>
              <w:spacing w:after="0"/>
              <w:rPr>
                <w:sz w:val="3"/>
                <w:szCs w:val="3"/>
                <w:color w:val="auto"/>
              </w:rPr>
            </w:pPr>
          </w:p>
        </w:tc>
        <w:tc>
          <w:tcPr>
            <w:tcW w:w="80" w:type="dxa"/>
            <w:vAlign w:val="bottom"/>
            <w:tcBorders>
              <w:top w:val="single" w:sz="8" w:color="0000EE"/>
              <w:bottom w:val="single" w:sz="8" w:color="F0FFFF"/>
            </w:tcBorders>
            <w:shd w:val="clear" w:color="auto" w:fill="F0FFFF"/>
          </w:tcPr>
          <w:p>
            <w:pPr>
              <w:spacing w:after="0"/>
              <w:rPr>
                <w:sz w:val="3"/>
                <w:szCs w:val="3"/>
                <w:color w:val="auto"/>
              </w:rPr>
            </w:pPr>
          </w:p>
        </w:tc>
        <w:tc>
          <w:tcPr>
            <w:tcW w:w="60" w:type="dxa"/>
            <w:vAlign w:val="bottom"/>
            <w:tcBorders>
              <w:top w:val="single" w:sz="8" w:color="0000EE"/>
              <w:bottom w:val="single" w:sz="8" w:color="F0FFFF"/>
            </w:tcBorders>
            <w:shd w:val="clear" w:color="auto" w:fill="F0FFFF"/>
          </w:tcPr>
          <w:p>
            <w:pPr>
              <w:spacing w:after="0"/>
              <w:rPr>
                <w:sz w:val="3"/>
                <w:szCs w:val="3"/>
                <w:color w:val="auto"/>
              </w:rPr>
            </w:pPr>
          </w:p>
        </w:tc>
        <w:tc>
          <w:tcPr>
            <w:tcW w:w="400" w:type="dxa"/>
            <w:vAlign w:val="bottom"/>
            <w:tcBorders>
              <w:top w:val="single" w:sz="8" w:color="F0FFFF"/>
              <w:bottom w:val="single" w:sz="8" w:color="F0FFFF"/>
            </w:tcBorders>
            <w:shd w:val="clear" w:color="auto" w:fill="F0FFFF"/>
          </w:tcPr>
          <w:p>
            <w:pPr>
              <w:spacing w:after="0"/>
              <w:rPr>
                <w:sz w:val="3"/>
                <w:szCs w:val="3"/>
                <w:color w:val="auto"/>
              </w:rPr>
            </w:pPr>
          </w:p>
        </w:tc>
        <w:tc>
          <w:tcPr>
            <w:tcW w:w="2680" w:type="dxa"/>
            <w:vAlign w:val="bottom"/>
            <w:tcBorders>
              <w:top w:val="single" w:sz="8" w:color="F0FFFF"/>
              <w:bottom w:val="single" w:sz="8" w:color="F0FFFF"/>
            </w:tcBorders>
            <w:shd w:val="clear" w:color="auto" w:fill="F0FFFF"/>
          </w:tcPr>
          <w:p>
            <w:pPr>
              <w:spacing w:after="0"/>
              <w:rPr>
                <w:sz w:val="3"/>
                <w:szCs w:val="3"/>
                <w:color w:val="auto"/>
              </w:rPr>
            </w:pPr>
          </w:p>
        </w:tc>
        <w:tc>
          <w:tcPr>
            <w:tcW w:w="320" w:type="dxa"/>
            <w:vAlign w:val="bottom"/>
            <w:tcBorders>
              <w:top w:val="single" w:sz="8" w:color="F0FFFF"/>
              <w:bottom w:val="single" w:sz="8" w:color="F0FFFF"/>
            </w:tcBorders>
            <w:vMerge w:val="continue"/>
            <w:shd w:val="clear" w:color="auto" w:fill="F0FFFF"/>
          </w:tcPr>
          <w:p>
            <w:pPr>
              <w:spacing w:after="0"/>
              <w:rPr>
                <w:sz w:val="3"/>
                <w:szCs w:val="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320" w:type="dxa"/>
            <w:vAlign w:val="bottom"/>
            <w:gridSpan w:val="29"/>
          </w:tcPr>
          <w:p>
            <w:pPr>
              <w:spacing w:after="0" w:line="104" w:lineRule="exact"/>
              <w:rPr>
                <w:sz w:val="20"/>
                <w:szCs w:val="20"/>
                <w:color w:val="auto"/>
              </w:rPr>
            </w:pPr>
            <w:r>
              <w:rPr>
                <w:rFonts w:ascii="Times New Roman" w:cs="Times New Roman" w:eastAsia="Times New Roman" w:hAnsi="Times New Roman"/>
                <w:sz w:val="11"/>
                <w:szCs w:val="11"/>
                <w:color w:val="0000EE"/>
              </w:rPr>
              <w:t>Appendix C — The Fixed Account</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C-1</w:t>
            </w:r>
          </w:p>
        </w:tc>
        <w:tc>
          <w:tcPr>
            <w:tcW w:w="0" w:type="dxa"/>
            <w:vAlign w:val="bottom"/>
          </w:tcPr>
          <w:p>
            <w:pPr>
              <w:spacing w:after="0"/>
              <w:rPr>
                <w:sz w:val="1"/>
                <w:szCs w:val="1"/>
                <w:color w:val="auto"/>
              </w:rPr>
            </w:pPr>
          </w:p>
        </w:tc>
      </w:tr>
      <w:tr>
        <w:trPr>
          <w:trHeight w:val="42"/>
        </w:trPr>
        <w:tc>
          <w:tcPr>
            <w:tcW w:w="20" w:type="dxa"/>
            <w:vAlign w:val="bottom"/>
            <w:tcBorders>
              <w:top w:val="single" w:sz="8" w:color="0000EE"/>
            </w:tcBorders>
          </w:tcPr>
          <w:p>
            <w:pPr>
              <w:spacing w:after="0"/>
              <w:rPr>
                <w:sz w:val="3"/>
                <w:szCs w:val="3"/>
                <w:color w:val="auto"/>
              </w:rPr>
            </w:pPr>
          </w:p>
        </w:tc>
        <w:tc>
          <w:tcPr>
            <w:tcW w:w="240" w:type="dxa"/>
            <w:vAlign w:val="bottom"/>
            <w:tcBorders>
              <w:top w:val="single" w:sz="8" w:color="0000EE"/>
            </w:tcBorders>
          </w:tcPr>
          <w:p>
            <w:pPr>
              <w:spacing w:after="0"/>
              <w:rPr>
                <w:sz w:val="3"/>
                <w:szCs w:val="3"/>
                <w:color w:val="auto"/>
              </w:rPr>
            </w:pPr>
          </w:p>
        </w:tc>
        <w:tc>
          <w:tcPr>
            <w:tcW w:w="3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32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680" w:type="dxa"/>
            <w:vAlign w:val="bottom"/>
          </w:tcPr>
          <w:p>
            <w:pPr>
              <w:spacing w:after="0"/>
              <w:rPr>
                <w:sz w:val="3"/>
                <w:szCs w:val="3"/>
                <w:color w:val="auto"/>
              </w:rPr>
            </w:pPr>
          </w:p>
        </w:tc>
        <w:tc>
          <w:tcPr>
            <w:tcW w:w="3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320" w:type="dxa"/>
            <w:vAlign w:val="bottom"/>
            <w:gridSpan w:val="29"/>
            <w:shd w:val="clear" w:color="auto" w:fill="F0FFFF"/>
          </w:tcPr>
          <w:p>
            <w:pPr>
              <w:spacing w:after="0" w:line="124" w:lineRule="exact"/>
              <w:rPr>
                <w:sz w:val="20"/>
                <w:szCs w:val="20"/>
                <w:color w:val="auto"/>
              </w:rPr>
            </w:pPr>
            <w:r>
              <w:rPr>
                <w:rFonts w:ascii="Times New Roman" w:cs="Times New Roman" w:eastAsia="Times New Roman" w:hAnsi="Times New Roman"/>
                <w:sz w:val="14"/>
                <w:szCs w:val="14"/>
                <w:color w:val="0000EE"/>
              </w:rPr>
              <w:t>Appendix D — Guaranteed Distribution Rider Examples</w:t>
            </w:r>
          </w:p>
        </w:tc>
        <w:tc>
          <w:tcPr>
            <w:tcW w:w="32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D-1</w:t>
            </w:r>
          </w:p>
        </w:tc>
        <w:tc>
          <w:tcPr>
            <w:tcW w:w="0" w:type="dxa"/>
            <w:vAlign w:val="bottom"/>
          </w:tcPr>
          <w:p>
            <w:pPr>
              <w:spacing w:after="0"/>
              <w:rPr>
                <w:sz w:val="1"/>
                <w:szCs w:val="1"/>
                <w:color w:val="auto"/>
              </w:rPr>
            </w:pPr>
          </w:p>
        </w:tc>
      </w:tr>
      <w:tr>
        <w:trPr>
          <w:trHeight w:val="42"/>
        </w:trPr>
        <w:tc>
          <w:tcPr>
            <w:tcW w:w="20" w:type="dxa"/>
            <w:vAlign w:val="bottom"/>
            <w:tcBorders>
              <w:top w:val="single" w:sz="8" w:color="0000EE"/>
            </w:tcBorders>
          </w:tcPr>
          <w:p>
            <w:pPr>
              <w:spacing w:after="0"/>
              <w:rPr>
                <w:sz w:val="3"/>
                <w:szCs w:val="3"/>
                <w:color w:val="auto"/>
              </w:rPr>
            </w:pPr>
          </w:p>
        </w:tc>
        <w:tc>
          <w:tcPr>
            <w:tcW w:w="240" w:type="dxa"/>
            <w:vAlign w:val="bottom"/>
            <w:tcBorders>
              <w:top w:val="single" w:sz="8" w:color="0000EE"/>
              <w:bottom w:val="single" w:sz="8" w:color="F0FFFF"/>
            </w:tcBorders>
            <w:shd w:val="clear" w:color="auto" w:fill="F0FFFF"/>
          </w:tcPr>
          <w:p>
            <w:pPr>
              <w:spacing w:after="0"/>
              <w:rPr>
                <w:sz w:val="3"/>
                <w:szCs w:val="3"/>
                <w:color w:val="auto"/>
              </w:rPr>
            </w:pPr>
          </w:p>
        </w:tc>
        <w:tc>
          <w:tcPr>
            <w:tcW w:w="320" w:type="dxa"/>
            <w:vAlign w:val="bottom"/>
            <w:tcBorders>
              <w:top w:val="single" w:sz="8" w:color="0000EE"/>
              <w:bottom w:val="single" w:sz="8" w:color="F0FFFF"/>
            </w:tcBorders>
            <w:shd w:val="clear" w:color="auto" w:fill="F0FFFF"/>
          </w:tcPr>
          <w:p>
            <w:pPr>
              <w:spacing w:after="0"/>
              <w:rPr>
                <w:sz w:val="3"/>
                <w:szCs w:val="3"/>
                <w:color w:val="auto"/>
              </w:rPr>
            </w:pPr>
          </w:p>
        </w:tc>
        <w:tc>
          <w:tcPr>
            <w:tcW w:w="6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120" w:type="dxa"/>
            <w:vAlign w:val="bottom"/>
            <w:tcBorders>
              <w:top w:val="single" w:sz="8" w:color="0000EE"/>
              <w:bottom w:val="single" w:sz="8" w:color="F0FFFF"/>
              <w:right w:val="single" w:sz="8" w:color="F0FFFF"/>
            </w:tcBorders>
            <w:shd w:val="clear" w:color="auto" w:fill="F0FFFF"/>
          </w:tcPr>
          <w:p>
            <w:pPr>
              <w:spacing w:after="0"/>
              <w:rPr>
                <w:sz w:val="3"/>
                <w:szCs w:val="3"/>
                <w:color w:val="auto"/>
              </w:rPr>
            </w:pPr>
          </w:p>
        </w:tc>
        <w:tc>
          <w:tcPr>
            <w:tcW w:w="8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320" w:type="dxa"/>
            <w:vAlign w:val="bottom"/>
            <w:tcBorders>
              <w:top w:val="single" w:sz="8" w:color="0000EE"/>
              <w:bottom w:val="single" w:sz="8" w:color="F0FFFF"/>
            </w:tcBorders>
            <w:shd w:val="clear" w:color="auto" w:fill="F0FFFF"/>
          </w:tcPr>
          <w:p>
            <w:pPr>
              <w:spacing w:after="0"/>
              <w:rPr>
                <w:sz w:val="3"/>
                <w:szCs w:val="3"/>
                <w:color w:val="auto"/>
              </w:rPr>
            </w:pPr>
          </w:p>
        </w:tc>
        <w:tc>
          <w:tcPr>
            <w:tcW w:w="16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8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40" w:type="dxa"/>
            <w:vAlign w:val="bottom"/>
            <w:tcBorders>
              <w:top w:val="single" w:sz="8" w:color="0000EE"/>
              <w:bottom w:val="single" w:sz="8" w:color="F0FFFF"/>
            </w:tcBorders>
            <w:shd w:val="clear" w:color="auto" w:fill="F0FFFF"/>
          </w:tcPr>
          <w:p>
            <w:pPr>
              <w:spacing w:after="0"/>
              <w:rPr>
                <w:sz w:val="3"/>
                <w:szCs w:val="3"/>
                <w:color w:val="auto"/>
              </w:rPr>
            </w:pPr>
          </w:p>
        </w:tc>
        <w:tc>
          <w:tcPr>
            <w:tcW w:w="8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120" w:type="dxa"/>
            <w:vAlign w:val="bottom"/>
            <w:tcBorders>
              <w:top w:val="single" w:sz="8" w:color="0000EE"/>
              <w:bottom w:val="single" w:sz="8" w:color="F0FFFF"/>
            </w:tcBorders>
            <w:shd w:val="clear" w:color="auto" w:fill="F0FFFF"/>
          </w:tcPr>
          <w:p>
            <w:pPr>
              <w:spacing w:after="0"/>
              <w:rPr>
                <w:sz w:val="3"/>
                <w:szCs w:val="3"/>
                <w:color w:val="auto"/>
              </w:rPr>
            </w:pPr>
          </w:p>
        </w:tc>
        <w:tc>
          <w:tcPr>
            <w:tcW w:w="160" w:type="dxa"/>
            <w:vAlign w:val="bottom"/>
            <w:tcBorders>
              <w:top w:val="single" w:sz="8" w:color="0000EE"/>
              <w:bottom w:val="single" w:sz="8" w:color="F0FFFF"/>
              <w:right w:val="single" w:sz="8" w:color="F0FFFF"/>
            </w:tcBorders>
            <w:shd w:val="clear" w:color="auto" w:fill="F0FFFF"/>
          </w:tcPr>
          <w:p>
            <w:pPr>
              <w:spacing w:after="0"/>
              <w:rPr>
                <w:sz w:val="3"/>
                <w:szCs w:val="3"/>
                <w:color w:val="auto"/>
              </w:rPr>
            </w:pPr>
          </w:p>
        </w:tc>
        <w:tc>
          <w:tcPr>
            <w:tcW w:w="160" w:type="dxa"/>
            <w:vAlign w:val="bottom"/>
            <w:tcBorders>
              <w:top w:val="single" w:sz="8" w:color="0000EE"/>
              <w:bottom w:val="single" w:sz="8" w:color="F0FFFF"/>
            </w:tcBorders>
            <w:shd w:val="clear" w:color="auto" w:fill="F0FFFF"/>
          </w:tcPr>
          <w:p>
            <w:pPr>
              <w:spacing w:after="0"/>
              <w:rPr>
                <w:sz w:val="3"/>
                <w:szCs w:val="3"/>
                <w:color w:val="auto"/>
              </w:rPr>
            </w:pPr>
          </w:p>
        </w:tc>
        <w:tc>
          <w:tcPr>
            <w:tcW w:w="640" w:type="dxa"/>
            <w:vAlign w:val="bottom"/>
            <w:tcBorders>
              <w:top w:val="single" w:sz="8" w:color="0000EE"/>
              <w:bottom w:val="single" w:sz="8" w:color="F0FFFF"/>
            </w:tcBorders>
            <w:shd w:val="clear" w:color="auto" w:fill="F0FFFF"/>
          </w:tcPr>
          <w:p>
            <w:pPr>
              <w:spacing w:after="0"/>
              <w:rPr>
                <w:sz w:val="3"/>
                <w:szCs w:val="3"/>
                <w:color w:val="auto"/>
              </w:rPr>
            </w:pPr>
          </w:p>
        </w:tc>
        <w:tc>
          <w:tcPr>
            <w:tcW w:w="160" w:type="dxa"/>
            <w:vAlign w:val="bottom"/>
            <w:tcBorders>
              <w:top w:val="single" w:sz="8" w:color="0000EE"/>
              <w:bottom w:val="single" w:sz="8" w:color="F0FFFF"/>
            </w:tcBorders>
            <w:shd w:val="clear" w:color="auto" w:fill="F0FFFF"/>
          </w:tcPr>
          <w:p>
            <w:pPr>
              <w:spacing w:after="0"/>
              <w:rPr>
                <w:sz w:val="3"/>
                <w:szCs w:val="3"/>
                <w:color w:val="auto"/>
              </w:rPr>
            </w:pPr>
          </w:p>
        </w:tc>
        <w:tc>
          <w:tcPr>
            <w:tcW w:w="14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60" w:type="dxa"/>
            <w:vAlign w:val="bottom"/>
            <w:tcBorders>
              <w:top w:val="single" w:sz="8" w:color="0000EE"/>
              <w:bottom w:val="single" w:sz="8" w:color="F0FFFF"/>
            </w:tcBorders>
            <w:shd w:val="clear" w:color="auto" w:fill="F0FFFF"/>
          </w:tcPr>
          <w:p>
            <w:pPr>
              <w:spacing w:after="0"/>
              <w:rPr>
                <w:sz w:val="3"/>
                <w:szCs w:val="3"/>
                <w:color w:val="auto"/>
              </w:rPr>
            </w:pPr>
          </w:p>
        </w:tc>
        <w:tc>
          <w:tcPr>
            <w:tcW w:w="80" w:type="dxa"/>
            <w:vAlign w:val="bottom"/>
            <w:tcBorders>
              <w:top w:val="single" w:sz="8" w:color="F0FFFF"/>
              <w:bottom w:val="single" w:sz="8" w:color="F0FFFF"/>
            </w:tcBorders>
            <w:shd w:val="clear" w:color="auto" w:fill="F0FFFF"/>
          </w:tcPr>
          <w:p>
            <w:pPr>
              <w:spacing w:after="0"/>
              <w:rPr>
                <w:sz w:val="3"/>
                <w:szCs w:val="3"/>
                <w:color w:val="auto"/>
              </w:rPr>
            </w:pPr>
          </w:p>
        </w:tc>
        <w:tc>
          <w:tcPr>
            <w:tcW w:w="60" w:type="dxa"/>
            <w:vAlign w:val="bottom"/>
            <w:tcBorders>
              <w:top w:val="single" w:sz="8" w:color="F0FFFF"/>
              <w:bottom w:val="single" w:sz="8" w:color="F0FFFF"/>
            </w:tcBorders>
            <w:shd w:val="clear" w:color="auto" w:fill="F0FFFF"/>
          </w:tcPr>
          <w:p>
            <w:pPr>
              <w:spacing w:after="0"/>
              <w:rPr>
                <w:sz w:val="3"/>
                <w:szCs w:val="3"/>
                <w:color w:val="auto"/>
              </w:rPr>
            </w:pPr>
          </w:p>
        </w:tc>
        <w:tc>
          <w:tcPr>
            <w:tcW w:w="400" w:type="dxa"/>
            <w:vAlign w:val="bottom"/>
            <w:tcBorders>
              <w:top w:val="single" w:sz="8" w:color="F0FFFF"/>
              <w:bottom w:val="single" w:sz="8" w:color="F0FFFF"/>
            </w:tcBorders>
            <w:shd w:val="clear" w:color="auto" w:fill="F0FFFF"/>
          </w:tcPr>
          <w:p>
            <w:pPr>
              <w:spacing w:after="0"/>
              <w:rPr>
                <w:sz w:val="3"/>
                <w:szCs w:val="3"/>
                <w:color w:val="auto"/>
              </w:rPr>
            </w:pPr>
          </w:p>
        </w:tc>
        <w:tc>
          <w:tcPr>
            <w:tcW w:w="2680" w:type="dxa"/>
            <w:vAlign w:val="bottom"/>
            <w:tcBorders>
              <w:top w:val="single" w:sz="8" w:color="F0FFFF"/>
              <w:bottom w:val="single" w:sz="8" w:color="F0FFFF"/>
            </w:tcBorders>
            <w:shd w:val="clear" w:color="auto" w:fill="F0FFFF"/>
          </w:tcPr>
          <w:p>
            <w:pPr>
              <w:spacing w:after="0"/>
              <w:rPr>
                <w:sz w:val="3"/>
                <w:szCs w:val="3"/>
                <w:color w:val="auto"/>
              </w:rPr>
            </w:pPr>
          </w:p>
        </w:tc>
        <w:tc>
          <w:tcPr>
            <w:tcW w:w="320" w:type="dxa"/>
            <w:vAlign w:val="bottom"/>
            <w:tcBorders>
              <w:top w:val="single" w:sz="8" w:color="F0FFFF"/>
              <w:bottom w:val="single" w:sz="8" w:color="F0FFFF"/>
            </w:tcBorders>
            <w:vMerge w:val="continue"/>
            <w:shd w:val="clear" w:color="auto" w:fill="F0FFFF"/>
          </w:tcPr>
          <w:p>
            <w:pPr>
              <w:spacing w:after="0"/>
              <w:rPr>
                <w:sz w:val="3"/>
                <w:szCs w:val="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0000EE"/>
            </w:tcBorders>
          </w:tcPr>
          <w:p>
            <w:pPr>
              <w:spacing w:after="0"/>
              <w:rPr>
                <w:sz w:val="8"/>
                <w:szCs w:val="8"/>
                <w:color w:val="auto"/>
              </w:rPr>
            </w:pPr>
          </w:p>
        </w:tc>
        <w:tc>
          <w:tcPr>
            <w:tcW w:w="640" w:type="dxa"/>
            <w:vAlign w:val="bottom"/>
            <w:tcBorders>
              <w:bottom w:val="single" w:sz="8" w:color="0000EE"/>
            </w:tcBorders>
            <w:gridSpan w:val="4"/>
          </w:tcPr>
          <w:p>
            <w:pPr>
              <w:spacing w:after="0" w:line="104" w:lineRule="exact"/>
              <w:rPr>
                <w:sz w:val="20"/>
                <w:szCs w:val="20"/>
                <w:color w:val="auto"/>
              </w:rPr>
            </w:pPr>
            <w:r>
              <w:rPr>
                <w:rFonts w:ascii="Times New Roman" w:cs="Times New Roman" w:eastAsia="Times New Roman" w:hAnsi="Times New Roman"/>
                <w:sz w:val="11"/>
                <w:szCs w:val="11"/>
                <w:color w:val="0000EE"/>
              </w:rPr>
              <w:t>Appendix E</w:t>
            </w:r>
          </w:p>
        </w:tc>
        <w:tc>
          <w:tcPr>
            <w:tcW w:w="20" w:type="dxa"/>
            <w:vAlign w:val="bottom"/>
            <w:vMerge w:val="restart"/>
          </w:tcPr>
          <w:p>
            <w:pPr>
              <w:spacing w:after="0"/>
              <w:rPr>
                <w:sz w:val="8"/>
                <w:szCs w:val="8"/>
                <w:color w:val="auto"/>
              </w:rPr>
            </w:pPr>
          </w:p>
        </w:tc>
        <w:tc>
          <w:tcPr>
            <w:tcW w:w="2520" w:type="dxa"/>
            <w:vAlign w:val="bottom"/>
            <w:tcBorders>
              <w:bottom w:val="single" w:sz="8" w:color="0000EE"/>
            </w:tcBorders>
            <w:gridSpan w:val="21"/>
          </w:tcPr>
          <w:p>
            <w:pPr>
              <w:spacing w:after="0" w:line="104" w:lineRule="exact"/>
              <w:rPr>
                <w:sz w:val="20"/>
                <w:szCs w:val="20"/>
                <w:color w:val="auto"/>
              </w:rPr>
            </w:pPr>
            <w:r>
              <w:rPr>
                <w:rFonts w:ascii="Times New Roman" w:cs="Times New Roman" w:eastAsia="Times New Roman" w:hAnsi="Times New Roman"/>
                <w:sz w:val="11"/>
                <w:szCs w:val="11"/>
                <w:color w:val="0000EE"/>
              </w:rPr>
              <w:t>— CASH VALUE ACCUMULATION TEST</w:t>
            </w:r>
          </w:p>
        </w:tc>
        <w:tc>
          <w:tcPr>
            <w:tcW w:w="3140" w:type="dxa"/>
            <w:vAlign w:val="bottom"/>
            <w:gridSpan w:val="3"/>
            <w:vMerge w:val="restart"/>
          </w:tcPr>
          <w:p>
            <w:pPr>
              <w:spacing w:after="0"/>
              <w:rPr>
                <w:sz w:val="8"/>
                <w:szCs w:val="8"/>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E-1</w:t>
            </w: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40" w:type="dxa"/>
            <w:vAlign w:val="bottom"/>
            <w:gridSpan w:val="4"/>
          </w:tcPr>
          <w:p>
            <w:pPr>
              <w:spacing w:after="0"/>
              <w:rPr>
                <w:sz w:val="3"/>
                <w:szCs w:val="3"/>
                <w:color w:val="auto"/>
              </w:rPr>
            </w:pPr>
          </w:p>
        </w:tc>
        <w:tc>
          <w:tcPr>
            <w:tcW w:w="20" w:type="dxa"/>
            <w:vAlign w:val="bottom"/>
            <w:vMerge w:val="continue"/>
          </w:tcPr>
          <w:p>
            <w:pPr>
              <w:spacing w:after="0"/>
              <w:rPr>
                <w:sz w:val="3"/>
                <w:szCs w:val="3"/>
                <w:color w:val="auto"/>
              </w:rPr>
            </w:pPr>
          </w:p>
        </w:tc>
        <w:tc>
          <w:tcPr>
            <w:tcW w:w="140" w:type="dxa"/>
            <w:vAlign w:val="bottom"/>
            <w:gridSpan w:val="2"/>
          </w:tcPr>
          <w:p>
            <w:pPr>
              <w:spacing w:after="0"/>
              <w:rPr>
                <w:sz w:val="3"/>
                <w:szCs w:val="3"/>
                <w:color w:val="auto"/>
              </w:rPr>
            </w:pPr>
          </w:p>
        </w:tc>
        <w:tc>
          <w:tcPr>
            <w:tcW w:w="1120" w:type="dxa"/>
            <w:vAlign w:val="bottom"/>
            <w:gridSpan w:val="12"/>
          </w:tcPr>
          <w:p>
            <w:pPr>
              <w:spacing w:after="0"/>
              <w:rPr>
                <w:sz w:val="3"/>
                <w:szCs w:val="3"/>
                <w:color w:val="auto"/>
              </w:rPr>
            </w:pPr>
          </w:p>
        </w:tc>
        <w:tc>
          <w:tcPr>
            <w:tcW w:w="1260" w:type="dxa"/>
            <w:vAlign w:val="bottom"/>
            <w:gridSpan w:val="7"/>
          </w:tcPr>
          <w:p>
            <w:pPr>
              <w:spacing w:after="0"/>
              <w:rPr>
                <w:sz w:val="3"/>
                <w:szCs w:val="3"/>
                <w:color w:val="auto"/>
              </w:rPr>
            </w:pPr>
          </w:p>
        </w:tc>
        <w:tc>
          <w:tcPr>
            <w:tcW w:w="3140" w:type="dxa"/>
            <w:vAlign w:val="bottom"/>
            <w:gridSpan w:val="3"/>
            <w:vMerge w:val="continue"/>
          </w:tcPr>
          <w:p>
            <w:pPr>
              <w:spacing w:after="0"/>
              <w:rPr>
                <w:sz w:val="3"/>
                <w:szCs w:val="3"/>
                <w:color w:val="auto"/>
              </w:rPr>
            </w:pPr>
          </w:p>
        </w:tc>
        <w:tc>
          <w:tcPr>
            <w:tcW w:w="3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320" w:type="dxa"/>
            <w:vAlign w:val="bottom"/>
            <w:gridSpan w:val="29"/>
            <w:shd w:val="clear" w:color="auto" w:fill="F0FFFF"/>
          </w:tcPr>
          <w:p>
            <w:pPr>
              <w:spacing w:after="0" w:line="104" w:lineRule="exact"/>
              <w:rPr>
                <w:sz w:val="20"/>
                <w:szCs w:val="20"/>
                <w:color w:val="auto"/>
              </w:rPr>
            </w:pPr>
            <w:r>
              <w:rPr>
                <w:rFonts w:ascii="Times New Roman" w:cs="Times New Roman" w:eastAsia="Times New Roman" w:hAnsi="Times New Roman"/>
                <w:sz w:val="11"/>
                <w:szCs w:val="11"/>
                <w:color w:val="0000EE"/>
              </w:rPr>
              <w:t>APPENDIX F — State Variations</w:t>
            </w:r>
          </w:p>
        </w:tc>
        <w:tc>
          <w:tcPr>
            <w:tcW w:w="320" w:type="dxa"/>
            <w:vAlign w:val="bottom"/>
            <w:shd w:val="clear" w:color="auto" w:fill="F0FFFF"/>
          </w:tcPr>
          <w:p>
            <w:pPr>
              <w:jc w:val="right"/>
              <w:spacing w:after="0" w:line="104" w:lineRule="exact"/>
              <w:rPr>
                <w:sz w:val="20"/>
                <w:szCs w:val="20"/>
                <w:color w:val="auto"/>
              </w:rPr>
            </w:pPr>
            <w:r>
              <w:rPr>
                <w:rFonts w:ascii="Times New Roman" w:cs="Times New Roman" w:eastAsia="Times New Roman" w:hAnsi="Times New Roman"/>
                <w:sz w:val="11"/>
                <w:szCs w:val="11"/>
                <w:color w:val="auto"/>
              </w:rPr>
              <w:t>F-1</w:t>
            </w:r>
          </w:p>
        </w:tc>
        <w:tc>
          <w:tcPr>
            <w:tcW w:w="0" w:type="dxa"/>
            <w:vAlign w:val="bottom"/>
          </w:tcPr>
          <w:p>
            <w:pPr>
              <w:spacing w:after="0"/>
              <w:rPr>
                <w:sz w:val="1"/>
                <w:szCs w:val="1"/>
                <w:color w:val="auto"/>
              </w:rPr>
            </w:pPr>
          </w:p>
        </w:tc>
      </w:tr>
      <w:tr>
        <w:trPr>
          <w:trHeight w:val="21"/>
        </w:trPr>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right w:val="single" w:sz="8" w:color="F0FFFF"/>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F0FFFF"/>
          </w:tcPr>
          <w:p>
            <w:pPr>
              <w:spacing w:after="0" w:line="20" w:lineRule="exact"/>
              <w:rPr>
                <w:sz w:val="1"/>
                <w:szCs w:val="1"/>
                <w:color w:val="auto"/>
              </w:rPr>
            </w:pPr>
          </w:p>
        </w:tc>
        <w:tc>
          <w:tcPr>
            <w:tcW w:w="640" w:type="dxa"/>
            <w:vAlign w:val="bottom"/>
            <w:shd w:val="clear" w:color="auto" w:fill="F0FFFF"/>
          </w:tcPr>
          <w:p>
            <w:pPr>
              <w:spacing w:after="0" w:line="20" w:lineRule="exact"/>
              <w:rPr>
                <w:sz w:val="1"/>
                <w:szCs w:val="1"/>
                <w:color w:val="auto"/>
              </w:rPr>
            </w:pPr>
          </w:p>
        </w:tc>
        <w:tc>
          <w:tcPr>
            <w:tcW w:w="160" w:type="dxa"/>
            <w:vAlign w:val="bottom"/>
            <w:shd w:val="clear" w:color="auto" w:fill="F0FFFF"/>
          </w:tcPr>
          <w:p>
            <w:pPr>
              <w:spacing w:after="0" w:line="20" w:lineRule="exact"/>
              <w:rPr>
                <w:sz w:val="1"/>
                <w:szCs w:val="1"/>
                <w:color w:val="auto"/>
              </w:rPr>
            </w:pPr>
          </w:p>
        </w:tc>
        <w:tc>
          <w:tcPr>
            <w:tcW w:w="140" w:type="dxa"/>
            <w:vAlign w:val="bottom"/>
            <w:shd w:val="clear" w:color="auto" w:fill="F0FFFF"/>
          </w:tcPr>
          <w:p>
            <w:pPr>
              <w:spacing w:after="0" w:line="20" w:lineRule="exact"/>
              <w:rPr>
                <w:sz w:val="1"/>
                <w:szCs w:val="1"/>
                <w:color w:val="auto"/>
              </w:rPr>
            </w:pPr>
          </w:p>
        </w:tc>
        <w:tc>
          <w:tcPr>
            <w:tcW w:w="20" w:type="dxa"/>
            <w:vAlign w:val="bottom"/>
            <w:shd w:val="clear" w:color="auto" w:fill="F0FFFF"/>
          </w:tcPr>
          <w:p>
            <w:pPr>
              <w:spacing w:after="0" w:line="20" w:lineRule="exact"/>
              <w:rPr>
                <w:sz w:val="1"/>
                <w:szCs w:val="1"/>
                <w:color w:val="auto"/>
              </w:rPr>
            </w:pPr>
          </w:p>
        </w:tc>
        <w:tc>
          <w:tcPr>
            <w:tcW w:w="60" w:type="dxa"/>
            <w:vAlign w:val="bottom"/>
            <w:shd w:val="clear" w:color="auto" w:fill="F0FFFF"/>
          </w:tcPr>
          <w:p>
            <w:pPr>
              <w:spacing w:after="0" w:line="20" w:lineRule="exact"/>
              <w:rPr>
                <w:sz w:val="1"/>
                <w:szCs w:val="1"/>
                <w:color w:val="auto"/>
              </w:rPr>
            </w:pPr>
          </w:p>
        </w:tc>
        <w:tc>
          <w:tcPr>
            <w:tcW w:w="80" w:type="dxa"/>
            <w:vAlign w:val="bottom"/>
            <w:shd w:val="clear" w:color="auto" w:fill="F0FFFF"/>
          </w:tcPr>
          <w:p>
            <w:pPr>
              <w:spacing w:after="0" w:line="20" w:lineRule="exact"/>
              <w:rPr>
                <w:sz w:val="1"/>
                <w:szCs w:val="1"/>
                <w:color w:val="auto"/>
              </w:rPr>
            </w:pPr>
          </w:p>
        </w:tc>
        <w:tc>
          <w:tcPr>
            <w:tcW w:w="60" w:type="dxa"/>
            <w:vAlign w:val="bottom"/>
            <w:shd w:val="clear" w:color="auto" w:fill="F0FFFF"/>
          </w:tcPr>
          <w:p>
            <w:pPr>
              <w:spacing w:after="0" w:line="20" w:lineRule="exact"/>
              <w:rPr>
                <w:sz w:val="1"/>
                <w:szCs w:val="1"/>
                <w:color w:val="auto"/>
              </w:rPr>
            </w:pPr>
          </w:p>
        </w:tc>
        <w:tc>
          <w:tcPr>
            <w:tcW w:w="400" w:type="dxa"/>
            <w:vAlign w:val="bottom"/>
            <w:shd w:val="clear" w:color="auto" w:fill="F0FFFF"/>
          </w:tcPr>
          <w:p>
            <w:pPr>
              <w:spacing w:after="0" w:line="20" w:lineRule="exact"/>
              <w:rPr>
                <w:sz w:val="1"/>
                <w:szCs w:val="1"/>
                <w:color w:val="auto"/>
              </w:rPr>
            </w:pPr>
          </w:p>
        </w:tc>
        <w:tc>
          <w:tcPr>
            <w:tcW w:w="2680" w:type="dxa"/>
            <w:vAlign w:val="bottom"/>
            <w:shd w:val="clear" w:color="auto" w:fill="F0FFFF"/>
          </w:tcPr>
          <w:p>
            <w:pPr>
              <w:spacing w:after="0" w:line="20" w:lineRule="exact"/>
              <w:rPr>
                <w:sz w:val="1"/>
                <w:szCs w:val="1"/>
                <w:color w:val="auto"/>
              </w:rPr>
            </w:pPr>
          </w:p>
        </w:tc>
        <w:tc>
          <w:tcPr>
            <w:tcW w:w="320" w:type="dxa"/>
            <w:vAlign w:val="bottom"/>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179070</wp:posOffset>
            </wp:positionH>
            <wp:positionV relativeFrom="page">
              <wp:posOffset>422275</wp:posOffset>
            </wp:positionV>
            <wp:extent cx="719010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9219"/>
          </w:cols>
          <w:pgMar w:left="1240" w:top="1039" w:right="1440" w:bottom="1440" w:gutter="0" w:footer="0" w:header="0"/>
        </w:sectPr>
      </w:pPr>
    </w:p>
    <w:bookmarkStart w:id="7" w:name="page8"/>
    <w:bookmarkEnd w:id="7"/>
    <w:p>
      <w:pPr>
        <w:ind w:left="258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422275</wp:posOffset>
            </wp:positionV>
            <wp:extent cx="719010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90105" cy="38735"/>
                    </a:xfrm>
                    <a:prstGeom prst="rect">
                      <a:avLst/>
                    </a:prstGeom>
                    <a:noFill/>
                  </pic:spPr>
                </pic:pic>
              </a:graphicData>
            </a:graphic>
          </wp:anchor>
        </w:drawing>
        <w:t>SPECIAL TERMS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this prospectus, the following capitalized terms have the indicated meanings:</w:t>
      </w:r>
    </w:p>
    <w:p>
      <w:pPr>
        <w:spacing w:after="0" w:line="82" w:lineRule="exact"/>
        <w:rPr>
          <w:sz w:val="20"/>
          <w:szCs w:val="20"/>
          <w:color w:val="auto"/>
        </w:rPr>
      </w:pPr>
    </w:p>
    <w:p>
      <w:pPr>
        <w:jc w:val="both"/>
        <w:ind w:right="2939"/>
        <w:spacing w:after="0" w:line="250" w:lineRule="auto"/>
        <w:rPr>
          <w:sz w:val="20"/>
          <w:szCs w:val="20"/>
          <w:color w:val="auto"/>
        </w:rPr>
      </w:pPr>
      <w:r>
        <w:rPr>
          <w:rFonts w:ascii="Times New Roman" w:cs="Times New Roman" w:eastAsia="Times New Roman" w:hAnsi="Times New Roman"/>
          <w:sz w:val="14"/>
          <w:szCs w:val="14"/>
          <w:b w:val="1"/>
          <w:bCs w:val="1"/>
          <w:color w:val="auto"/>
        </w:rPr>
        <w:t xml:space="preserve">Accrued Buffer Rate. </w:t>
      </w:r>
      <w:r>
        <w:rPr>
          <w:rFonts w:ascii="Times New Roman" w:cs="Times New Roman" w:eastAsia="Times New Roman" w:hAnsi="Times New Roman"/>
          <w:sz w:val="14"/>
          <w:szCs w:val="14"/>
          <w:color w:val="auto"/>
        </w:rPr>
        <w:t>The portion of the Buffer Rate that has accrued from the Segment Start Date to any day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within the Segment Term. This is the amount that we will absorb when calculating Interim Segment Value on any day prior to the Segment Maturity Date if Segment Index Performance is less than zero. The Accrued Buffer Rate is equal to the Buffer Rate multiplied by the number of days elapsed since the Segment Start Date, divided by the total number of days in the Segment Term. The Buffer Rate accrues during the Segment Term and only reaches full accrual on the last day of a Segment Term, which means the Accrued Buffer Rate is lower earlier in the Segment Term and will be reflected in the Interim Segment Value calculation.</w:t>
      </w:r>
    </w:p>
    <w:p>
      <w:pPr>
        <w:spacing w:after="0" w:line="60" w:lineRule="exact"/>
        <w:rPr>
          <w:sz w:val="20"/>
          <w:szCs w:val="20"/>
          <w:color w:val="auto"/>
        </w:rPr>
      </w:pPr>
    </w:p>
    <w:p>
      <w:pPr>
        <w:jc w:val="both"/>
        <w:ind w:right="2939"/>
        <w:spacing w:after="0" w:line="250" w:lineRule="auto"/>
        <w:rPr>
          <w:sz w:val="20"/>
          <w:szCs w:val="20"/>
          <w:color w:val="auto"/>
        </w:rPr>
      </w:pPr>
      <w:r>
        <w:rPr>
          <w:rFonts w:ascii="Times New Roman" w:cs="Times New Roman" w:eastAsia="Times New Roman" w:hAnsi="Times New Roman"/>
          <w:sz w:val="14"/>
          <w:szCs w:val="14"/>
          <w:b w:val="1"/>
          <w:bCs w:val="1"/>
          <w:color w:val="auto"/>
        </w:rPr>
        <w:t xml:space="preserve">Accrued Cap Rate. </w:t>
      </w:r>
      <w:r>
        <w:rPr>
          <w:rFonts w:ascii="Times New Roman" w:cs="Times New Roman" w:eastAsia="Times New Roman" w:hAnsi="Times New Roman"/>
          <w:sz w:val="14"/>
          <w:szCs w:val="14"/>
          <w:color w:val="auto"/>
        </w:rPr>
        <w:t>The portion of the Cap Rate that has accrued from the Segment Start Date to any day within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Segment Term. This is the maximum Segment Index Performance that may be applied in calculating the Interim Segment Value on any day prior to the Segment Maturity Date if Segment Index Performance is greater than zero. The Accrued Cap Rate is equal to the Cap Rate multiplied by the number of days elapsed since the Segment Start Date, divided by the total number of days in the Term. The Cap Rate accrues during the Segment Term and only reaches full accrual on the last day of a Segment Term, which means the Accrued Cap Rate is lower earlier in the Segment Term and will be reflected in the Interim Segment Value calculation.</w:t>
      </w:r>
    </w:p>
    <w:p>
      <w:pPr>
        <w:spacing w:after="0" w:line="60" w:lineRule="exact"/>
        <w:rPr>
          <w:sz w:val="20"/>
          <w:szCs w:val="20"/>
          <w:color w:val="auto"/>
        </w:rPr>
      </w:pPr>
    </w:p>
    <w:p>
      <w:pPr>
        <w:jc w:val="both"/>
        <w:ind w:right="2939"/>
        <w:spacing w:after="0" w:line="254" w:lineRule="auto"/>
        <w:rPr>
          <w:sz w:val="20"/>
          <w:szCs w:val="20"/>
          <w:color w:val="auto"/>
        </w:rPr>
      </w:pPr>
      <w:r>
        <w:rPr>
          <w:rFonts w:ascii="Times New Roman" w:cs="Times New Roman" w:eastAsia="Times New Roman" w:hAnsi="Times New Roman"/>
          <w:sz w:val="14"/>
          <w:szCs w:val="14"/>
          <w:b w:val="1"/>
          <w:bCs w:val="1"/>
          <w:color w:val="auto"/>
        </w:rPr>
        <w:t xml:space="preserve">Accrued Index Return. </w:t>
      </w:r>
      <w:r>
        <w:rPr>
          <w:rFonts w:ascii="Times New Roman" w:cs="Times New Roman" w:eastAsia="Times New Roman" w:hAnsi="Times New Roman"/>
          <w:sz w:val="14"/>
          <w:szCs w:val="14"/>
          <w:color w:val="auto"/>
        </w:rPr>
        <w:t>The amount added to the Segment Value to determine the Interim Segment Value.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Accrued Index Return is equal to the current Segment Value (on the date of the Interim Segment Value calculation) multiplied by the Segment Performance Rate. The Accrued Index Return can be positive, zero or negative.</w:t>
      </w:r>
    </w:p>
    <w:p>
      <w:pPr>
        <w:spacing w:after="0" w:line="59" w:lineRule="exact"/>
        <w:rPr>
          <w:sz w:val="20"/>
          <w:szCs w:val="20"/>
          <w:color w:val="auto"/>
        </w:rPr>
      </w:pPr>
    </w:p>
    <w:p>
      <w:pPr>
        <w:jc w:val="both"/>
        <w:ind w:right="2939"/>
        <w:spacing w:after="0" w:line="273" w:lineRule="auto"/>
        <w:rPr>
          <w:sz w:val="20"/>
          <w:szCs w:val="20"/>
          <w:color w:val="auto"/>
        </w:rPr>
      </w:pPr>
      <w:r>
        <w:rPr>
          <w:rFonts w:ascii="Times New Roman" w:cs="Times New Roman" w:eastAsia="Times New Roman" w:hAnsi="Times New Roman"/>
          <w:sz w:val="14"/>
          <w:szCs w:val="14"/>
          <w:b w:val="1"/>
          <w:bCs w:val="1"/>
          <w:color w:val="auto"/>
        </w:rPr>
        <w:t xml:space="preserve">Administrative Office. </w:t>
      </w:r>
      <w:r>
        <w:rPr>
          <w:rFonts w:ascii="Times New Roman" w:cs="Times New Roman" w:eastAsia="Times New Roman" w:hAnsi="Times New Roman"/>
          <w:sz w:val="14"/>
          <w:szCs w:val="14"/>
          <w:color w:val="auto"/>
        </w:rPr>
        <w:t>The office, or any other office that we may designate for the purpose of administering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Policy, to which Notices and requests must be sent, or as otherwise changed by notification from us.</w:t>
      </w:r>
    </w:p>
    <w:p>
      <w:pPr>
        <w:spacing w:after="0" w:line="45" w:lineRule="exact"/>
        <w:rPr>
          <w:sz w:val="20"/>
          <w:szCs w:val="20"/>
          <w:color w:val="auto"/>
        </w:rPr>
      </w:pPr>
    </w:p>
    <w:p>
      <w:pPr>
        <w:jc w:val="both"/>
        <w:ind w:right="2939"/>
        <w:spacing w:after="0" w:line="251" w:lineRule="auto"/>
        <w:rPr>
          <w:sz w:val="20"/>
          <w:szCs w:val="20"/>
          <w:color w:val="auto"/>
        </w:rPr>
      </w:pPr>
      <w:r>
        <w:rPr>
          <w:rFonts w:ascii="Times New Roman" w:cs="Times New Roman" w:eastAsia="Times New Roman" w:hAnsi="Times New Roman"/>
          <w:sz w:val="14"/>
          <w:szCs w:val="14"/>
          <w:b w:val="1"/>
          <w:bCs w:val="1"/>
          <w:color w:val="auto"/>
        </w:rPr>
        <w:t xml:space="preserve">Annual Deduction. </w:t>
      </w:r>
      <w:r>
        <w:rPr>
          <w:rFonts w:ascii="Times New Roman" w:cs="Times New Roman" w:eastAsia="Times New Roman" w:hAnsi="Times New Roman"/>
          <w:sz w:val="14"/>
          <w:szCs w:val="14"/>
          <w:color w:val="auto"/>
        </w:rPr>
        <w:t>An amount deducted from the Policy’s Cash Value on the Policy Start Date and on each</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Policy Anniversary, consisting of the Annual Administrative Charge, the Annual Indexed Account Charge, the Annual Cost of Insurance Charge, and the GDR charge, if applicable. A description of Annual Administrative Charge, the Annual Indexed Account Charge, the Annual Cost of Insurance Charge can be found in the “CHARGES” section, and a description of the GDR Charge can be found in the “GUARANTEED DISTRIBUTION RIDER” section.</w:t>
      </w:r>
    </w:p>
    <w:p>
      <w:pPr>
        <w:spacing w:after="0" w:line="60" w:lineRule="exact"/>
        <w:rPr>
          <w:sz w:val="20"/>
          <w:szCs w:val="20"/>
          <w:color w:val="auto"/>
        </w:rPr>
      </w:pPr>
    </w:p>
    <w:p>
      <w:pPr>
        <w:jc w:val="both"/>
        <w:ind w:right="2939"/>
        <w:spacing w:after="0" w:line="250" w:lineRule="auto"/>
        <w:rPr>
          <w:sz w:val="20"/>
          <w:szCs w:val="20"/>
          <w:color w:val="auto"/>
        </w:rPr>
      </w:pPr>
      <w:r>
        <w:rPr>
          <w:rFonts w:ascii="Times New Roman" w:cs="Times New Roman" w:eastAsia="Times New Roman" w:hAnsi="Times New Roman"/>
          <w:sz w:val="14"/>
          <w:szCs w:val="14"/>
          <w:b w:val="1"/>
          <w:bCs w:val="1"/>
          <w:color w:val="auto"/>
        </w:rPr>
        <w:t xml:space="preserve">Annual Lapse Prevention Premiums. </w:t>
      </w:r>
      <w:r>
        <w:rPr>
          <w:rFonts w:ascii="Times New Roman" w:cs="Times New Roman" w:eastAsia="Times New Roman" w:hAnsi="Times New Roman"/>
          <w:sz w:val="14"/>
          <w:szCs w:val="14"/>
          <w:color w:val="auto"/>
        </w:rPr>
        <w:t>The premiums that must be paid in order to keep the Lifetime Lapse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Prevention Benefit in force. Annual Lapse Prevention Premiums are calculated at issue and payable for 10 years. If not paid when due, the GDR will terminate. Payment of the Annual Lapse Prevention Premiums will ensure that your Policy remains in force so that Policy Proceeds are payable upon the death of the Insured (see “Risk of Lapse” under the “Risk Factors” section), provided the GDR is in force. Payment of the Annual Lapse Prevention Premiums do not increase the Face Amount; however, premium payments may increase the death benefit. See “DEATH BENEFIT.”</w:t>
      </w:r>
    </w:p>
    <w:p>
      <w:pPr>
        <w:spacing w:after="0" w:line="60" w:lineRule="exact"/>
        <w:rPr>
          <w:sz w:val="20"/>
          <w:szCs w:val="20"/>
          <w:color w:val="auto"/>
        </w:rPr>
      </w:pPr>
    </w:p>
    <w:p>
      <w:pPr>
        <w:jc w:val="both"/>
        <w:ind w:right="2939"/>
        <w:spacing w:after="0" w:line="273" w:lineRule="auto"/>
        <w:rPr>
          <w:sz w:val="20"/>
          <w:szCs w:val="20"/>
          <w:color w:val="auto"/>
        </w:rPr>
      </w:pPr>
      <w:r>
        <w:rPr>
          <w:rFonts w:ascii="Times New Roman" w:cs="Times New Roman" w:eastAsia="Times New Roman" w:hAnsi="Times New Roman"/>
          <w:sz w:val="14"/>
          <w:szCs w:val="14"/>
          <w:b w:val="1"/>
          <w:bCs w:val="1"/>
          <w:color w:val="auto"/>
        </w:rPr>
        <w:t xml:space="preserve">Attained Age. </w:t>
      </w:r>
      <w:r>
        <w:rPr>
          <w:rFonts w:ascii="Times New Roman" w:cs="Times New Roman" w:eastAsia="Times New Roman" w:hAnsi="Times New Roman"/>
          <w:sz w:val="14"/>
          <w:szCs w:val="14"/>
          <w:color w:val="auto"/>
        </w:rPr>
        <w:t>The Attained Age is equal to the Issue Age plus the number of completed Policy Years. This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includes any period during which the Policy was lapsed.</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BLIC (“we,” “us,” “our,” or the “Company”)</w:t>
      </w:r>
      <w:r>
        <w:rPr>
          <w:rFonts w:ascii="Times New Roman" w:cs="Times New Roman" w:eastAsia="Times New Roman" w:hAnsi="Times New Roman"/>
          <w:sz w:val="14"/>
          <w:szCs w:val="14"/>
          <w:color w:val="auto"/>
        </w:rPr>
        <w:t>. Brighthouse Life Insurance Company.</w:t>
      </w:r>
    </w:p>
    <w:p>
      <w:pPr>
        <w:spacing w:after="0" w:line="86" w:lineRule="exact"/>
        <w:rPr>
          <w:sz w:val="20"/>
          <w:szCs w:val="20"/>
          <w:color w:val="auto"/>
        </w:rPr>
      </w:pPr>
    </w:p>
    <w:p>
      <w:pPr>
        <w:jc w:val="both"/>
        <w:ind w:right="2939"/>
        <w:spacing w:after="0" w:line="259" w:lineRule="auto"/>
        <w:rPr>
          <w:sz w:val="20"/>
          <w:szCs w:val="20"/>
          <w:color w:val="auto"/>
        </w:rPr>
      </w:pPr>
      <w:r>
        <w:rPr>
          <w:rFonts w:ascii="Times New Roman" w:cs="Times New Roman" w:eastAsia="Times New Roman" w:hAnsi="Times New Roman"/>
          <w:sz w:val="14"/>
          <w:szCs w:val="14"/>
          <w:b w:val="1"/>
          <w:bCs w:val="1"/>
          <w:color w:val="auto"/>
        </w:rPr>
        <w:t xml:space="preserve">Buffer 10. </w:t>
      </w:r>
      <w:r>
        <w:rPr>
          <w:rFonts w:ascii="Times New Roman" w:cs="Times New Roman" w:eastAsia="Times New Roman" w:hAnsi="Times New Roman"/>
          <w:sz w:val="14"/>
          <w:szCs w:val="14"/>
          <w:color w:val="auto"/>
        </w:rPr>
        <w:t>The Policy provides downside protection through Buffer 10, which is a Buffer Rate where negative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Segment Index Performance of up to 10% is absorbed by us at the Segment Maturity Date, which would leave you to absorb up to 90% of any remaining negative Segment Index Performance.</w:t>
      </w:r>
    </w:p>
    <w:p>
      <w:pPr>
        <w:spacing w:after="0" w:line="55" w:lineRule="exact"/>
        <w:rPr>
          <w:sz w:val="20"/>
          <w:szCs w:val="20"/>
          <w:color w:val="auto"/>
        </w:rPr>
      </w:pPr>
    </w:p>
    <w:p>
      <w:pPr>
        <w:jc w:val="both"/>
        <w:ind w:right="2939"/>
        <w:spacing w:after="0" w:line="259" w:lineRule="auto"/>
        <w:rPr>
          <w:sz w:val="20"/>
          <w:szCs w:val="20"/>
          <w:color w:val="auto"/>
        </w:rPr>
      </w:pPr>
      <w:r>
        <w:rPr>
          <w:rFonts w:ascii="Times New Roman" w:cs="Times New Roman" w:eastAsia="Times New Roman" w:hAnsi="Times New Roman"/>
          <w:sz w:val="14"/>
          <w:szCs w:val="14"/>
          <w:b w:val="1"/>
          <w:bCs w:val="1"/>
          <w:color w:val="auto"/>
        </w:rPr>
        <w:t xml:space="preserve">Buffer 15. </w:t>
      </w:r>
      <w:r>
        <w:rPr>
          <w:rFonts w:ascii="Times New Roman" w:cs="Times New Roman" w:eastAsia="Times New Roman" w:hAnsi="Times New Roman"/>
          <w:sz w:val="14"/>
          <w:szCs w:val="14"/>
          <w:color w:val="auto"/>
        </w:rPr>
        <w:t>The Policy offers downside protection through Buffer 15, which is a Buffer Rate where negative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Segment Index Performance of up to 15% is absorbed by us at the Segment Maturity Date, which would leave you to absorb up to 85% of any negative Segment Index Performance.</w:t>
      </w:r>
    </w:p>
    <w:p>
      <w:pPr>
        <w:spacing w:after="0" w:line="55" w:lineRule="exact"/>
        <w:rPr>
          <w:sz w:val="20"/>
          <w:szCs w:val="20"/>
          <w:color w:val="auto"/>
        </w:rPr>
      </w:pPr>
    </w:p>
    <w:p>
      <w:pPr>
        <w:jc w:val="both"/>
        <w:ind w:right="2939"/>
        <w:spacing w:after="0" w:line="259" w:lineRule="auto"/>
        <w:rPr>
          <w:sz w:val="20"/>
          <w:szCs w:val="20"/>
          <w:color w:val="auto"/>
        </w:rPr>
      </w:pPr>
      <w:r>
        <w:rPr>
          <w:rFonts w:ascii="Times New Roman" w:cs="Times New Roman" w:eastAsia="Times New Roman" w:hAnsi="Times New Roman"/>
          <w:sz w:val="14"/>
          <w:szCs w:val="14"/>
          <w:b w:val="1"/>
          <w:bCs w:val="1"/>
          <w:color w:val="auto"/>
        </w:rPr>
        <w:t xml:space="preserve">Buffer 20. </w:t>
      </w:r>
      <w:r>
        <w:rPr>
          <w:rFonts w:ascii="Times New Roman" w:cs="Times New Roman" w:eastAsia="Times New Roman" w:hAnsi="Times New Roman"/>
          <w:sz w:val="14"/>
          <w:szCs w:val="14"/>
          <w:color w:val="auto"/>
        </w:rPr>
        <w:t>The Policy offers downside protection through Buffer 20, which is a Buffer Rate where negative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Segment Index Performance of up to 20% is absorbed by us at the Segment Maturity Date, which would leave you to absorb up to 80% of any remaining negative Segment Index Performance.</w:t>
      </w:r>
    </w:p>
    <w:p>
      <w:pPr>
        <w:spacing w:after="0" w:line="55" w:lineRule="exact"/>
        <w:rPr>
          <w:sz w:val="20"/>
          <w:szCs w:val="20"/>
          <w:color w:val="auto"/>
        </w:rPr>
      </w:pPr>
    </w:p>
    <w:p>
      <w:pPr>
        <w:jc w:val="both"/>
        <w:ind w:right="2939"/>
        <w:spacing w:after="0" w:line="259" w:lineRule="auto"/>
        <w:rPr>
          <w:sz w:val="20"/>
          <w:szCs w:val="20"/>
          <w:color w:val="auto"/>
        </w:rPr>
      </w:pPr>
      <w:r>
        <w:rPr>
          <w:rFonts w:ascii="Times New Roman" w:cs="Times New Roman" w:eastAsia="Times New Roman" w:hAnsi="Times New Roman"/>
          <w:sz w:val="14"/>
          <w:szCs w:val="14"/>
          <w:b w:val="1"/>
          <w:bCs w:val="1"/>
          <w:color w:val="auto"/>
        </w:rPr>
        <w:t xml:space="preserve">Buffer 100. </w:t>
      </w:r>
      <w:r>
        <w:rPr>
          <w:rFonts w:ascii="Times New Roman" w:cs="Times New Roman" w:eastAsia="Times New Roman" w:hAnsi="Times New Roman"/>
          <w:sz w:val="14"/>
          <w:szCs w:val="14"/>
          <w:color w:val="auto"/>
        </w:rPr>
        <w:t>The Policy offers downside protection through Buffer 100, which is where 100% of negative Segment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Index Performance is absorbed by us, which means you are 100% protected from any negative Segment Index Performance throughout the entire Segment Term.</w:t>
      </w:r>
    </w:p>
    <w:p>
      <w:pPr>
        <w:spacing w:after="0" w:line="200" w:lineRule="exact"/>
        <w:rPr>
          <w:sz w:val="20"/>
          <w:szCs w:val="20"/>
          <w:color w:val="auto"/>
        </w:rPr>
      </w:pPr>
    </w:p>
    <w:p>
      <w:pPr>
        <w:spacing w:after="0" w:line="250"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9219"/>
          </w:cols>
          <w:pgMar w:left="1240" w:top="1079" w:right="1440" w:bottom="1440" w:gutter="0" w:footer="0" w:header="0"/>
        </w:sectPr>
      </w:pPr>
    </w:p>
    <w:bookmarkStart w:id="8" w:name="page9"/>
    <w:bookmarkEnd w:id="8"/>
    <w:p>
      <w:pPr>
        <w:jc w:val="both"/>
        <w:ind w:right="2939"/>
        <w:spacing w:after="0" w:line="252" w:lineRule="auto"/>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422275</wp:posOffset>
            </wp:positionV>
            <wp:extent cx="719010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90105" cy="38735"/>
                    </a:xfrm>
                    <a:prstGeom prst="rect">
                      <a:avLst/>
                    </a:prstGeom>
                    <a:noFill/>
                  </pic:spPr>
                </pic:pic>
              </a:graphicData>
            </a:graphic>
          </wp:anchor>
        </w:drawing>
        <w:t xml:space="preserve">Buffer Rate. </w:t>
      </w:r>
      <w:r>
        <w:rPr>
          <w:rFonts w:ascii="Times New Roman" w:cs="Times New Roman" w:eastAsia="Times New Roman" w:hAnsi="Times New Roman"/>
          <w:sz w:val="14"/>
          <w:szCs w:val="14"/>
          <w:color w:val="auto"/>
        </w:rPr>
        <w:t>An Indexed Account Factor. The amount of negative Segment Index Performance from which we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protect you at the Segment Maturity Date. Any negative Segment Index Performance beyond the Buffer Rate will reduce the Segment Value associated with the Indexed Account by any negative Segment Index performance in excess of the Buffer Rate. The Buffer Rate may vary among Indexed Accounts and is an annual rate. We currently offer the following Buffer Rates: Buffer 10, Buffer 15, Buffer 20, and Buffer 100.</w:t>
      </w:r>
    </w:p>
    <w:p>
      <w:pPr>
        <w:spacing w:after="0" w:line="60" w:lineRule="exact"/>
        <w:rPr>
          <w:sz w:val="20"/>
          <w:szCs w:val="20"/>
          <w:color w:val="auto"/>
        </w:rPr>
      </w:pPr>
    </w:p>
    <w:p>
      <w:pPr>
        <w:jc w:val="both"/>
        <w:ind w:right="2939"/>
        <w:spacing w:after="0" w:line="254" w:lineRule="auto"/>
        <w:rPr>
          <w:sz w:val="20"/>
          <w:szCs w:val="20"/>
          <w:color w:val="auto"/>
        </w:rPr>
      </w:pPr>
      <w:r>
        <w:rPr>
          <w:rFonts w:ascii="Times New Roman" w:cs="Times New Roman" w:eastAsia="Times New Roman" w:hAnsi="Times New Roman"/>
          <w:sz w:val="14"/>
          <w:szCs w:val="14"/>
          <w:b w:val="1"/>
          <w:bCs w:val="1"/>
          <w:color w:val="auto"/>
        </w:rPr>
        <w:t xml:space="preserve">Business Day. </w:t>
      </w:r>
      <w:r>
        <w:rPr>
          <w:rFonts w:ascii="Times New Roman" w:cs="Times New Roman" w:eastAsia="Times New Roman" w:hAnsi="Times New Roman"/>
          <w:sz w:val="14"/>
          <w:szCs w:val="14"/>
          <w:color w:val="auto"/>
        </w:rPr>
        <w:t>Our “business day” is generally any day the New York Stock Exchange (“NYSE”) is open for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regular trading. For purposes of administrative requests and transactions, a Business Day ends at 4:00 PM Eastern Standard Time. If the SEC determines the existence of emergency conditions on any day, and consequently, the NYSE does not open, then that day is not a Business Day.</w:t>
      </w:r>
    </w:p>
    <w:p>
      <w:pPr>
        <w:spacing w:after="0" w:line="59" w:lineRule="exact"/>
        <w:rPr>
          <w:sz w:val="20"/>
          <w:szCs w:val="20"/>
          <w:color w:val="auto"/>
        </w:rPr>
      </w:pPr>
    </w:p>
    <w:p>
      <w:pPr>
        <w:jc w:val="both"/>
        <w:ind w:right="2939"/>
        <w:spacing w:after="0" w:line="259" w:lineRule="auto"/>
        <w:rPr>
          <w:sz w:val="20"/>
          <w:szCs w:val="20"/>
          <w:color w:val="auto"/>
        </w:rPr>
      </w:pPr>
      <w:r>
        <w:rPr>
          <w:rFonts w:ascii="Times New Roman" w:cs="Times New Roman" w:eastAsia="Times New Roman" w:hAnsi="Times New Roman"/>
          <w:sz w:val="14"/>
          <w:szCs w:val="14"/>
          <w:b w:val="1"/>
          <w:bCs w:val="1"/>
          <w:color w:val="auto"/>
        </w:rPr>
        <w:t xml:space="preserve">Cap Rate. </w:t>
      </w:r>
      <w:r>
        <w:rPr>
          <w:rFonts w:ascii="Times New Roman" w:cs="Times New Roman" w:eastAsia="Times New Roman" w:hAnsi="Times New Roman"/>
          <w:sz w:val="14"/>
          <w:szCs w:val="14"/>
          <w:color w:val="auto"/>
        </w:rPr>
        <w:t>An Indexed Account Factor. The maximum positive Segment Index Performance that may be credited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at the Segment Maturity Date. The Cap Rate may vary among Indexed Accounts and is an annual rate. It is not a guaranteed rate of return.</w:t>
      </w:r>
    </w:p>
    <w:p>
      <w:pPr>
        <w:spacing w:after="0" w:line="55" w:lineRule="exact"/>
        <w:rPr>
          <w:sz w:val="20"/>
          <w:szCs w:val="20"/>
          <w:color w:val="auto"/>
        </w:rPr>
      </w:pPr>
    </w:p>
    <w:p>
      <w:pPr>
        <w:jc w:val="both"/>
        <w:ind w:right="2939"/>
        <w:spacing w:after="0" w:line="259" w:lineRule="auto"/>
        <w:rPr>
          <w:sz w:val="20"/>
          <w:szCs w:val="20"/>
          <w:color w:val="auto"/>
        </w:rPr>
      </w:pPr>
      <w:r>
        <w:rPr>
          <w:rFonts w:ascii="Times New Roman" w:cs="Times New Roman" w:eastAsia="Times New Roman" w:hAnsi="Times New Roman"/>
          <w:sz w:val="14"/>
          <w:szCs w:val="14"/>
          <w:b w:val="1"/>
          <w:bCs w:val="1"/>
          <w:color w:val="auto"/>
        </w:rPr>
        <w:t xml:space="preserve">Cash Surrender Value. </w:t>
      </w:r>
      <w:r>
        <w:rPr>
          <w:rFonts w:ascii="Times New Roman" w:cs="Times New Roman" w:eastAsia="Times New Roman" w:hAnsi="Times New Roman"/>
          <w:sz w:val="14"/>
          <w:szCs w:val="14"/>
          <w:color w:val="auto"/>
        </w:rPr>
        <w:t>The amount you receive if you Surrender the Policy. It is equal to the Policy’s Cash Value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and any Annual Deduction refund reduced by any Surrender charge that would apply on Surrender and by any outstanding Policy Loan Balance.</w:t>
      </w:r>
    </w:p>
    <w:p>
      <w:pPr>
        <w:spacing w:after="0" w:line="55" w:lineRule="exact"/>
        <w:rPr>
          <w:sz w:val="20"/>
          <w:szCs w:val="20"/>
          <w:color w:val="auto"/>
        </w:rPr>
      </w:pPr>
    </w:p>
    <w:p>
      <w:pPr>
        <w:jc w:val="both"/>
        <w:ind w:right="2939"/>
        <w:spacing w:after="0" w:line="273" w:lineRule="auto"/>
        <w:rPr>
          <w:sz w:val="20"/>
          <w:szCs w:val="20"/>
          <w:color w:val="auto"/>
        </w:rPr>
      </w:pPr>
      <w:r>
        <w:rPr>
          <w:rFonts w:ascii="Times New Roman" w:cs="Times New Roman" w:eastAsia="Times New Roman" w:hAnsi="Times New Roman"/>
          <w:sz w:val="14"/>
          <w:szCs w:val="14"/>
          <w:b w:val="1"/>
          <w:bCs w:val="1"/>
          <w:color w:val="auto"/>
        </w:rPr>
        <w:t xml:space="preserve">Cash Value. </w:t>
      </w:r>
      <w:r>
        <w:rPr>
          <w:rFonts w:ascii="Times New Roman" w:cs="Times New Roman" w:eastAsia="Times New Roman" w:hAnsi="Times New Roman"/>
          <w:sz w:val="14"/>
          <w:szCs w:val="14"/>
          <w:color w:val="auto"/>
        </w:rPr>
        <w:t>Cash Value is equal to the total of the values in the Fixed Account, Holding Accounts, Indexed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Accounts, and the Loan Account.</w:t>
      </w:r>
    </w:p>
    <w:p>
      <w:pPr>
        <w:spacing w:after="0" w:line="45" w:lineRule="exact"/>
        <w:rPr>
          <w:sz w:val="20"/>
          <w:szCs w:val="20"/>
          <w:color w:val="auto"/>
        </w:rPr>
      </w:pPr>
    </w:p>
    <w:p>
      <w:pPr>
        <w:jc w:val="both"/>
        <w:ind w:right="2939"/>
        <w:spacing w:after="0" w:line="250" w:lineRule="auto"/>
        <w:rPr>
          <w:sz w:val="20"/>
          <w:szCs w:val="20"/>
          <w:color w:val="auto"/>
        </w:rPr>
      </w:pPr>
      <w:r>
        <w:rPr>
          <w:rFonts w:ascii="Times New Roman" w:cs="Times New Roman" w:eastAsia="Times New Roman" w:hAnsi="Times New Roman"/>
          <w:sz w:val="14"/>
          <w:szCs w:val="14"/>
          <w:b w:val="1"/>
          <w:bCs w:val="1"/>
          <w:color w:val="auto"/>
        </w:rPr>
        <w:t xml:space="preserve">Closing Value of the Index. </w:t>
      </w:r>
      <w:r>
        <w:rPr>
          <w:rFonts w:ascii="Times New Roman" w:cs="Times New Roman" w:eastAsia="Times New Roman" w:hAnsi="Times New Roman"/>
          <w:sz w:val="14"/>
          <w:szCs w:val="14"/>
          <w:color w:val="auto"/>
        </w:rPr>
        <w:t>The value of the Index as of the close of the NYSE, or any other relevant stock</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exchange. If the Index is on an exchange other than the NYSE, or any other relevant stock exchange, we will use that exchange’s Closing Value. We will use consistent sources to obtain the Closing Value. If these sources are no longer available for specific indices, we will select an alternative published source for the Closing Value. If no Closing Value is published for a given day, we will use the Closing Value for the nearest prior day for which the Closing Value was published. In calculating the change in value of the Index, we use the Closing Value of the Index. We may also refer to this as the “Closing Value” in the prospectus.</w:t>
      </w:r>
    </w:p>
    <w:p>
      <w:pPr>
        <w:spacing w:after="0" w:line="60" w:lineRule="exact"/>
        <w:rPr>
          <w:sz w:val="20"/>
          <w:szCs w:val="20"/>
          <w:color w:val="auto"/>
        </w:rPr>
      </w:pPr>
    </w:p>
    <w:p>
      <w:pPr>
        <w:jc w:val="both"/>
        <w:ind w:right="2939"/>
        <w:spacing w:after="0" w:line="259" w:lineRule="auto"/>
        <w:rPr>
          <w:sz w:val="20"/>
          <w:szCs w:val="20"/>
          <w:color w:val="auto"/>
        </w:rPr>
      </w:pPr>
      <w:r>
        <w:rPr>
          <w:rFonts w:ascii="Times New Roman" w:cs="Times New Roman" w:eastAsia="Times New Roman" w:hAnsi="Times New Roman"/>
          <w:sz w:val="14"/>
          <w:szCs w:val="14"/>
          <w:b w:val="1"/>
          <w:bCs w:val="1"/>
          <w:color w:val="auto"/>
        </w:rPr>
        <w:t xml:space="preserve">Distribution Payment. </w:t>
      </w:r>
      <w:r>
        <w:rPr>
          <w:rFonts w:ascii="Times New Roman" w:cs="Times New Roman" w:eastAsia="Times New Roman" w:hAnsi="Times New Roman"/>
          <w:sz w:val="14"/>
          <w:szCs w:val="14"/>
          <w:color w:val="auto"/>
        </w:rPr>
        <w:t>Represents the amounts you receive under the GDR beginning on the Distribution Start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Date. Distribution Payments are loans, and you can change the amount of your Distribution Payment at any time up to the Maximum Distribution Payment.</w:t>
      </w:r>
    </w:p>
    <w:p>
      <w:pPr>
        <w:spacing w:after="0" w:line="55" w:lineRule="exact"/>
        <w:rPr>
          <w:sz w:val="20"/>
          <w:szCs w:val="20"/>
          <w:color w:val="auto"/>
        </w:rPr>
      </w:pPr>
    </w:p>
    <w:p>
      <w:pPr>
        <w:jc w:val="both"/>
        <w:ind w:right="2939"/>
        <w:spacing w:after="0" w:line="273" w:lineRule="auto"/>
        <w:rPr>
          <w:sz w:val="20"/>
          <w:szCs w:val="20"/>
          <w:color w:val="auto"/>
        </w:rPr>
      </w:pPr>
      <w:r>
        <w:rPr>
          <w:rFonts w:ascii="Times New Roman" w:cs="Times New Roman" w:eastAsia="Times New Roman" w:hAnsi="Times New Roman"/>
          <w:sz w:val="14"/>
          <w:szCs w:val="14"/>
          <w:b w:val="1"/>
          <w:bCs w:val="1"/>
          <w:color w:val="auto"/>
        </w:rPr>
        <w:t xml:space="preserve">Distribution Payment Duration. </w:t>
      </w:r>
      <w:r>
        <w:rPr>
          <w:rFonts w:ascii="Times New Roman" w:cs="Times New Roman" w:eastAsia="Times New Roman" w:hAnsi="Times New Roman"/>
          <w:sz w:val="14"/>
          <w:szCs w:val="14"/>
          <w:color w:val="auto"/>
        </w:rPr>
        <w:t>The period of time we guarantee you will receive Distribution Payments.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available durations are 10-year, 20-year, and lifetime (up to Attained Age 121).</w:t>
      </w:r>
    </w:p>
    <w:p>
      <w:pPr>
        <w:spacing w:after="0" w:line="45" w:lineRule="exact"/>
        <w:rPr>
          <w:sz w:val="20"/>
          <w:szCs w:val="20"/>
          <w:color w:val="auto"/>
        </w:rPr>
      </w:pPr>
    </w:p>
    <w:p>
      <w:pPr>
        <w:jc w:val="both"/>
        <w:ind w:right="2939"/>
        <w:spacing w:after="0" w:line="273" w:lineRule="auto"/>
        <w:rPr>
          <w:sz w:val="20"/>
          <w:szCs w:val="20"/>
          <w:color w:val="auto"/>
        </w:rPr>
      </w:pPr>
      <w:r>
        <w:rPr>
          <w:rFonts w:ascii="Times New Roman" w:cs="Times New Roman" w:eastAsia="Times New Roman" w:hAnsi="Times New Roman"/>
          <w:sz w:val="14"/>
          <w:szCs w:val="14"/>
          <w:b w:val="1"/>
          <w:bCs w:val="1"/>
          <w:color w:val="auto"/>
        </w:rPr>
        <w:t xml:space="preserve">Distribution Payment Frequency. </w:t>
      </w:r>
      <w:r>
        <w:rPr>
          <w:rFonts w:ascii="Times New Roman" w:cs="Times New Roman" w:eastAsia="Times New Roman" w:hAnsi="Times New Roman"/>
          <w:sz w:val="14"/>
          <w:szCs w:val="14"/>
          <w:color w:val="auto"/>
        </w:rPr>
        <w:t>The frequency of your Distribution Payments. The available frequencies are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annual, semi-annual, quarterly, or monthly.</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Distribution Start Date. </w:t>
      </w:r>
      <w:r>
        <w:rPr>
          <w:rFonts w:ascii="Times New Roman" w:cs="Times New Roman" w:eastAsia="Times New Roman" w:hAnsi="Times New Roman"/>
          <w:sz w:val="14"/>
          <w:szCs w:val="14"/>
          <w:color w:val="auto"/>
        </w:rPr>
        <w:t>The date you elect to start receiving Distribution Payments under the GDR.</w:t>
      </w:r>
    </w:p>
    <w:p>
      <w:pPr>
        <w:spacing w:after="0" w:line="86" w:lineRule="exact"/>
        <w:rPr>
          <w:sz w:val="20"/>
          <w:szCs w:val="20"/>
          <w:color w:val="auto"/>
        </w:rPr>
      </w:pPr>
    </w:p>
    <w:p>
      <w:pPr>
        <w:jc w:val="both"/>
        <w:ind w:right="2939"/>
        <w:spacing w:after="0" w:line="259" w:lineRule="auto"/>
        <w:rPr>
          <w:sz w:val="20"/>
          <w:szCs w:val="20"/>
          <w:color w:val="auto"/>
        </w:rPr>
      </w:pPr>
      <w:r>
        <w:rPr>
          <w:rFonts w:ascii="Times New Roman" w:cs="Times New Roman" w:eastAsia="Times New Roman" w:hAnsi="Times New Roman"/>
          <w:sz w:val="14"/>
          <w:szCs w:val="14"/>
          <w:b w:val="1"/>
          <w:bCs w:val="1"/>
          <w:color w:val="auto"/>
        </w:rPr>
        <w:t xml:space="preserve">Excess Loan. </w:t>
      </w:r>
      <w:r>
        <w:rPr>
          <w:rFonts w:ascii="Times New Roman" w:cs="Times New Roman" w:eastAsia="Times New Roman" w:hAnsi="Times New Roman"/>
          <w:sz w:val="14"/>
          <w:szCs w:val="14"/>
          <w:color w:val="auto"/>
        </w:rPr>
        <w:t>An Excess Loan occurs when there is a loan outstanding, and the Cash Value of the Policy, less any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Surrender charge, is less than or equal to the outstanding loan amounts plus accrued interest. An Excess Loan will terminate the Lifetime Lapse Prevention Benefit.</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Exchange Act. </w:t>
      </w:r>
      <w:r>
        <w:rPr>
          <w:rFonts w:ascii="Times New Roman" w:cs="Times New Roman" w:eastAsia="Times New Roman" w:hAnsi="Times New Roman"/>
          <w:sz w:val="14"/>
          <w:szCs w:val="14"/>
          <w:color w:val="auto"/>
        </w:rPr>
        <w:t>Securities Exchange Act of 1934, as amended.</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 xml:space="preserve">Face Amount. </w:t>
      </w:r>
      <w:r>
        <w:rPr>
          <w:rFonts w:ascii="Times New Roman" w:cs="Times New Roman" w:eastAsia="Times New Roman" w:hAnsi="Times New Roman"/>
          <w:sz w:val="13"/>
          <w:szCs w:val="13"/>
          <w:color w:val="auto"/>
        </w:rPr>
        <w:t>The dollar amount we use to calculate the death benefit. The minimum Face Amount is $50,000.</w:t>
      </w:r>
    </w:p>
    <w:p>
      <w:pPr>
        <w:spacing w:after="0" w:line="97" w:lineRule="exact"/>
        <w:rPr>
          <w:sz w:val="20"/>
          <w:szCs w:val="20"/>
          <w:color w:val="auto"/>
        </w:rPr>
      </w:pPr>
    </w:p>
    <w:p>
      <w:pPr>
        <w:jc w:val="both"/>
        <w:ind w:right="2939"/>
        <w:spacing w:after="0" w:line="252" w:lineRule="auto"/>
        <w:rPr>
          <w:sz w:val="20"/>
          <w:szCs w:val="20"/>
          <w:color w:val="auto"/>
        </w:rPr>
      </w:pPr>
      <w:r>
        <w:rPr>
          <w:rFonts w:ascii="Times New Roman" w:cs="Times New Roman" w:eastAsia="Times New Roman" w:hAnsi="Times New Roman"/>
          <w:sz w:val="14"/>
          <w:szCs w:val="14"/>
          <w:b w:val="1"/>
          <w:bCs w:val="1"/>
          <w:color w:val="auto"/>
        </w:rPr>
        <w:t xml:space="preserve">Fixed Account. </w:t>
      </w:r>
      <w:r>
        <w:rPr>
          <w:rFonts w:ascii="Times New Roman" w:cs="Times New Roman" w:eastAsia="Times New Roman" w:hAnsi="Times New Roman"/>
          <w:sz w:val="14"/>
          <w:szCs w:val="14"/>
          <w:color w:val="auto"/>
        </w:rPr>
        <w:t>An account that is part of our General Account and provides guarantees of principal and a fixed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rate of return. We credit interest daily at an effective annual rate, no less than the Fixed Account Guaranteed Minimum Interest Rate, which is the minimum interest rate allowed by state law—see Appendix C. The actual Fixed Account Guaranteed Minimum Interest Rate for your Policy is shown on your Policy specification page and applies only to amounts in the Fixed Account.</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General Account. </w:t>
      </w:r>
      <w:r>
        <w:rPr>
          <w:rFonts w:ascii="Times New Roman" w:cs="Times New Roman" w:eastAsia="Times New Roman" w:hAnsi="Times New Roman"/>
          <w:sz w:val="14"/>
          <w:szCs w:val="14"/>
          <w:color w:val="auto"/>
        </w:rPr>
        <w:t>Comprised of BLIC’s assets, other than assets in any separate accounts it may maintain.</w:t>
      </w:r>
    </w:p>
    <w:p>
      <w:pPr>
        <w:spacing w:after="0" w:line="86" w:lineRule="exact"/>
        <w:rPr>
          <w:sz w:val="20"/>
          <w:szCs w:val="20"/>
          <w:color w:val="auto"/>
        </w:rPr>
      </w:pPr>
    </w:p>
    <w:p>
      <w:pPr>
        <w:jc w:val="both"/>
        <w:ind w:right="2939"/>
        <w:spacing w:after="0" w:line="254" w:lineRule="auto"/>
        <w:rPr>
          <w:sz w:val="20"/>
          <w:szCs w:val="20"/>
          <w:color w:val="auto"/>
        </w:rPr>
      </w:pPr>
      <w:r>
        <w:rPr>
          <w:rFonts w:ascii="Times New Roman" w:cs="Times New Roman" w:eastAsia="Times New Roman" w:hAnsi="Times New Roman"/>
          <w:sz w:val="14"/>
          <w:szCs w:val="14"/>
          <w:b w:val="1"/>
          <w:bCs w:val="1"/>
          <w:color w:val="auto"/>
        </w:rPr>
        <w:t xml:space="preserve">Good Order. </w:t>
      </w:r>
      <w:r>
        <w:rPr>
          <w:rFonts w:ascii="Times New Roman" w:cs="Times New Roman" w:eastAsia="Times New Roman" w:hAnsi="Times New Roman"/>
          <w:sz w:val="14"/>
          <w:szCs w:val="14"/>
          <w:color w:val="auto"/>
        </w:rPr>
        <w:t>A request or transaction generally is considered in “Good Order” if it complies with our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administrative procedures and the required information is complete and accurate. A request or transaction may be rejected or delayed if not in Good Order. A complete description of “Good Order” can be found in the “REQUESTS AND ELECTIONS” section.</w:t>
      </w:r>
    </w:p>
    <w:p>
      <w:pPr>
        <w:spacing w:after="0" w:line="59" w:lineRule="exact"/>
        <w:rPr>
          <w:sz w:val="20"/>
          <w:szCs w:val="20"/>
          <w:color w:val="auto"/>
        </w:rPr>
      </w:pPr>
    </w:p>
    <w:p>
      <w:pPr>
        <w:jc w:val="both"/>
        <w:ind w:right="2939"/>
        <w:spacing w:after="0" w:line="254" w:lineRule="auto"/>
        <w:rPr>
          <w:sz w:val="20"/>
          <w:szCs w:val="20"/>
          <w:color w:val="auto"/>
        </w:rPr>
      </w:pPr>
      <w:r>
        <w:rPr>
          <w:rFonts w:ascii="Times New Roman" w:cs="Times New Roman" w:eastAsia="Times New Roman" w:hAnsi="Times New Roman"/>
          <w:sz w:val="14"/>
          <w:szCs w:val="14"/>
          <w:b w:val="1"/>
          <w:bCs w:val="1"/>
          <w:color w:val="auto"/>
        </w:rPr>
        <w:t xml:space="preserve">Guaranteed Distribution Rider (“GDR”). </w:t>
      </w:r>
      <w:r>
        <w:rPr>
          <w:rFonts w:ascii="Times New Roman" w:cs="Times New Roman" w:eastAsia="Times New Roman" w:hAnsi="Times New Roman"/>
          <w:sz w:val="14"/>
          <w:szCs w:val="14"/>
          <w:color w:val="auto"/>
        </w:rPr>
        <w:t>A rider that provides for guaranteed Distribution Payments in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form of loans of the Policy’s Cash Value for a set amount of time and is automatically included with your Policy on the date we issue your Policy at an additional charge. We may also refer to this as the “GDR” in the prospectus and the “Rider” in the Guaranteed Distribution Rider attached to your Policy.</w:t>
      </w:r>
    </w:p>
    <w:p>
      <w:pPr>
        <w:spacing w:after="0" w:line="207"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9219"/>
          </w:cols>
          <w:pgMar w:left="1240" w:top="1079" w:right="1440" w:bottom="1440" w:gutter="0" w:footer="0" w:header="0"/>
        </w:sectPr>
      </w:pPr>
    </w:p>
    <w:bookmarkStart w:id="9" w:name="page10"/>
    <w:bookmarkEnd w:id="9"/>
    <w:p>
      <w:pPr>
        <w:jc w:val="both"/>
        <w:ind w:right="2939"/>
        <w:spacing w:after="0" w:line="259" w:lineRule="auto"/>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422275</wp:posOffset>
            </wp:positionV>
            <wp:extent cx="719010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90105" cy="38735"/>
                    </a:xfrm>
                    <a:prstGeom prst="rect">
                      <a:avLst/>
                    </a:prstGeom>
                    <a:noFill/>
                  </pic:spPr>
                </pic:pic>
              </a:graphicData>
            </a:graphic>
          </wp:anchor>
        </w:drawing>
        <w:t xml:space="preserve">Guaranteed Minimum Distribution Payment. </w:t>
      </w:r>
      <w:r>
        <w:rPr>
          <w:rFonts w:ascii="Times New Roman" w:cs="Times New Roman" w:eastAsia="Times New Roman" w:hAnsi="Times New Roman"/>
          <w:sz w:val="14"/>
          <w:szCs w:val="14"/>
          <w:color w:val="auto"/>
        </w:rPr>
        <w:t>The minimum amount that we guarantee will be available to you</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as an annual Distribution Payment; however, you may take less than the Guaranteed Minimum Distribution Payment when you start Distribution Payments.</w:t>
      </w:r>
    </w:p>
    <w:p>
      <w:pPr>
        <w:spacing w:after="0" w:line="65" w:lineRule="exact"/>
        <w:rPr>
          <w:sz w:val="20"/>
          <w:szCs w:val="20"/>
          <w:color w:val="auto"/>
        </w:rPr>
      </w:pPr>
    </w:p>
    <w:p>
      <w:pPr>
        <w:jc w:val="both"/>
        <w:ind w:right="2939"/>
        <w:spacing w:after="0" w:line="254" w:lineRule="auto"/>
        <w:rPr>
          <w:sz w:val="20"/>
          <w:szCs w:val="20"/>
          <w:color w:val="auto"/>
        </w:rPr>
      </w:pPr>
      <w:r>
        <w:rPr>
          <w:rFonts w:ascii="Times New Roman" w:cs="Times New Roman" w:eastAsia="Times New Roman" w:hAnsi="Times New Roman"/>
          <w:sz w:val="14"/>
          <w:szCs w:val="14"/>
          <w:b w:val="1"/>
          <w:bCs w:val="1"/>
          <w:color w:val="auto"/>
        </w:rPr>
        <w:t xml:space="preserve">Holding Accounts. </w:t>
      </w:r>
      <w:r>
        <w:rPr>
          <w:rFonts w:ascii="Times New Roman" w:cs="Times New Roman" w:eastAsia="Times New Roman" w:hAnsi="Times New Roman"/>
          <w:sz w:val="14"/>
          <w:szCs w:val="14"/>
          <w:color w:val="auto"/>
        </w:rPr>
        <w:t>A temporary account that holds Net Premium prior to being transferred to the Indexed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Account to which you intend to allocate on the next Segment Start Date, which is always on a Policy Anniversary. Each Holding Account has its own Holding Account interest rate, which is a fixed interest rate, and interest is credited daily at an effective annual rate that we declare periodically.</w:t>
      </w:r>
    </w:p>
    <w:p>
      <w:pPr>
        <w:spacing w:after="0" w:line="59" w:lineRule="exact"/>
        <w:rPr>
          <w:sz w:val="20"/>
          <w:szCs w:val="20"/>
          <w:color w:val="auto"/>
        </w:rPr>
      </w:pPr>
    </w:p>
    <w:p>
      <w:pPr>
        <w:jc w:val="both"/>
        <w:ind w:right="2939"/>
        <w:spacing w:after="0" w:line="254" w:lineRule="auto"/>
        <w:rPr>
          <w:sz w:val="20"/>
          <w:szCs w:val="20"/>
          <w:color w:val="auto"/>
        </w:rPr>
      </w:pPr>
      <w:r>
        <w:rPr>
          <w:rFonts w:ascii="Times New Roman" w:cs="Times New Roman" w:eastAsia="Times New Roman" w:hAnsi="Times New Roman"/>
          <w:sz w:val="14"/>
          <w:szCs w:val="14"/>
          <w:b w:val="1"/>
          <w:bCs w:val="1"/>
          <w:color w:val="auto"/>
        </w:rPr>
        <w:t xml:space="preserve">Index (Indices). </w:t>
      </w:r>
      <w:r>
        <w:rPr>
          <w:rFonts w:ascii="Times New Roman" w:cs="Times New Roman" w:eastAsia="Times New Roman" w:hAnsi="Times New Roman"/>
          <w:sz w:val="14"/>
          <w:szCs w:val="14"/>
          <w:color w:val="auto"/>
        </w:rPr>
        <w:t>An Indexed Account Factor. The index to which Segment Index Performance for a selected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Indexed Account is linked. We currently offer Indexed Accounts with indices based on the performance of securities. In the future we may offer Indexed Accounts based on other types of Indices. We may also add other indices for new Policies at our discretion.</w:t>
      </w:r>
    </w:p>
    <w:p>
      <w:pPr>
        <w:spacing w:after="0" w:line="69" w:lineRule="exact"/>
        <w:rPr>
          <w:sz w:val="20"/>
          <w:szCs w:val="20"/>
          <w:color w:val="auto"/>
        </w:rPr>
      </w:pPr>
    </w:p>
    <w:p>
      <w:pPr>
        <w:jc w:val="both"/>
        <w:ind w:right="2939"/>
        <w:spacing w:after="0" w:line="254" w:lineRule="auto"/>
        <w:rPr>
          <w:sz w:val="20"/>
          <w:szCs w:val="20"/>
          <w:color w:val="auto"/>
        </w:rPr>
      </w:pPr>
      <w:r>
        <w:rPr>
          <w:rFonts w:ascii="Times New Roman" w:cs="Times New Roman" w:eastAsia="Times New Roman" w:hAnsi="Times New Roman"/>
          <w:sz w:val="14"/>
          <w:szCs w:val="14"/>
          <w:b w:val="1"/>
          <w:bCs w:val="1"/>
          <w:color w:val="auto"/>
        </w:rPr>
        <w:t xml:space="preserve">Indexed Accounts. </w:t>
      </w:r>
      <w:r>
        <w:rPr>
          <w:rFonts w:ascii="Times New Roman" w:cs="Times New Roman" w:eastAsia="Times New Roman" w:hAnsi="Times New Roman"/>
          <w:sz w:val="14"/>
          <w:szCs w:val="14"/>
          <w:color w:val="auto"/>
        </w:rPr>
        <w:t>One or more Policy accounts, for which values will vary over time, based, in part, on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change in value of an external Index. You may allocate Net Premiums and transfer unloaned Cash Value to one or more Indexed Accounts. Each Indexed Account will have associated Indexed Account Factors and an associated Holding Account.</w:t>
      </w:r>
    </w:p>
    <w:p>
      <w:pPr>
        <w:spacing w:after="0" w:line="69" w:lineRule="exact"/>
        <w:rPr>
          <w:sz w:val="20"/>
          <w:szCs w:val="20"/>
          <w:color w:val="auto"/>
        </w:rPr>
      </w:pPr>
    </w:p>
    <w:p>
      <w:pPr>
        <w:jc w:val="both"/>
        <w:ind w:right="2939"/>
        <w:spacing w:after="0" w:line="259" w:lineRule="auto"/>
        <w:rPr>
          <w:sz w:val="20"/>
          <w:szCs w:val="20"/>
          <w:color w:val="auto"/>
        </w:rPr>
      </w:pPr>
      <w:r>
        <w:rPr>
          <w:rFonts w:ascii="Times New Roman" w:cs="Times New Roman" w:eastAsia="Times New Roman" w:hAnsi="Times New Roman"/>
          <w:sz w:val="14"/>
          <w:szCs w:val="14"/>
          <w:b w:val="1"/>
          <w:bCs w:val="1"/>
          <w:color w:val="auto"/>
        </w:rPr>
        <w:t xml:space="preserve">Indexed Account Cash Value. </w:t>
      </w:r>
      <w:r>
        <w:rPr>
          <w:rFonts w:ascii="Times New Roman" w:cs="Times New Roman" w:eastAsia="Times New Roman" w:hAnsi="Times New Roman"/>
          <w:sz w:val="14"/>
          <w:szCs w:val="14"/>
          <w:color w:val="auto"/>
        </w:rPr>
        <w:t>The Cash Value in an Indexed Account. On the Segment Start Date and Segment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Maturity Date, the Indexed Account Cash Value equals the Segment Value in that Indexed Account. On any other day, it equals the Interim Segment Value in that Indexed Account.</w:t>
      </w:r>
    </w:p>
    <w:p>
      <w:pPr>
        <w:spacing w:after="0" w:line="55" w:lineRule="exact"/>
        <w:rPr>
          <w:sz w:val="20"/>
          <w:szCs w:val="20"/>
          <w:color w:val="auto"/>
        </w:rPr>
      </w:pPr>
    </w:p>
    <w:p>
      <w:pPr>
        <w:jc w:val="both"/>
        <w:ind w:right="2939"/>
        <w:spacing w:after="0" w:line="259" w:lineRule="auto"/>
        <w:rPr>
          <w:sz w:val="20"/>
          <w:szCs w:val="20"/>
          <w:color w:val="auto"/>
        </w:rPr>
      </w:pPr>
      <w:r>
        <w:rPr>
          <w:rFonts w:ascii="Times New Roman" w:cs="Times New Roman" w:eastAsia="Times New Roman" w:hAnsi="Times New Roman"/>
          <w:sz w:val="14"/>
          <w:szCs w:val="14"/>
          <w:b w:val="1"/>
          <w:bCs w:val="1"/>
          <w:color w:val="auto"/>
        </w:rPr>
        <w:t xml:space="preserve">Indexed Account Factors. </w:t>
      </w:r>
      <w:r>
        <w:rPr>
          <w:rFonts w:ascii="Times New Roman" w:cs="Times New Roman" w:eastAsia="Times New Roman" w:hAnsi="Times New Roman"/>
          <w:sz w:val="14"/>
          <w:szCs w:val="14"/>
          <w:color w:val="auto"/>
        </w:rPr>
        <w:t>The Indexed Account Factors consist of an Index, Segment Term, Holding Account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interest rate, a Buffer Rate, and a Cap Rate. For each Indexed Account, the Indexed Account Factors, except for the Holding Account interest rate, apply from the Segment Start Date to the Segment Maturity Date.</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Insured. </w:t>
      </w:r>
      <w:r>
        <w:rPr>
          <w:rFonts w:ascii="Times New Roman" w:cs="Times New Roman" w:eastAsia="Times New Roman" w:hAnsi="Times New Roman"/>
          <w:sz w:val="14"/>
          <w:szCs w:val="14"/>
          <w:color w:val="auto"/>
        </w:rPr>
        <w:t>The person whose life is covered by the Policy.</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Issue Age. </w:t>
      </w:r>
      <w:r>
        <w:rPr>
          <w:rFonts w:ascii="Times New Roman" w:cs="Times New Roman" w:eastAsia="Times New Roman" w:hAnsi="Times New Roman"/>
          <w:sz w:val="14"/>
          <w:szCs w:val="14"/>
          <w:color w:val="auto"/>
        </w:rPr>
        <w:t>The age of the Insured as of the Insured’s last birthday on the Policy Start Date.</w:t>
      </w:r>
    </w:p>
    <w:p>
      <w:pPr>
        <w:spacing w:after="0" w:line="86" w:lineRule="exact"/>
        <w:rPr>
          <w:sz w:val="20"/>
          <w:szCs w:val="20"/>
          <w:color w:val="auto"/>
        </w:rPr>
      </w:pPr>
    </w:p>
    <w:p>
      <w:pPr>
        <w:jc w:val="both"/>
        <w:ind w:right="2939"/>
        <w:spacing w:after="0" w:line="268" w:lineRule="auto"/>
        <w:rPr>
          <w:sz w:val="20"/>
          <w:szCs w:val="20"/>
          <w:color w:val="auto"/>
        </w:rPr>
      </w:pPr>
      <w:r>
        <w:rPr>
          <w:rFonts w:ascii="Times New Roman" w:cs="Times New Roman" w:eastAsia="Times New Roman" w:hAnsi="Times New Roman"/>
          <w:sz w:val="13"/>
          <w:szCs w:val="13"/>
          <w:b w:val="1"/>
          <w:bCs w:val="1"/>
          <w:color w:val="auto"/>
        </w:rPr>
        <w:t xml:space="preserve">Interim Segment Value. </w:t>
      </w:r>
      <w:r>
        <w:rPr>
          <w:rFonts w:ascii="Times New Roman" w:cs="Times New Roman" w:eastAsia="Times New Roman" w:hAnsi="Times New Roman"/>
          <w:sz w:val="13"/>
          <w:szCs w:val="13"/>
          <w:color w:val="auto"/>
        </w:rPr>
        <w:t>The value we assign to each Indexed Account on any Business Day prior to the Segment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Maturity Date. During the Transfer Period and for purposes of transfers only, the Interim Segment Value of each Segment is equal to the Segment Value at the Segment Maturity Date. For all other purposes during and after the Transfer Period, the Interim Segment Value of that Segment is equal to the current Segment Value adjusted for the Accrued Index Return. The Interim Segment Value is the amount we use to determine the Indexed Account Cash Value prior to the Segment Maturity Date. The Indexed Account Cash Value is part of the Cash Value, which determines how much is available for death benefits (including Policy Proceeds and an Acceleration of Death Benefit for Terminal Illness payment), loans (not including loans in connection with Distribution Payments under the GDR), transfers from Indexed Account Cash Value to the Fixed Account if you choose to start (or restart) Distribution Payments under the GDR, and Surrenders (including Surrenders in connection with the Free Look Period). An Acceleration of Death Benefit for Terminal Illness payment and a loan that is not a Distribution Payment will reduce the Interim Segment Value by the dollar amount of the transaction.</w:t>
      </w:r>
    </w:p>
    <w:p>
      <w:pPr>
        <w:spacing w:after="0" w:line="64" w:lineRule="exact"/>
        <w:rPr>
          <w:sz w:val="20"/>
          <w:szCs w:val="20"/>
          <w:color w:val="auto"/>
        </w:rPr>
      </w:pPr>
    </w:p>
    <w:p>
      <w:pPr>
        <w:jc w:val="both"/>
        <w:ind w:right="2939"/>
        <w:spacing w:after="0" w:line="254" w:lineRule="auto"/>
        <w:rPr>
          <w:sz w:val="20"/>
          <w:szCs w:val="20"/>
          <w:color w:val="auto"/>
        </w:rPr>
      </w:pPr>
      <w:r>
        <w:rPr>
          <w:rFonts w:ascii="Times New Roman" w:cs="Times New Roman" w:eastAsia="Times New Roman" w:hAnsi="Times New Roman"/>
          <w:sz w:val="14"/>
          <w:szCs w:val="14"/>
          <w:b w:val="1"/>
          <w:bCs w:val="1"/>
          <w:color w:val="auto"/>
        </w:rPr>
        <w:t xml:space="preserve">Lifetime Lapse Prevention Benefit. </w:t>
      </w:r>
      <w:r>
        <w:rPr>
          <w:rFonts w:ascii="Times New Roman" w:cs="Times New Roman" w:eastAsia="Times New Roman" w:hAnsi="Times New Roman"/>
          <w:sz w:val="14"/>
          <w:szCs w:val="14"/>
          <w:color w:val="auto"/>
        </w:rPr>
        <w:t>A benefit, offered through the GDR, that guarantees the Policy will not lapse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if the Policy’s unloaned Cash Value is insufficient to cover any Surrender charge and any Annual Deduction due on a monthly anniversary date, provided the GDR is in force, Annual Lapse Prevention Premiums are paid when due, and there is no Excess Loan.</w:t>
      </w:r>
    </w:p>
    <w:p>
      <w:pPr>
        <w:spacing w:after="0" w:line="69" w:lineRule="exact"/>
        <w:rPr>
          <w:sz w:val="20"/>
          <w:szCs w:val="20"/>
          <w:color w:val="auto"/>
        </w:rPr>
      </w:pPr>
    </w:p>
    <w:p>
      <w:pPr>
        <w:jc w:val="both"/>
        <w:ind w:right="2939"/>
        <w:spacing w:after="0" w:line="273" w:lineRule="auto"/>
        <w:rPr>
          <w:sz w:val="20"/>
          <w:szCs w:val="20"/>
          <w:color w:val="auto"/>
        </w:rPr>
      </w:pPr>
      <w:r>
        <w:rPr>
          <w:rFonts w:ascii="Times New Roman" w:cs="Times New Roman" w:eastAsia="Times New Roman" w:hAnsi="Times New Roman"/>
          <w:sz w:val="14"/>
          <w:szCs w:val="14"/>
          <w:b w:val="1"/>
          <w:bCs w:val="1"/>
          <w:color w:val="auto"/>
        </w:rPr>
        <w:t xml:space="preserve">Loan Account. </w:t>
      </w:r>
      <w:r>
        <w:rPr>
          <w:rFonts w:ascii="Times New Roman" w:cs="Times New Roman" w:eastAsia="Times New Roman" w:hAnsi="Times New Roman"/>
          <w:sz w:val="14"/>
          <w:szCs w:val="14"/>
          <w:color w:val="auto"/>
        </w:rPr>
        <w:t>The account to which Cash Value from the Indexed Accounts, Holding Account, and/ or Fixed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Account is transferred when a loan is taken, or unpaid interest is added to the loan.</w:t>
      </w:r>
    </w:p>
    <w:p>
      <w:pPr>
        <w:spacing w:after="0" w:line="45" w:lineRule="exact"/>
        <w:rPr>
          <w:sz w:val="20"/>
          <w:szCs w:val="20"/>
          <w:color w:val="auto"/>
        </w:rPr>
      </w:pPr>
    </w:p>
    <w:p>
      <w:pPr>
        <w:jc w:val="both"/>
        <w:ind w:right="2939"/>
        <w:spacing w:after="0" w:line="273" w:lineRule="auto"/>
        <w:rPr>
          <w:sz w:val="20"/>
          <w:szCs w:val="20"/>
          <w:color w:val="auto"/>
        </w:rPr>
      </w:pPr>
      <w:r>
        <w:rPr>
          <w:rFonts w:ascii="Times New Roman" w:cs="Times New Roman" w:eastAsia="Times New Roman" w:hAnsi="Times New Roman"/>
          <w:sz w:val="14"/>
          <w:szCs w:val="14"/>
          <w:b w:val="1"/>
          <w:bCs w:val="1"/>
          <w:color w:val="auto"/>
        </w:rPr>
        <w:t xml:space="preserve">Loan Interest. </w:t>
      </w:r>
      <w:r>
        <w:rPr>
          <w:rFonts w:ascii="Times New Roman" w:cs="Times New Roman" w:eastAsia="Times New Roman" w:hAnsi="Times New Roman"/>
          <w:sz w:val="14"/>
          <w:szCs w:val="14"/>
          <w:color w:val="auto"/>
        </w:rPr>
        <w:t>An amount of Interest that accrues daily based on the outstanding loan amounts plus accrued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interest and is due on each Policy Anniversary. Loan Interest is the interest we charge you for taking a loan.</w:t>
      </w:r>
    </w:p>
    <w:p>
      <w:pPr>
        <w:spacing w:after="0" w:line="55" w:lineRule="exact"/>
        <w:rPr>
          <w:sz w:val="20"/>
          <w:szCs w:val="20"/>
          <w:color w:val="auto"/>
        </w:rPr>
      </w:pPr>
    </w:p>
    <w:p>
      <w:pPr>
        <w:jc w:val="both"/>
        <w:ind w:right="2939"/>
        <w:spacing w:after="0" w:line="248" w:lineRule="auto"/>
        <w:rPr>
          <w:sz w:val="20"/>
          <w:szCs w:val="20"/>
          <w:color w:val="auto"/>
        </w:rPr>
      </w:pPr>
      <w:r>
        <w:rPr>
          <w:rFonts w:ascii="Times New Roman" w:cs="Times New Roman" w:eastAsia="Times New Roman" w:hAnsi="Times New Roman"/>
          <w:sz w:val="14"/>
          <w:szCs w:val="14"/>
          <w:b w:val="1"/>
          <w:bCs w:val="1"/>
          <w:color w:val="auto"/>
        </w:rPr>
        <w:t xml:space="preserve">Maximum Distribution Payment. </w:t>
      </w:r>
      <w:r>
        <w:rPr>
          <w:rFonts w:ascii="Times New Roman" w:cs="Times New Roman" w:eastAsia="Times New Roman" w:hAnsi="Times New Roman"/>
          <w:sz w:val="14"/>
          <w:szCs w:val="14"/>
          <w:color w:val="auto"/>
        </w:rPr>
        <w:t>Represents the maximum amount available to you for each Distribution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Payment if you were to start Distribution Payments that Policy Year. Starting in Policy Year 11, it is calculated at each Policy Anniversary prior to the Distribution Start Date and is equal to the Policy’s Cash Value on that date multiplied by the Distribution Payment rate. If you select an annual Distribution Payment Frequency, the Maximum Distribution Payment is an annual amount and is the maximum that you may receive as a Distribution Payment on the Distribution Start Date and on each Distribution Start Date anniversary. If you select a Distribution Payment Frequency other than annual (monthly, quarterly, or semi-annual), the Maximum Distribution Payment is not an annual amount but is the maximum amount you can receive for each Distribution Payment based on your selected frequency.</w:t>
      </w:r>
    </w:p>
    <w:p>
      <w:pPr>
        <w:spacing w:after="0" w:line="66" w:lineRule="exact"/>
        <w:rPr>
          <w:sz w:val="20"/>
          <w:szCs w:val="20"/>
          <w:color w:val="auto"/>
        </w:rPr>
      </w:pPr>
    </w:p>
    <w:p>
      <w:pPr>
        <w:jc w:val="both"/>
        <w:ind w:right="2939"/>
        <w:spacing w:after="0" w:line="273" w:lineRule="auto"/>
        <w:rPr>
          <w:sz w:val="20"/>
          <w:szCs w:val="20"/>
          <w:color w:val="auto"/>
        </w:rPr>
      </w:pPr>
      <w:r>
        <w:rPr>
          <w:rFonts w:ascii="Times New Roman" w:cs="Times New Roman" w:eastAsia="Times New Roman" w:hAnsi="Times New Roman"/>
          <w:sz w:val="14"/>
          <w:szCs w:val="14"/>
          <w:b w:val="1"/>
          <w:bCs w:val="1"/>
          <w:color w:val="auto"/>
        </w:rPr>
        <w:t xml:space="preserve">Net Premium. </w:t>
      </w:r>
      <w:r>
        <w:rPr>
          <w:rFonts w:ascii="Times New Roman" w:cs="Times New Roman" w:eastAsia="Times New Roman" w:hAnsi="Times New Roman"/>
          <w:sz w:val="14"/>
          <w:szCs w:val="14"/>
          <w:color w:val="auto"/>
        </w:rPr>
        <w:t>An amount equal to the premium minus the Percent of Premium Charge. The Net Premium is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portion of the premium that will be applied to your Policy’s Cash Value.</w:t>
      </w:r>
    </w:p>
    <w:p>
      <w:pPr>
        <w:spacing w:after="0" w:line="193"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9219"/>
          </w:cols>
          <w:pgMar w:left="1240" w:top="1079" w:right="1440" w:bottom="1440" w:gutter="0" w:footer="0" w:header="0"/>
        </w:sectPr>
      </w:pPr>
    </w:p>
    <w:bookmarkStart w:id="10" w:name="page11"/>
    <w:bookmarkEnd w:id="10"/>
    <w:p>
      <w:pPr>
        <w:jc w:val="both"/>
        <w:ind w:right="2939"/>
        <w:spacing w:after="0" w:line="288" w:lineRule="auto"/>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179070</wp:posOffset>
            </wp:positionH>
            <wp:positionV relativeFrom="page">
              <wp:posOffset>422275</wp:posOffset>
            </wp:positionV>
            <wp:extent cx="719010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90105" cy="38735"/>
                    </a:xfrm>
                    <a:prstGeom prst="rect">
                      <a:avLst/>
                    </a:prstGeom>
                    <a:noFill/>
                  </pic:spPr>
                </pic:pic>
              </a:graphicData>
            </a:graphic>
          </wp:anchor>
        </w:drawing>
        <w:t xml:space="preserve">Notice. </w:t>
      </w:r>
      <w:r>
        <w:rPr>
          <w:rFonts w:ascii="Times New Roman" w:cs="Times New Roman" w:eastAsia="Times New Roman" w:hAnsi="Times New Roman"/>
          <w:sz w:val="13"/>
          <w:szCs w:val="13"/>
          <w:color w:val="auto"/>
        </w:rPr>
        <w:t>Any form of communication providing information we need, within a signed writing or other manner that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we approve in advance. All Notices to us must be sent to our Administrative Office and received in Good Order. To be effective for a Business Day, a Notice must be received in Good Order prior to the end of that Business Day.</w:t>
      </w:r>
    </w:p>
    <w:p>
      <w:pPr>
        <w:spacing w:after="0" w:line="48" w:lineRule="exact"/>
        <w:rPr>
          <w:sz w:val="20"/>
          <w:szCs w:val="20"/>
          <w:color w:val="auto"/>
        </w:rPr>
      </w:pPr>
    </w:p>
    <w:p>
      <w:pPr>
        <w:jc w:val="both"/>
        <w:ind w:right="2939"/>
        <w:spacing w:after="0" w:line="254" w:lineRule="auto"/>
        <w:rPr>
          <w:sz w:val="20"/>
          <w:szCs w:val="20"/>
          <w:color w:val="auto"/>
        </w:rPr>
      </w:pPr>
      <w:r>
        <w:rPr>
          <w:rFonts w:ascii="Times New Roman" w:cs="Times New Roman" w:eastAsia="Times New Roman" w:hAnsi="Times New Roman"/>
          <w:sz w:val="14"/>
          <w:szCs w:val="14"/>
          <w:b w:val="1"/>
          <w:bCs w:val="1"/>
          <w:color w:val="auto"/>
        </w:rPr>
        <w:t xml:space="preserve">One-time Payment. </w:t>
      </w:r>
      <w:r>
        <w:rPr>
          <w:rFonts w:ascii="Times New Roman" w:cs="Times New Roman" w:eastAsia="Times New Roman" w:hAnsi="Times New Roman"/>
          <w:sz w:val="14"/>
          <w:szCs w:val="14"/>
          <w:color w:val="auto"/>
        </w:rPr>
        <w:t>After the Distribution Start Date, if you have received less than your cumulative Maximum</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Distribution Payments, you may choose to receive a One-time Payment amount that is separate from your scheduled Distribution Payments. You may only make this election once, provided your Distribution Payments have not been terminated.</w:t>
      </w:r>
    </w:p>
    <w:p>
      <w:pPr>
        <w:spacing w:after="0" w:line="59" w:lineRule="exact"/>
        <w:rPr>
          <w:sz w:val="20"/>
          <w:szCs w:val="20"/>
          <w:color w:val="auto"/>
        </w:rPr>
      </w:pPr>
    </w:p>
    <w:p>
      <w:pPr>
        <w:jc w:val="both"/>
        <w:ind w:right="2939"/>
        <w:spacing w:after="0" w:line="259" w:lineRule="auto"/>
        <w:rPr>
          <w:sz w:val="20"/>
          <w:szCs w:val="20"/>
          <w:color w:val="auto"/>
        </w:rPr>
      </w:pPr>
      <w:r>
        <w:rPr>
          <w:rFonts w:ascii="Times New Roman" w:cs="Times New Roman" w:eastAsia="Times New Roman" w:hAnsi="Times New Roman"/>
          <w:sz w:val="14"/>
          <w:szCs w:val="14"/>
          <w:b w:val="1"/>
          <w:bCs w:val="1"/>
          <w:color w:val="auto"/>
        </w:rPr>
        <w:t xml:space="preserve">Owner (“you”, “yours”). </w:t>
      </w:r>
      <w:r>
        <w:rPr>
          <w:rFonts w:ascii="Times New Roman" w:cs="Times New Roman" w:eastAsia="Times New Roman" w:hAnsi="Times New Roman"/>
          <w:sz w:val="14"/>
          <w:szCs w:val="14"/>
          <w:color w:val="auto"/>
        </w:rPr>
        <w:t>The person(s) entitled to the ownership rights under the Policy. Subject to our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administrative procedures, we may also permit ownership by a corporation (a type of non-natural person) or certain other legal entities. If Joint Owners are named, all references to Owner shall mean Joint Owners.</w:t>
      </w:r>
    </w:p>
    <w:p>
      <w:pPr>
        <w:spacing w:after="0" w:line="65" w:lineRule="exact"/>
        <w:rPr>
          <w:sz w:val="20"/>
          <w:szCs w:val="20"/>
          <w:color w:val="auto"/>
        </w:rPr>
      </w:pPr>
    </w:p>
    <w:p>
      <w:pPr>
        <w:jc w:val="both"/>
        <w:ind w:right="2939"/>
        <w:spacing w:after="0" w:line="273" w:lineRule="auto"/>
        <w:rPr>
          <w:sz w:val="20"/>
          <w:szCs w:val="20"/>
          <w:color w:val="auto"/>
        </w:rPr>
      </w:pPr>
      <w:r>
        <w:rPr>
          <w:rFonts w:ascii="Times New Roman" w:cs="Times New Roman" w:eastAsia="Times New Roman" w:hAnsi="Times New Roman"/>
          <w:sz w:val="14"/>
          <w:szCs w:val="14"/>
          <w:b w:val="1"/>
          <w:bCs w:val="1"/>
          <w:color w:val="auto"/>
        </w:rPr>
        <w:t xml:space="preserve">Percent of Premium Charge. </w:t>
      </w:r>
      <w:r>
        <w:rPr>
          <w:rFonts w:ascii="Times New Roman" w:cs="Times New Roman" w:eastAsia="Times New Roman" w:hAnsi="Times New Roman"/>
          <w:sz w:val="14"/>
          <w:szCs w:val="14"/>
          <w:color w:val="auto"/>
        </w:rPr>
        <w:t>A charge imposed on each premium payment that covers the sales charge, premium</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tax charge, and federal tax charge.</w:t>
      </w:r>
    </w:p>
    <w:p>
      <w:pPr>
        <w:spacing w:after="0" w:line="55" w:lineRule="exact"/>
        <w:rPr>
          <w:sz w:val="20"/>
          <w:szCs w:val="20"/>
          <w:color w:val="auto"/>
        </w:rPr>
      </w:pPr>
    </w:p>
    <w:p>
      <w:pPr>
        <w:jc w:val="both"/>
        <w:ind w:right="2939"/>
        <w:spacing w:after="0" w:line="254" w:lineRule="auto"/>
        <w:rPr>
          <w:sz w:val="20"/>
          <w:szCs w:val="20"/>
          <w:color w:val="auto"/>
        </w:rPr>
      </w:pPr>
      <w:r>
        <w:rPr>
          <w:rFonts w:ascii="Times New Roman" w:cs="Times New Roman" w:eastAsia="Times New Roman" w:hAnsi="Times New Roman"/>
          <w:sz w:val="14"/>
          <w:szCs w:val="14"/>
          <w:b w:val="1"/>
          <w:bCs w:val="1"/>
          <w:color w:val="auto"/>
        </w:rPr>
        <w:t xml:space="preserve">Planned Premium Payment. </w:t>
      </w:r>
      <w:r>
        <w:rPr>
          <w:rFonts w:ascii="Times New Roman" w:cs="Times New Roman" w:eastAsia="Times New Roman" w:hAnsi="Times New Roman"/>
          <w:sz w:val="14"/>
          <w:szCs w:val="14"/>
          <w:color w:val="auto"/>
        </w:rPr>
        <w:t>The Planned Premium Payment is the premium payment schedule you choose to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help meet your future goals under the Policy. The Planned Premium Payment consists of a first-year premium amount and an amount for premium payments in subsequent Policy Years. It is subject to certain limits under the Policy.</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Policy Anniversary. </w:t>
      </w:r>
      <w:r>
        <w:rPr>
          <w:rFonts w:ascii="Times New Roman" w:cs="Times New Roman" w:eastAsia="Times New Roman" w:hAnsi="Times New Roman"/>
          <w:sz w:val="14"/>
          <w:szCs w:val="14"/>
          <w:color w:val="auto"/>
        </w:rPr>
        <w:t>An anniversary of the Policy Start Date.</w:t>
      </w:r>
    </w:p>
    <w:p>
      <w:pPr>
        <w:spacing w:after="0" w:line="96" w:lineRule="exact"/>
        <w:rPr>
          <w:sz w:val="20"/>
          <w:szCs w:val="20"/>
          <w:color w:val="auto"/>
        </w:rPr>
      </w:pPr>
    </w:p>
    <w:p>
      <w:pPr>
        <w:jc w:val="both"/>
        <w:ind w:right="2939"/>
        <w:spacing w:after="0" w:line="251" w:lineRule="auto"/>
        <w:rPr>
          <w:sz w:val="20"/>
          <w:szCs w:val="20"/>
          <w:color w:val="auto"/>
        </w:rPr>
      </w:pPr>
      <w:r>
        <w:rPr>
          <w:rFonts w:ascii="Times New Roman" w:cs="Times New Roman" w:eastAsia="Times New Roman" w:hAnsi="Times New Roman"/>
          <w:sz w:val="14"/>
          <w:szCs w:val="14"/>
          <w:b w:val="1"/>
          <w:bCs w:val="1"/>
          <w:color w:val="auto"/>
        </w:rPr>
        <w:t xml:space="preserve">Policy Deduction Method. </w:t>
      </w:r>
      <w:r>
        <w:rPr>
          <w:rFonts w:ascii="Times New Roman" w:cs="Times New Roman" w:eastAsia="Times New Roman" w:hAnsi="Times New Roman"/>
          <w:sz w:val="14"/>
          <w:szCs w:val="14"/>
          <w:color w:val="auto"/>
        </w:rPr>
        <w:t>Policy deductions are taken proportionally from each Indexed Account and its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associated Holding Account, considered together, and the Fixed Account. The proportional amounts are calculated based on the Cash Values across these accounts. The sum of the values in an Indexed Account and its associated Holding Account is considered one proportion. The corresponding proportional amount is subtracted first from the Holding Account until it has been reduced to zero and then any remaining amount is subtracted from the associated Indexed Account.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Policy Loan Balance. </w:t>
      </w:r>
      <w:r>
        <w:rPr>
          <w:rFonts w:ascii="Times New Roman" w:cs="Times New Roman" w:eastAsia="Times New Roman" w:hAnsi="Times New Roman"/>
          <w:sz w:val="14"/>
          <w:szCs w:val="14"/>
          <w:color w:val="auto"/>
        </w:rPr>
        <w:t>An amount equal to the outstanding loan amounts plus accrued Loan Interest.</w:t>
      </w:r>
    </w:p>
    <w:p>
      <w:pPr>
        <w:spacing w:after="0" w:line="86" w:lineRule="exact"/>
        <w:rPr>
          <w:sz w:val="20"/>
          <w:szCs w:val="20"/>
          <w:color w:val="auto"/>
        </w:rPr>
      </w:pPr>
    </w:p>
    <w:p>
      <w:pPr>
        <w:jc w:val="both"/>
        <w:ind w:right="2939"/>
        <w:spacing w:after="0" w:line="273" w:lineRule="auto"/>
        <w:rPr>
          <w:sz w:val="20"/>
          <w:szCs w:val="20"/>
          <w:color w:val="auto"/>
        </w:rPr>
      </w:pPr>
      <w:r>
        <w:rPr>
          <w:rFonts w:ascii="Times New Roman" w:cs="Times New Roman" w:eastAsia="Times New Roman" w:hAnsi="Times New Roman"/>
          <w:sz w:val="14"/>
          <w:szCs w:val="14"/>
          <w:b w:val="1"/>
          <w:bCs w:val="1"/>
          <w:color w:val="auto"/>
        </w:rPr>
        <w:t xml:space="preserve">Policy Proceeds. </w:t>
      </w:r>
      <w:r>
        <w:rPr>
          <w:rFonts w:ascii="Times New Roman" w:cs="Times New Roman" w:eastAsia="Times New Roman" w:hAnsi="Times New Roman"/>
          <w:sz w:val="14"/>
          <w:szCs w:val="14"/>
          <w:color w:val="auto"/>
        </w:rPr>
        <w:t>The amount paid to the beneficiary upon the Insured’s death. The Policy Proceeds calculation is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 the “DEATH BENEFIT” and “GUARANTEED DISTRIBUTION RIDER” section.</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 xml:space="preserve">Policy Start Date. </w:t>
      </w:r>
      <w:r>
        <w:rPr>
          <w:rFonts w:ascii="Times New Roman" w:cs="Times New Roman" w:eastAsia="Times New Roman" w:hAnsi="Times New Roman"/>
          <w:sz w:val="13"/>
          <w:szCs w:val="13"/>
          <w:color w:val="auto"/>
        </w:rPr>
        <w:t>The effective date of the Policy that is used to measure Policy Years, months and anniversaries.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Policy Year. </w:t>
      </w:r>
      <w:r>
        <w:rPr>
          <w:rFonts w:ascii="Times New Roman" w:cs="Times New Roman" w:eastAsia="Times New Roman" w:hAnsi="Times New Roman"/>
          <w:sz w:val="14"/>
          <w:szCs w:val="14"/>
          <w:color w:val="auto"/>
        </w:rPr>
        <w:t>A one-year period starting on the Policy Start Date and on each Policy Anniversary thereafter.</w:t>
      </w:r>
    </w:p>
    <w:p>
      <w:pPr>
        <w:spacing w:after="0" w:line="86" w:lineRule="exact"/>
        <w:rPr>
          <w:sz w:val="20"/>
          <w:szCs w:val="20"/>
          <w:color w:val="auto"/>
        </w:rPr>
      </w:pPr>
    </w:p>
    <w:p>
      <w:pPr>
        <w:jc w:val="both"/>
        <w:ind w:right="2939"/>
        <w:spacing w:after="0" w:line="252" w:lineRule="auto"/>
        <w:rPr>
          <w:sz w:val="20"/>
          <w:szCs w:val="20"/>
          <w:color w:val="auto"/>
        </w:rPr>
      </w:pPr>
      <w:r>
        <w:rPr>
          <w:rFonts w:ascii="Times New Roman" w:cs="Times New Roman" w:eastAsia="Times New Roman" w:hAnsi="Times New Roman"/>
          <w:sz w:val="14"/>
          <w:szCs w:val="14"/>
          <w:b w:val="1"/>
          <w:bCs w:val="1"/>
          <w:color w:val="auto"/>
        </w:rPr>
        <w:t xml:space="preserve">Segment. </w:t>
      </w:r>
      <w:r>
        <w:rPr>
          <w:rFonts w:ascii="Times New Roman" w:cs="Times New Roman" w:eastAsia="Times New Roman" w:hAnsi="Times New Roman"/>
          <w:sz w:val="14"/>
          <w:szCs w:val="14"/>
          <w:color w:val="auto"/>
        </w:rPr>
        <w:t>An allocation option we establish when any part of the initial Net Premium is allocated to an Indexed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Account on the Policy Start Date. Thereafter, a new Segment is started when a transfer of Cash Value is made to that Indexed Account on a Policy Anniversary. Once a Segment is created, the Indexed Account Factors will not change for the Segment during the Segment Term. We may also refer to a “Segment” as an “Indexed Account Segment” in this prospectus and in your Policy.</w:t>
      </w:r>
    </w:p>
    <w:p>
      <w:pPr>
        <w:spacing w:after="0" w:line="70" w:lineRule="exact"/>
        <w:rPr>
          <w:sz w:val="20"/>
          <w:szCs w:val="20"/>
          <w:color w:val="auto"/>
        </w:rPr>
      </w:pPr>
    </w:p>
    <w:p>
      <w:pPr>
        <w:jc w:val="both"/>
        <w:ind w:right="2939"/>
        <w:spacing w:after="0" w:line="251" w:lineRule="auto"/>
        <w:rPr>
          <w:sz w:val="20"/>
          <w:szCs w:val="20"/>
          <w:color w:val="auto"/>
        </w:rPr>
      </w:pPr>
      <w:r>
        <w:rPr>
          <w:rFonts w:ascii="Times New Roman" w:cs="Times New Roman" w:eastAsia="Times New Roman" w:hAnsi="Times New Roman"/>
          <w:sz w:val="14"/>
          <w:szCs w:val="14"/>
          <w:b w:val="1"/>
          <w:bCs w:val="1"/>
          <w:color w:val="auto"/>
        </w:rPr>
        <w:t xml:space="preserve">Segment Credit. </w:t>
      </w:r>
      <w:r>
        <w:rPr>
          <w:rFonts w:ascii="Times New Roman" w:cs="Times New Roman" w:eastAsia="Times New Roman" w:hAnsi="Times New Roman"/>
          <w:sz w:val="14"/>
          <w:szCs w:val="14"/>
          <w:color w:val="auto"/>
        </w:rPr>
        <w:t>The amount that is applied to the Segment Value on the Segment Maturity Date. On the Segment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Maturity Date, the amount is equal to that Segment’s Segment Performance Rate multiplied by the current Segment Value. The Segment Credit may be positive, negative or zero. When the Segment Credit is positive we may also refer to this adjustment as “earnings.” When the Segment Credit is negative we may also refer to this adjustment as “losses.” The Segment Credit is only applied to amounts that remain in a Segment until the Segment Maturity Date. We refer to this as the “Segment Index-Linked Credit” in your Policy.</w:t>
      </w:r>
    </w:p>
    <w:p>
      <w:pPr>
        <w:spacing w:after="0" w:line="70" w:lineRule="exact"/>
        <w:rPr>
          <w:sz w:val="20"/>
          <w:szCs w:val="20"/>
          <w:color w:val="auto"/>
        </w:rPr>
      </w:pPr>
    </w:p>
    <w:p>
      <w:pPr>
        <w:jc w:val="both"/>
        <w:ind w:right="2939"/>
        <w:spacing w:after="0" w:line="273" w:lineRule="auto"/>
        <w:rPr>
          <w:sz w:val="20"/>
          <w:szCs w:val="20"/>
          <w:color w:val="auto"/>
        </w:rPr>
      </w:pPr>
      <w:r>
        <w:rPr>
          <w:rFonts w:ascii="Times New Roman" w:cs="Times New Roman" w:eastAsia="Times New Roman" w:hAnsi="Times New Roman"/>
          <w:sz w:val="14"/>
          <w:szCs w:val="14"/>
          <w:b w:val="1"/>
          <w:bCs w:val="1"/>
          <w:color w:val="auto"/>
        </w:rPr>
        <w:t xml:space="preserve">Segment Index Performance. </w:t>
      </w:r>
      <w:r>
        <w:rPr>
          <w:rFonts w:ascii="Times New Roman" w:cs="Times New Roman" w:eastAsia="Times New Roman" w:hAnsi="Times New Roman"/>
          <w:sz w:val="14"/>
          <w:szCs w:val="14"/>
          <w:color w:val="auto"/>
        </w:rPr>
        <w:t>The percentage change in the Closing Value measured from the Segment Start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Date to any day within the Segment Term. Segment Index Performance can be positive, negative, or zero.</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Segment Maturity Date. </w:t>
      </w:r>
      <w:r>
        <w:rPr>
          <w:rFonts w:ascii="Times New Roman" w:cs="Times New Roman" w:eastAsia="Times New Roman" w:hAnsi="Times New Roman"/>
          <w:sz w:val="14"/>
          <w:szCs w:val="14"/>
          <w:color w:val="auto"/>
        </w:rPr>
        <w:t>The Policy Anniversary on which a Segment ends.</w:t>
      </w:r>
    </w:p>
    <w:p>
      <w:pPr>
        <w:spacing w:after="0" w:line="96" w:lineRule="exact"/>
        <w:rPr>
          <w:sz w:val="20"/>
          <w:szCs w:val="20"/>
          <w:color w:val="auto"/>
        </w:rPr>
      </w:pPr>
    </w:p>
    <w:p>
      <w:pPr>
        <w:jc w:val="both"/>
        <w:ind w:right="2939"/>
        <w:spacing w:after="0" w:line="250" w:lineRule="auto"/>
        <w:rPr>
          <w:sz w:val="20"/>
          <w:szCs w:val="20"/>
          <w:color w:val="auto"/>
        </w:rPr>
      </w:pPr>
      <w:r>
        <w:rPr>
          <w:rFonts w:ascii="Times New Roman" w:cs="Times New Roman" w:eastAsia="Times New Roman" w:hAnsi="Times New Roman"/>
          <w:sz w:val="14"/>
          <w:szCs w:val="14"/>
          <w:b w:val="1"/>
          <w:bCs w:val="1"/>
          <w:color w:val="auto"/>
        </w:rPr>
        <w:t xml:space="preserve">Segment Performance Rate. </w:t>
      </w:r>
      <w:r>
        <w:rPr>
          <w:rFonts w:ascii="Times New Roman" w:cs="Times New Roman" w:eastAsia="Times New Roman" w:hAnsi="Times New Roman"/>
          <w:sz w:val="14"/>
          <w:szCs w:val="14"/>
          <w:color w:val="auto"/>
        </w:rPr>
        <w:t>The Segment Performance Rate is based on the Segment Index Performance,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adjusted as follows. Prior to Segment Maturity Date, the Segment Index Performance is adjusted for the applicable Accrued Buffer Rate and Accrued Cap Rate. On the Segment Maturity Date, the Segment Index Performance is adjusted for the applicable Buffer Rate and Cap Rate. The Segment Performance Rate can be positive, zero, or negative. At the Segment Maturity Date, any increase or reduction in the Segment Value of a particular Segment is determined by multiplying the Segment Performance Rate by the current Segment Value. We refer to this as the “Segment Index-Linked Credit Rate” in your Policy.</w:t>
      </w:r>
    </w:p>
    <w:p>
      <w:pPr>
        <w:spacing w:after="0" w:line="60" w:lineRule="exact"/>
        <w:rPr>
          <w:sz w:val="20"/>
          <w:szCs w:val="20"/>
          <w:color w:val="auto"/>
        </w:rPr>
      </w:pPr>
    </w:p>
    <w:p>
      <w:pPr>
        <w:jc w:val="both"/>
        <w:ind w:right="2939"/>
        <w:spacing w:after="0" w:line="273" w:lineRule="auto"/>
        <w:rPr>
          <w:sz w:val="20"/>
          <w:szCs w:val="20"/>
          <w:color w:val="auto"/>
        </w:rPr>
      </w:pPr>
      <w:r>
        <w:rPr>
          <w:rFonts w:ascii="Times New Roman" w:cs="Times New Roman" w:eastAsia="Times New Roman" w:hAnsi="Times New Roman"/>
          <w:sz w:val="14"/>
          <w:szCs w:val="14"/>
          <w:b w:val="1"/>
          <w:bCs w:val="1"/>
          <w:color w:val="auto"/>
        </w:rPr>
        <w:t xml:space="preserve">Segment Start Date. </w:t>
      </w:r>
      <w:r>
        <w:rPr>
          <w:rFonts w:ascii="Times New Roman" w:cs="Times New Roman" w:eastAsia="Times New Roman" w:hAnsi="Times New Roman"/>
          <w:sz w:val="14"/>
          <w:szCs w:val="14"/>
          <w:color w:val="auto"/>
        </w:rPr>
        <w:t>The date a Segment is created. The initial Segment Start Date(s) begins on the Policy Start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Date, and thereafter, will be the Policy Anniversary.</w:t>
      </w:r>
    </w:p>
    <w:p>
      <w:pPr>
        <w:spacing w:after="0" w:line="55" w:lineRule="exact"/>
        <w:rPr>
          <w:sz w:val="20"/>
          <w:szCs w:val="20"/>
          <w:color w:val="auto"/>
        </w:rPr>
      </w:pPr>
    </w:p>
    <w:p>
      <w:pPr>
        <w:jc w:val="both"/>
        <w:ind w:right="2939"/>
        <w:spacing w:after="0" w:line="313" w:lineRule="auto"/>
        <w:rPr>
          <w:sz w:val="20"/>
          <w:szCs w:val="20"/>
          <w:color w:val="auto"/>
        </w:rPr>
      </w:pPr>
      <w:r>
        <w:rPr>
          <w:rFonts w:ascii="Times New Roman" w:cs="Times New Roman" w:eastAsia="Times New Roman" w:hAnsi="Times New Roman"/>
          <w:sz w:val="13"/>
          <w:szCs w:val="13"/>
          <w:b w:val="1"/>
          <w:bCs w:val="1"/>
          <w:color w:val="auto"/>
        </w:rPr>
        <w:t xml:space="preserve">Segment Term. </w:t>
      </w:r>
      <w:r>
        <w:rPr>
          <w:rFonts w:ascii="Times New Roman" w:cs="Times New Roman" w:eastAsia="Times New Roman" w:hAnsi="Times New Roman"/>
          <w:sz w:val="13"/>
          <w:szCs w:val="13"/>
          <w:color w:val="auto"/>
        </w:rPr>
        <w:t>An Indexed Account Factor. The Segment Term is the number of years that the Segment is in</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effect. We currently offer a Segment Term of 1 year. The Initial Segment Term(s) begin on the Policy Start Date.</w:t>
      </w:r>
    </w:p>
    <w:p>
      <w:pPr>
        <w:spacing w:after="0" w:line="170"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9219"/>
          </w:cols>
          <w:pgMar w:left="1240" w:top="1079" w:right="1440" w:bottom="1440" w:gutter="0" w:footer="0" w:header="0"/>
        </w:sectPr>
      </w:pPr>
    </w:p>
    <w:bookmarkStart w:id="11" w:name="page12"/>
    <w:bookmarkEnd w:id="11"/>
    <w:p>
      <w:pPr>
        <w:jc w:val="both"/>
        <w:ind w:right="2939"/>
        <w:spacing w:after="0" w:line="248" w:lineRule="auto"/>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422275</wp:posOffset>
            </wp:positionV>
            <wp:extent cx="719010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90105" cy="38735"/>
                    </a:xfrm>
                    <a:prstGeom prst="rect">
                      <a:avLst/>
                    </a:prstGeom>
                    <a:noFill/>
                  </pic:spPr>
                </pic:pic>
              </a:graphicData>
            </a:graphic>
          </wp:anchor>
        </w:drawing>
        <w:t xml:space="preserve">Segment Value. </w:t>
      </w:r>
      <w:r>
        <w:rPr>
          <w:rFonts w:ascii="Times New Roman" w:cs="Times New Roman" w:eastAsia="Times New Roman" w:hAnsi="Times New Roman"/>
          <w:sz w:val="14"/>
          <w:szCs w:val="14"/>
          <w:color w:val="auto"/>
        </w:rPr>
        <w:t>The Segment Value, for each Segment, is used to determine the amount available for any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transaction or reallocation on the Segment Maturity Date. It is the amount that is applied to the Segment at the Segment Start Date, reduced proportionately for an Acceleration of Death Benefit for Terminal Illness payment and any loans that are not Distribution Payments by the same percentage that the loan or payment reduces the Interim Segment Value attributable to that Segment. A proportionate reduction to the Segment Value can be greater than the dollar amount of the transaction when the Segment Performance Rate is negative. The Segment Value is then, at the Segment Maturity Date, adjusted by the Segment Credit. The remaining Segment Value after a loan or Acceleration of Death Benefit for Terminal Illness payment will be used as the new Segment Value for the remainder of the Segment Term or until you take another loan or request an Acceleration of Death Benefit for Terminal Illness payment.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Separate Account. </w:t>
      </w:r>
      <w:r>
        <w:rPr>
          <w:rFonts w:ascii="Times New Roman" w:cs="Times New Roman" w:eastAsia="Times New Roman" w:hAnsi="Times New Roman"/>
          <w:sz w:val="14"/>
          <w:szCs w:val="14"/>
          <w:color w:val="auto"/>
        </w:rPr>
        <w:t>Brighthouse Separate Account L.</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Surrender. </w:t>
      </w:r>
      <w:r>
        <w:rPr>
          <w:rFonts w:ascii="Times New Roman" w:cs="Times New Roman" w:eastAsia="Times New Roman" w:hAnsi="Times New Roman"/>
          <w:sz w:val="14"/>
          <w:szCs w:val="14"/>
          <w:color w:val="auto"/>
        </w:rPr>
        <w:t>A full withdrawal of your Cash Surrender Value.</w:t>
      </w:r>
    </w:p>
    <w:p>
      <w:pPr>
        <w:spacing w:after="0" w:line="86" w:lineRule="exact"/>
        <w:rPr>
          <w:sz w:val="20"/>
          <w:szCs w:val="20"/>
          <w:color w:val="auto"/>
        </w:rPr>
      </w:pPr>
    </w:p>
    <w:p>
      <w:pPr>
        <w:jc w:val="both"/>
        <w:ind w:right="2939"/>
        <w:spacing w:after="0" w:line="273" w:lineRule="auto"/>
        <w:rPr>
          <w:sz w:val="20"/>
          <w:szCs w:val="20"/>
          <w:color w:val="auto"/>
        </w:rPr>
      </w:pPr>
      <w:r>
        <w:rPr>
          <w:rFonts w:ascii="Times New Roman" w:cs="Times New Roman" w:eastAsia="Times New Roman" w:hAnsi="Times New Roman"/>
          <w:sz w:val="14"/>
          <w:szCs w:val="14"/>
          <w:b w:val="1"/>
          <w:bCs w:val="1"/>
          <w:color w:val="auto"/>
        </w:rPr>
        <w:t xml:space="preserve">Transfer Period. </w:t>
      </w:r>
      <w:r>
        <w:rPr>
          <w:rFonts w:ascii="Times New Roman" w:cs="Times New Roman" w:eastAsia="Times New Roman" w:hAnsi="Times New Roman"/>
          <w:sz w:val="14"/>
          <w:szCs w:val="14"/>
          <w:color w:val="auto"/>
        </w:rPr>
        <w:t>The 21 calendar days following the Policy Anniversary coinciding with the Segment Maturity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Date for each applicable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9219"/>
          </w:cols>
          <w:pgMar w:left="1240" w:top="1079" w:right="1440" w:bottom="1440" w:gutter="0" w:footer="0" w:header="0"/>
        </w:sectPr>
      </w:pPr>
    </w:p>
    <w:bookmarkStart w:id="12" w:name="page13"/>
    <w:bookmarkEnd w:id="12"/>
    <w:p>
      <w:pPr>
        <w:jc w:val="center"/>
        <w:ind w:right="293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422275</wp:posOffset>
            </wp:positionV>
            <wp:extent cx="719010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90105" cy="38735"/>
                    </a:xfrm>
                    <a:prstGeom prst="rect">
                      <a:avLst/>
                    </a:prstGeom>
                    <a:noFill/>
                  </pic:spPr>
                </pic:pic>
              </a:graphicData>
            </a:graphic>
          </wp:anchor>
        </w:drawing>
        <w:t>SUMMARY</w:t>
      </w:r>
    </w:p>
    <w:p>
      <w:pPr>
        <w:spacing w:after="0" w:line="85" w:lineRule="exact"/>
        <w:rPr>
          <w:sz w:val="20"/>
          <w:szCs w:val="20"/>
          <w:color w:val="auto"/>
        </w:rPr>
      </w:pPr>
    </w:p>
    <w:p>
      <w:pPr>
        <w:jc w:val="both"/>
        <w:ind w:right="2939" w:firstLine="274"/>
        <w:spacing w:after="0" w:line="247" w:lineRule="auto"/>
        <w:rPr>
          <w:sz w:val="20"/>
          <w:szCs w:val="20"/>
          <w:color w:val="auto"/>
        </w:rPr>
      </w:pPr>
      <w:r>
        <w:rPr>
          <w:rFonts w:ascii="Times New Roman" w:cs="Times New Roman" w:eastAsia="Times New Roman" w:hAnsi="Times New Roman"/>
          <w:sz w:val="14"/>
          <w:szCs w:val="14"/>
          <w:color w:val="auto"/>
        </w:rPr>
        <w:t>The Brighthouse SmartGuard Plus</w:t>
      </w:r>
      <w:r>
        <w:rPr>
          <w:rFonts w:ascii="Times New Roman" w:cs="Times New Roman" w:eastAsia="Times New Roman" w:hAnsi="Times New Roman"/>
          <w:sz w:val="17"/>
          <w:szCs w:val="17"/>
          <w:color w:val="auto"/>
          <w:vertAlign w:val="superscript"/>
        </w:rPr>
        <w:t>SM</w:t>
      </w:r>
      <w:r>
        <w:rPr>
          <w:rFonts w:ascii="Times New Roman" w:cs="Times New Roman" w:eastAsia="Times New Roman" w:hAnsi="Times New Roman"/>
          <w:sz w:val="14"/>
          <w:szCs w:val="14"/>
          <w:color w:val="auto"/>
        </w:rPr>
        <w:t xml:space="preserve"> life insurance policy is a flexible premium adjustable index-linked life insurance policy issued by BLIC that provides life insurance protection. It also provides Policy Owners with the opportunity for guaranteed distributions through the Guaranteed Distribution Rider (“GDR”), as well as access to index-linked investments.</w:t>
      </w:r>
    </w:p>
    <w:p>
      <w:pPr>
        <w:spacing w:after="0" w:line="68" w:lineRule="exact"/>
        <w:rPr>
          <w:sz w:val="20"/>
          <w:szCs w:val="20"/>
          <w:color w:val="auto"/>
        </w:rPr>
      </w:pPr>
    </w:p>
    <w:p>
      <w:pPr>
        <w:jc w:val="both"/>
        <w:ind w:right="2939" w:firstLine="274"/>
        <w:spacing w:after="0" w:line="248" w:lineRule="auto"/>
        <w:rPr>
          <w:sz w:val="20"/>
          <w:szCs w:val="20"/>
          <w:color w:val="auto"/>
        </w:rPr>
      </w:pPr>
      <w:r>
        <w:rPr>
          <w:rFonts w:ascii="Times New Roman" w:cs="Times New Roman" w:eastAsia="Times New Roman" w:hAnsi="Times New Roman"/>
          <w:sz w:val="14"/>
          <w:szCs w:val="14"/>
          <w:color w:val="auto"/>
        </w:rPr>
        <w:t>The GDR is automatically included with the Policy for an additional charge. Subject to certain conditions, the GDR guarantees that you will receive distribution payments over a specific period of time, which you select when we issue the Policy. You can choose to receive Distribution Payments for a period of 10 years, 20 years, or for lifetime (up to Attained Age 121). You are eligible to start Distribution Payments after the Policy has been in force for 10 years, provided the Policy is not a modified endowment contract (“MEC”), and you have repaid any Policy Loan Balance before starting Distribution Payments. A MEC is a cash value life insurance policy that exceeds federal tax law limits. Your Policy may become a MEC, for example, due to the payment of excess premiums or due to a reduction in your death benefit.</w:t>
      </w:r>
    </w:p>
    <w:p>
      <w:pPr>
        <w:spacing w:after="0" w:line="78" w:lineRule="exact"/>
        <w:rPr>
          <w:sz w:val="20"/>
          <w:szCs w:val="20"/>
          <w:color w:val="auto"/>
        </w:rPr>
      </w:pPr>
    </w:p>
    <w:p>
      <w:pPr>
        <w:jc w:val="both"/>
        <w:ind w:right="2939" w:firstLine="274"/>
        <w:spacing w:after="0" w:line="248" w:lineRule="auto"/>
        <w:rPr>
          <w:sz w:val="20"/>
          <w:szCs w:val="20"/>
          <w:color w:val="auto"/>
        </w:rPr>
      </w:pPr>
      <w:r>
        <w:rPr>
          <w:rFonts w:ascii="Times New Roman" w:cs="Times New Roman" w:eastAsia="Times New Roman" w:hAnsi="Times New Roman"/>
          <w:sz w:val="14"/>
          <w:szCs w:val="14"/>
          <w:color w:val="auto"/>
        </w:rPr>
        <w:t>Distribution Payments and the One-time Payment are paid in the form of loans. The Distribution Payments will reduce the Policy’s unloaned Cash Value (total of the values in the Fixed Account, Indexed Accounts, and Holding Accounts) and the Policy Proceeds payable to your beneficiary. The maximum One-time Payment is the lesser of: (i) the difference between the cumulative Maximum Distribution Payments available to you based on your chosen Distribution Payment Duration and Distribution Payment Frequency and the total Distribution Payments you have received since the Distribution Start Date; or (ii) The lesser of: three times the Maximum Distribution Payment or $150,000 (which is referred to as the One-time Payment Limit and is shown in the GDR). The GDR also includes a Lifetime Lapse Prevention Benefit and guarantees a minimum amount of Policy Proceeds ($10,000) upon the Insured’s death.</w:t>
      </w:r>
    </w:p>
    <w:p>
      <w:pPr>
        <w:spacing w:after="0" w:line="77" w:lineRule="exact"/>
        <w:rPr>
          <w:sz w:val="20"/>
          <w:szCs w:val="20"/>
          <w:color w:val="auto"/>
        </w:rPr>
      </w:pPr>
    </w:p>
    <w:p>
      <w:pPr>
        <w:jc w:val="both"/>
        <w:ind w:right="2939" w:firstLine="274"/>
        <w:spacing w:after="0" w:line="271" w:lineRule="auto"/>
        <w:rPr>
          <w:sz w:val="20"/>
          <w:szCs w:val="20"/>
          <w:color w:val="auto"/>
        </w:rPr>
      </w:pPr>
      <w:r>
        <w:rPr>
          <w:rFonts w:ascii="Times New Roman" w:cs="Times New Roman" w:eastAsia="Times New Roman" w:hAnsi="Times New Roman"/>
          <w:sz w:val="13"/>
          <w:szCs w:val="13"/>
          <w:color w:val="auto"/>
        </w:rPr>
        <w:t xml:space="preserve">The Policy offers various Indexed Accounts, which permit Owners to link their investments to the return of an Index for a specified period of time, which is called a Segment Term. Owners may receive positive interest based on the Index’s positive returns, subject to a Cap Rate. Owners are also protected from a specified level of negative Index return—in the form of various Buffer Rate options where each provides its own specified level of protection from negative returns. </w:t>
      </w:r>
      <w:r>
        <w:rPr>
          <w:rFonts w:ascii="Times New Roman" w:cs="Times New Roman" w:eastAsia="Times New Roman" w:hAnsi="Times New Roman"/>
          <w:sz w:val="13"/>
          <w:szCs w:val="13"/>
          <w:b w:val="1"/>
          <w:bCs w:val="1"/>
          <w:color w:val="auto"/>
        </w:rPr>
        <w:t>The maximum downside protection provided by the Buffer Rate and the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potential maximum level of positive investment experience allowed by the Cap Rate are only fully available for amounts held until the end of the Segment Term, which is called the Segment Maturity Date.</w:t>
      </w:r>
    </w:p>
    <w:p>
      <w:pPr>
        <w:spacing w:after="0" w:line="53" w:lineRule="exact"/>
        <w:rPr>
          <w:sz w:val="20"/>
          <w:szCs w:val="20"/>
          <w:color w:val="auto"/>
        </w:rPr>
      </w:pPr>
    </w:p>
    <w:p>
      <w:pPr>
        <w:jc w:val="both"/>
        <w:ind w:right="2939" w:firstLine="274"/>
        <w:spacing w:after="0" w:line="252" w:lineRule="auto"/>
        <w:rPr>
          <w:sz w:val="20"/>
          <w:szCs w:val="20"/>
          <w:color w:val="auto"/>
        </w:rPr>
      </w:pPr>
      <w:r>
        <w:rPr>
          <w:rFonts w:ascii="Times New Roman" w:cs="Times New Roman" w:eastAsia="Times New Roman" w:hAnsi="Times New Roman"/>
          <w:sz w:val="14"/>
          <w:szCs w:val="14"/>
          <w:color w:val="auto"/>
        </w:rPr>
        <w:t>We currently offer Indexed Accounts with indices based on the performance of securities. Each Indexed Account has a Segment Term of one year in length, a Buffer Rate (10%, 15%, 20% or 100%) and a Cap Rate. For each Indexed Account, you select the Buffer Rate and the Index you want your investment performance to be based on. The performance of each Indexed Account will be subject to a Cap Rate.</w:t>
      </w:r>
    </w:p>
    <w:p>
      <w:pPr>
        <w:spacing w:after="0" w:line="64" w:lineRule="exact"/>
        <w:rPr>
          <w:sz w:val="20"/>
          <w:szCs w:val="20"/>
          <w:color w:val="auto"/>
        </w:rPr>
      </w:pPr>
    </w:p>
    <w:p>
      <w:pPr>
        <w:jc w:val="both"/>
        <w:ind w:right="2939" w:firstLine="274"/>
        <w:spacing w:after="0" w:line="248" w:lineRule="auto"/>
        <w:rPr>
          <w:sz w:val="20"/>
          <w:szCs w:val="20"/>
          <w:color w:val="auto"/>
        </w:rPr>
      </w:pPr>
      <w:r>
        <w:rPr>
          <w:rFonts w:ascii="Times New Roman" w:cs="Times New Roman" w:eastAsia="Times New Roman" w:hAnsi="Times New Roman"/>
          <w:sz w:val="14"/>
          <w:szCs w:val="14"/>
          <w:color w:val="auto"/>
        </w:rPr>
        <w:t xml:space="preserve">The Indexed Account Factors for each Indexed Account, except for the Holding Account interest rate, apply from the Segment Start Date to the Segment Maturity Date. We can add or discontinue any Indexed Account for transfers, renewals and/or new allocations of Net Premiums prior to the start of a new Segment Term. You bear the risk that an Indexed Account in which you initially allocate to will not continue to be available in the future. While we are not obligated to offer any one particular Indexed Account, there will always be one Indexed Account available with a minimum of 5% downside protection. A Fixed Account that guarantees a fixed rate of interest will also be available. </w:t>
      </w:r>
      <w:r>
        <w:rPr>
          <w:rFonts w:ascii="Times New Roman" w:cs="Times New Roman" w:eastAsia="Times New Roman" w:hAnsi="Times New Roman"/>
          <w:sz w:val="14"/>
          <w:szCs w:val="14"/>
          <w:b w:val="1"/>
          <w:bCs w:val="1"/>
          <w:color w:val="auto"/>
        </w:rPr>
        <w:t>Unless you allocate your Net Premiums to the Fixed Account or the Buffer 100,</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you may lose money by investing in the Policy.</w:t>
      </w:r>
    </w:p>
    <w:p>
      <w:pPr>
        <w:spacing w:after="0" w:line="68" w:lineRule="exact"/>
        <w:rPr>
          <w:sz w:val="20"/>
          <w:szCs w:val="20"/>
          <w:color w:val="auto"/>
        </w:rPr>
      </w:pPr>
    </w:p>
    <w:p>
      <w:pPr>
        <w:jc w:val="both"/>
        <w:ind w:right="2939" w:firstLine="274"/>
        <w:spacing w:after="0" w:line="285" w:lineRule="auto"/>
        <w:rPr>
          <w:sz w:val="20"/>
          <w:szCs w:val="20"/>
          <w:color w:val="auto"/>
        </w:rPr>
      </w:pPr>
      <w:r>
        <w:rPr>
          <w:rFonts w:ascii="Times New Roman" w:cs="Times New Roman" w:eastAsia="Times New Roman" w:hAnsi="Times New Roman"/>
          <w:sz w:val="13"/>
          <w:szCs w:val="13"/>
          <w:color w:val="auto"/>
        </w:rPr>
        <w:t xml:space="preserve">The Cap Rate is the maximum rate that may be credited at the Segment Maturity Date based on positive Segment Index Performance. </w:t>
      </w:r>
      <w:r>
        <w:rPr>
          <w:rFonts w:ascii="Times New Roman" w:cs="Times New Roman" w:eastAsia="Times New Roman" w:hAnsi="Times New Roman"/>
          <w:sz w:val="13"/>
          <w:szCs w:val="13"/>
          <w:b w:val="1"/>
          <w:bCs w:val="1"/>
          <w:color w:val="auto"/>
        </w:rPr>
        <w:t>For example, if the Cap Rate is 10% and the Segment Index Performance is</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15%, you will only be credited with a 10% gain. The Cap Rate is not a guaranteed positive rate of return.</w:t>
      </w:r>
    </w:p>
    <w:p>
      <w:pPr>
        <w:spacing w:after="0" w:line="43" w:lineRule="exact"/>
        <w:rPr>
          <w:sz w:val="20"/>
          <w:szCs w:val="20"/>
          <w:color w:val="auto"/>
        </w:rPr>
      </w:pPr>
    </w:p>
    <w:p>
      <w:pPr>
        <w:jc w:val="both"/>
        <w:ind w:right="2939" w:firstLine="274"/>
        <w:spacing w:after="0" w:line="249" w:lineRule="auto"/>
        <w:rPr>
          <w:sz w:val="20"/>
          <w:szCs w:val="20"/>
          <w:color w:val="auto"/>
        </w:rPr>
      </w:pPr>
      <w:r>
        <w:rPr>
          <w:rFonts w:ascii="Times New Roman" w:cs="Times New Roman" w:eastAsia="Times New Roman" w:hAnsi="Times New Roman"/>
          <w:sz w:val="14"/>
          <w:szCs w:val="14"/>
          <w:color w:val="auto"/>
        </w:rPr>
        <w:t>New Cap Rates are declared for each subsequent Segment Term. The Cap Rates will not be less than the Guaranteed Minimum Cap Rate stated in your Policy (“Guaranteed Minimum Cap Rate”), which will not be less than 3%. Thirty (30) days before the current Segment Term expires, we will mail you a notification indicating which Indexed Accounts will be available at the start of the next Segment Term and their renewal Cap Rates. See “CAP RATE.” You may also obtain the new Cap Rates by accessing the Company’s website at https://www.brighthousefinancial.com/products/rates/ where at least two months of renewal Cap Rates are posted – i.e., for the current month and the following month.</w:t>
      </w:r>
    </w:p>
    <w:p>
      <w:pPr>
        <w:spacing w:after="0" w:line="65" w:lineRule="exact"/>
        <w:rPr>
          <w:sz w:val="20"/>
          <w:szCs w:val="20"/>
          <w:color w:val="auto"/>
        </w:rPr>
      </w:pPr>
    </w:p>
    <w:p>
      <w:pPr>
        <w:jc w:val="both"/>
        <w:ind w:right="2939" w:firstLine="274"/>
        <w:spacing w:after="0" w:line="273" w:lineRule="auto"/>
        <w:rPr>
          <w:sz w:val="20"/>
          <w:szCs w:val="20"/>
          <w:color w:val="auto"/>
        </w:rPr>
      </w:pPr>
      <w:r>
        <w:rPr>
          <w:rFonts w:ascii="Times New Roman" w:cs="Times New Roman" w:eastAsia="Times New Roman" w:hAnsi="Times New Roman"/>
          <w:sz w:val="13"/>
          <w:szCs w:val="13"/>
          <w:color w:val="auto"/>
        </w:rPr>
        <w:t xml:space="preserve">You must notify us if you want to transfer some or all of your Segment Value to a new Indexed Account or to the Fixed Account. </w:t>
      </w:r>
      <w:r>
        <w:rPr>
          <w:rFonts w:ascii="Times New Roman" w:cs="Times New Roman" w:eastAsia="Times New Roman" w:hAnsi="Times New Roman"/>
          <w:sz w:val="13"/>
          <w:szCs w:val="13"/>
          <w:b w:val="1"/>
          <w:bCs w:val="1"/>
          <w:color w:val="auto"/>
        </w:rPr>
        <w:t>The request to transfer must be received at our Administrative Office. See “REQUESTS</w:t>
      </w:r>
    </w:p>
    <w:p>
      <w:pPr>
        <w:spacing w:after="0" w:line="1" w:lineRule="exact"/>
        <w:rPr>
          <w:sz w:val="20"/>
          <w:szCs w:val="20"/>
          <w:color w:val="auto"/>
        </w:rPr>
      </w:pPr>
    </w:p>
    <w:p>
      <w:pPr>
        <w:jc w:val="both"/>
        <w:ind w:right="2939"/>
        <w:spacing w:after="0" w:line="246" w:lineRule="auto"/>
        <w:rPr>
          <w:sz w:val="20"/>
          <w:szCs w:val="20"/>
          <w:color w:val="auto"/>
        </w:rPr>
      </w:pPr>
      <w:r>
        <w:rPr>
          <w:rFonts w:ascii="Times New Roman" w:cs="Times New Roman" w:eastAsia="Times New Roman" w:hAnsi="Times New Roman"/>
          <w:sz w:val="14"/>
          <w:szCs w:val="14"/>
          <w:b w:val="1"/>
          <w:bCs w:val="1"/>
          <w:color w:val="auto"/>
        </w:rPr>
        <w:t xml:space="preserve">AND ELECTIONS.” At the Segment Maturity Date, the Segment Value allocated to the maturing Indexed Account will automatically be renewed into the same Indexed Account unless you instruct us to transfer such amount into a different Indexed Account(s) or the Fixed Account or have elected the automatic Cash Value rebalancing program. </w:t>
      </w:r>
      <w:r>
        <w:rPr>
          <w:rFonts w:ascii="Times New Roman" w:cs="Times New Roman" w:eastAsia="Times New Roman" w:hAnsi="Times New Roman"/>
          <w:sz w:val="14"/>
          <w:szCs w:val="14"/>
          <w:color w:val="auto"/>
        </w:rPr>
        <w:t>Under our current administrative procedures, we will also allow you to make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transfers to and from the Indexed Accounts until the end of the Transfer Period, and we will treat the transfer as if it occurred on the Policy Anniversary. The Buffer Rate is the level of</w:t>
      </w:r>
    </w:p>
    <w:p>
      <w:pPr>
        <w:spacing w:after="0" w:line="202"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9219"/>
          </w:cols>
          <w:pgMar w:left="1240" w:top="1079" w:right="1440"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422275</wp:posOffset>
            </wp:positionV>
            <wp:extent cx="719010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90105" cy="38735"/>
                    </a:xfrm>
                    <a:prstGeom prst="rect">
                      <a:avLst/>
                    </a:prstGeom>
                    <a:noFill/>
                  </pic:spPr>
                </pic:pic>
              </a:graphicData>
            </a:graphic>
          </wp:anchor>
        </w:drawing>
        <w:t>negative Segment Index performance from which the Company will protect you at the Segment Maturity Date.</w:t>
      </w:r>
    </w:p>
    <w:p>
      <w:pPr>
        <w:spacing w:after="0" w:line="15" w:lineRule="exact"/>
        <w:rPr>
          <w:sz w:val="20"/>
          <w:szCs w:val="20"/>
          <w:color w:val="auto"/>
        </w:rPr>
      </w:pPr>
    </w:p>
    <w:p>
      <w:pPr>
        <w:jc w:val="both"/>
        <w:ind w:right="2939"/>
        <w:spacing w:after="0" w:line="247" w:lineRule="auto"/>
        <w:rPr>
          <w:sz w:val="20"/>
          <w:szCs w:val="20"/>
          <w:color w:val="auto"/>
        </w:rPr>
      </w:pPr>
      <w:r>
        <w:rPr>
          <w:rFonts w:ascii="Times New Roman" w:cs="Times New Roman" w:eastAsia="Times New Roman" w:hAnsi="Times New Roman"/>
          <w:sz w:val="14"/>
          <w:szCs w:val="14"/>
          <w:b w:val="1"/>
          <w:bCs w:val="1"/>
          <w:color w:val="auto"/>
        </w:rPr>
        <w:t>You are not protected from any negative performance in excess of the Buffer Rate. For example, if you choose an Indexed Account with a 10% Buffer Rate, we will only protect you from the first 10% of negative Segment Index Performance. If the Segment Index Performance is -50%, you will be credited with a -40% loss.</w:t>
      </w:r>
    </w:p>
    <w:p>
      <w:pPr>
        <w:spacing w:after="0" w:line="66" w:lineRule="exact"/>
        <w:rPr>
          <w:sz w:val="20"/>
          <w:szCs w:val="20"/>
          <w:color w:val="auto"/>
        </w:rPr>
      </w:pPr>
    </w:p>
    <w:p>
      <w:pPr>
        <w:jc w:val="both"/>
        <w:ind w:right="2939" w:firstLine="274"/>
        <w:spacing w:after="0" w:line="267" w:lineRule="auto"/>
        <w:rPr>
          <w:sz w:val="20"/>
          <w:szCs w:val="20"/>
          <w:color w:val="auto"/>
        </w:rPr>
      </w:pPr>
      <w:r>
        <w:rPr>
          <w:rFonts w:ascii="Times New Roman" w:cs="Times New Roman" w:eastAsia="Times New Roman" w:hAnsi="Times New Roman"/>
          <w:sz w:val="14"/>
          <w:szCs w:val="14"/>
          <w:color w:val="auto"/>
        </w:rPr>
        <w:t>The Buffer Rates and Cap Rates accrue during the Segment Term and only reach full accrual on the last day of a Segment Term. The Buffer 100 is always fully accrued.</w:t>
      </w:r>
    </w:p>
    <w:p>
      <w:pPr>
        <w:spacing w:after="0" w:line="53" w:lineRule="exact"/>
        <w:rPr>
          <w:sz w:val="20"/>
          <w:szCs w:val="20"/>
          <w:color w:val="auto"/>
        </w:rPr>
      </w:pPr>
    </w:p>
    <w:p>
      <w:pPr>
        <w:jc w:val="both"/>
        <w:ind w:right="2939" w:firstLine="274"/>
        <w:spacing w:after="0" w:line="268" w:lineRule="auto"/>
        <w:rPr>
          <w:sz w:val="20"/>
          <w:szCs w:val="20"/>
          <w:color w:val="auto"/>
        </w:rPr>
      </w:pPr>
      <w:r>
        <w:rPr>
          <w:rFonts w:ascii="Times New Roman" w:cs="Times New Roman" w:eastAsia="Times New Roman" w:hAnsi="Times New Roman"/>
          <w:sz w:val="13"/>
          <w:szCs w:val="13"/>
          <w:color w:val="auto"/>
        </w:rPr>
        <w:t>The Segment Value is used to determine the amount available for any transaction or reallocation on the Segment Maturity Date. It is the amount that is applied to the Segment at the Segment Start Date, reduced proportionately for an Acceleration of Death Benefit for Terminal Illness (“Accelerated Death Benefit”) payment and any loans that are not Distribution Payments by the same percentage that the loan or payment reduces the Interim Segment Value attributable to that Segment. A proportionate reduction to the Segment Value can be greater than the dollar amount of the transaction when the Segment Performance Rate is negative. The Segment Value is then adjusted, positively or negatively, by the Segment Credit on the Segment Maturity Date. The remaining Segment Value after a loan or Accelerated Death Benefit payment will be used as the new Segment Value for the remainder of the Segment Term or until you take another loan or request an Accelerated Death Benefit payment. The Segment Value is calculated differently than the Interim Segment Value, as described below.</w:t>
      </w:r>
    </w:p>
    <w:p>
      <w:pPr>
        <w:spacing w:after="0" w:line="59" w:lineRule="exact"/>
        <w:rPr>
          <w:sz w:val="20"/>
          <w:szCs w:val="20"/>
          <w:color w:val="auto"/>
        </w:rPr>
      </w:pPr>
    </w:p>
    <w:p>
      <w:pPr>
        <w:jc w:val="both"/>
        <w:ind w:right="2939" w:firstLine="274"/>
        <w:spacing w:after="0" w:line="249" w:lineRule="auto"/>
        <w:rPr>
          <w:sz w:val="20"/>
          <w:szCs w:val="20"/>
          <w:color w:val="auto"/>
        </w:rPr>
      </w:pPr>
      <w:r>
        <w:rPr>
          <w:rFonts w:ascii="Times New Roman" w:cs="Times New Roman" w:eastAsia="Times New Roman" w:hAnsi="Times New Roman"/>
          <w:sz w:val="14"/>
          <w:szCs w:val="14"/>
          <w:color w:val="auto"/>
        </w:rPr>
        <w:t>The value of an investment in a Segment before the Segment Maturity Date (defined in the SPECIAL TERMS section above as “Interim Segment Value”) is the amount we use to determine the Indexed Account Cash Value prior to the Segment Maturity Date. The Indexed Account Cash Value is part of the Cash Value, which determines how much is available for death benefits (including Policy Proceeds and an Accelerated Death Benefit payment), loans (not including loans in connection with Distribution Payments under the GDR), transfers from Indexed Account Cash Value to the Fixed Account if you choose to start (or restart) Distribution Payments under the GDR, and Surrenders (including Surrenders in connection with the Free Look Period).</w:t>
      </w:r>
    </w:p>
    <w:p>
      <w:pPr>
        <w:spacing w:after="0" w:line="65" w:lineRule="exact"/>
        <w:rPr>
          <w:sz w:val="20"/>
          <w:szCs w:val="20"/>
          <w:color w:val="auto"/>
        </w:rPr>
      </w:pPr>
    </w:p>
    <w:p>
      <w:pPr>
        <w:jc w:val="both"/>
        <w:ind w:right="2939" w:firstLine="274"/>
        <w:spacing w:after="0" w:line="248" w:lineRule="auto"/>
        <w:rPr>
          <w:sz w:val="20"/>
          <w:szCs w:val="20"/>
          <w:color w:val="auto"/>
        </w:rPr>
      </w:pPr>
      <w:r>
        <w:rPr>
          <w:rFonts w:ascii="Times New Roman" w:cs="Times New Roman" w:eastAsia="Times New Roman" w:hAnsi="Times New Roman"/>
          <w:sz w:val="14"/>
          <w:szCs w:val="14"/>
          <w:color w:val="auto"/>
        </w:rPr>
        <w:t>To calculate Interim Segment Value, we use the Segment Performance Rate as of the date of the calculation to determine the Segment return (defined in the SPECIAL TERMS section above as “Accrued Index Return”). The Accrued Index Return is added to the current Segment Value amount to determine the Interim Segment Value. If the performance is negative on that date, any negative interest we calculate could be greater than it would be at the end of the term because the Buffer Rate is lower earlier in the term and does not fully accrue until the Segment Maturity Date. If the performance is positive on that date, any positive interest we calculate could be lower than it would be on the Segment Maturity Date because the Cap Rate is lower earlier in the Segment Term and does not fully accrue until the Segment Maturity Date.</w:t>
      </w:r>
    </w:p>
    <w:p>
      <w:pPr>
        <w:spacing w:after="0" w:line="68" w:lineRule="exact"/>
        <w:rPr>
          <w:sz w:val="20"/>
          <w:szCs w:val="20"/>
          <w:color w:val="auto"/>
        </w:rPr>
      </w:pPr>
    </w:p>
    <w:p>
      <w:pPr>
        <w:jc w:val="both"/>
        <w:ind w:right="2939" w:firstLine="274"/>
        <w:spacing w:after="0" w:line="249" w:lineRule="auto"/>
        <w:rPr>
          <w:sz w:val="20"/>
          <w:szCs w:val="20"/>
          <w:color w:val="auto"/>
        </w:rPr>
      </w:pPr>
      <w:r>
        <w:rPr>
          <w:rFonts w:ascii="Times New Roman" w:cs="Times New Roman" w:eastAsia="Times New Roman" w:hAnsi="Times New Roman"/>
          <w:sz w:val="14"/>
          <w:szCs w:val="14"/>
          <w:color w:val="auto"/>
        </w:rPr>
        <w:t xml:space="preserve">An Accelerated Death Benefit payment and a loan that is not a Distribution Payment will reduce the Interim Segment Value by the dollar amount of the transaction and will reduce the current Segment Value by the percentage reduction in the Interim Segment Value </w:t>
      </w:r>
      <w:r>
        <w:rPr>
          <w:rFonts w:ascii="Times New Roman" w:cs="Times New Roman" w:eastAsia="Times New Roman" w:hAnsi="Times New Roman"/>
          <w:sz w:val="14"/>
          <w:szCs w:val="14"/>
          <w:i w:val="1"/>
          <w:iCs w:val="1"/>
          <w:color w:val="auto"/>
        </w:rPr>
        <w:t>(i.e</w:t>
      </w:r>
      <w:r>
        <w:rPr>
          <w:rFonts w:ascii="Times New Roman" w:cs="Times New Roman" w:eastAsia="Times New Roman" w:hAnsi="Times New Roman"/>
          <w:sz w:val="14"/>
          <w:szCs w:val="14"/>
          <w:color w:val="auto"/>
        </w:rPr>
        <w:t>. a proportional reduction). Accordingly, when negative performance has caused the Interim Segment Value to be less than the current Segment Value, the reduction to the Segment is on more than a dollar for dollar basis. On the other hand, when positive performance has caused the Interim Segment Value to be greater than the current Segment Value, the reduction to the Segment is on a less than dollar for dollar basis.</w:t>
      </w:r>
    </w:p>
    <w:p>
      <w:pPr>
        <w:spacing w:after="0" w:line="6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Policy is only available in those states where it has been approved for sale.</w:t>
      </w:r>
    </w:p>
    <w:p>
      <w:pPr>
        <w:spacing w:after="0" w:line="86" w:lineRule="exact"/>
        <w:rPr>
          <w:sz w:val="20"/>
          <w:szCs w:val="20"/>
          <w:color w:val="auto"/>
        </w:rPr>
      </w:pPr>
    </w:p>
    <w:p>
      <w:pPr>
        <w:jc w:val="both"/>
        <w:ind w:right="2939" w:firstLine="274"/>
        <w:spacing w:after="0" w:line="251" w:lineRule="auto"/>
        <w:rPr>
          <w:sz w:val="20"/>
          <w:szCs w:val="20"/>
          <w:color w:val="auto"/>
        </w:rPr>
      </w:pPr>
      <w:r>
        <w:rPr>
          <w:rFonts w:ascii="Times New Roman" w:cs="Times New Roman" w:eastAsia="Times New Roman" w:hAnsi="Times New Roman"/>
          <w:sz w:val="14"/>
          <w:szCs w:val="14"/>
          <w:color w:val="auto"/>
        </w:rPr>
        <w:t>We have the right to substitute a comparable index prior to the Segment Maturity Date if any Index is discontinued or we determine that our use of such Index should be discontinued because we are no longer licensed to use the Index, the method of calculation is substantially changed, or if Index Values become unavailable for any reason. We would attempt to choose a substitute Index that has a similar investment objective and risk profile to the replaced Index. See “Discontinuation or Substantial Change to an Index.”</w:t>
      </w:r>
    </w:p>
    <w:p>
      <w:pPr>
        <w:spacing w:after="0" w:line="63" w:lineRule="exact"/>
        <w:rPr>
          <w:sz w:val="20"/>
          <w:szCs w:val="20"/>
          <w:color w:val="auto"/>
        </w:rPr>
      </w:pPr>
    </w:p>
    <w:p>
      <w:pPr>
        <w:jc w:val="both"/>
        <w:ind w:right="2939" w:firstLine="274"/>
        <w:spacing w:after="0" w:line="267" w:lineRule="auto"/>
        <w:rPr>
          <w:sz w:val="20"/>
          <w:szCs w:val="20"/>
          <w:color w:val="auto"/>
        </w:rPr>
      </w:pPr>
      <w:r>
        <w:rPr>
          <w:rFonts w:ascii="Times New Roman" w:cs="Times New Roman" w:eastAsia="Times New Roman" w:hAnsi="Times New Roman"/>
          <w:sz w:val="14"/>
          <w:szCs w:val="14"/>
          <w:color w:val="auto"/>
        </w:rPr>
        <w:t>See “SPECIAL TERMS” in this prospectus for more detailed explanations of the terms associated with the Indexed Accounts.</w:t>
      </w:r>
    </w:p>
    <w:p>
      <w:pPr>
        <w:spacing w:after="0" w:line="53" w:lineRule="exact"/>
        <w:rPr>
          <w:sz w:val="20"/>
          <w:szCs w:val="20"/>
          <w:color w:val="auto"/>
        </w:rPr>
      </w:pPr>
    </w:p>
    <w:p>
      <w:pPr>
        <w:jc w:val="both"/>
        <w:ind w:right="2939" w:firstLine="274"/>
        <w:spacing w:after="0" w:line="267" w:lineRule="auto"/>
        <w:rPr>
          <w:sz w:val="20"/>
          <w:szCs w:val="20"/>
          <w:color w:val="auto"/>
        </w:rPr>
      </w:pPr>
      <w:r>
        <w:rPr>
          <w:rFonts w:ascii="Times New Roman" w:cs="Times New Roman" w:eastAsia="Times New Roman" w:hAnsi="Times New Roman"/>
          <w:sz w:val="14"/>
          <w:szCs w:val="14"/>
          <w:color w:val="auto"/>
        </w:rPr>
        <w:t>The following chart describes the key features of the Policy. Please read this prospectus for more detailed information about the Policy.</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Key Features of the Policy</w:t>
      </w:r>
    </w:p>
    <w:p>
      <w:pPr>
        <w:spacing w:after="0" w:line="37" w:lineRule="exact"/>
        <w:rPr>
          <w:sz w:val="20"/>
          <w:szCs w:val="20"/>
          <w:color w:val="auto"/>
        </w:rPr>
      </w:pPr>
    </w:p>
    <w:tbl>
      <w:tblPr>
        <w:tblLayout w:type="fixed"/>
        <w:tblInd w:w="10" w:type="dxa"/>
        <w:tblCellMar>
          <w:top w:w="0" w:type="dxa"/>
          <w:left w:w="0" w:type="dxa"/>
          <w:bottom w:w="0" w:type="dxa"/>
          <w:right w:w="0" w:type="dxa"/>
        </w:tblCellMar>
      </w:tblPr>
      <w:tr>
        <w:trPr>
          <w:trHeight w:val="206"/>
        </w:trPr>
        <w:tc>
          <w:tcPr>
            <w:tcW w:w="214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Policy</w:t>
            </w:r>
          </w:p>
        </w:tc>
        <w:tc>
          <w:tcPr>
            <w:tcW w:w="416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Flexible premium adjustable index-linked life insurance policy.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-133350</wp:posOffset>
            </wp:positionV>
            <wp:extent cx="3983990" cy="1238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983990" cy="123825"/>
                    </a:xfrm>
                    <a:prstGeom prst="rect">
                      <a:avLst/>
                    </a:prstGeom>
                    <a:noFill/>
                  </pic:spPr>
                </pic:pic>
              </a:graphicData>
            </a:graphic>
          </wp:anchor>
        </w:drawing>
      </w:r>
    </w:p>
    <w:p>
      <w:pPr>
        <w:spacing w:after="0" w:line="343"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9219"/>
          </w:cols>
          <w:pgMar w:left="1240" w:top="1083" w:right="1440" w:bottom="1440" w:gutter="0" w:footer="0" w:header="0"/>
        </w:sectPr>
      </w:pPr>
    </w:p>
    <w:bookmarkStart w:id="14" w:name="page15"/>
    <w:bookmarkEnd w:id="14"/>
    <w:tbl>
      <w:tblPr>
        <w:tblLayout w:type="fixed"/>
        <w:tblInd w:w="10" w:type="dxa"/>
        <w:tblCellMar>
          <w:top w:w="0" w:type="dxa"/>
          <w:left w:w="0" w:type="dxa"/>
          <w:bottom w:w="0" w:type="dxa"/>
          <w:right w:w="0" w:type="dxa"/>
        </w:tblCellMar>
      </w:tblPr>
      <w:tr>
        <w:trPr>
          <w:trHeight w:val="188"/>
        </w:trPr>
        <w:tc>
          <w:tcPr>
            <w:tcW w:w="184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Premium</w:t>
            </w:r>
          </w:p>
        </w:tc>
        <w:tc>
          <w:tcPr>
            <w:tcW w:w="470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You choose the amount and frequency of premium payments, subject to the</w:t>
            </w:r>
          </w:p>
        </w:tc>
      </w:tr>
      <w:tr>
        <w:trPr>
          <w:trHeight w:val="165"/>
        </w:trPr>
        <w:tc>
          <w:tcPr>
            <w:tcW w:w="1840" w:type="dxa"/>
            <w:vAlign w:val="bottom"/>
            <w:tcBorders>
              <w:left w:val="single" w:sz="8" w:color="auto"/>
              <w:right w:val="single" w:sz="8" w:color="auto"/>
            </w:tcBorders>
          </w:tcPr>
          <w:p>
            <w:pPr>
              <w:spacing w:after="0"/>
              <w:rPr>
                <w:sz w:val="14"/>
                <w:szCs w:val="14"/>
                <w:color w:val="auto"/>
              </w:rPr>
            </w:pPr>
          </w:p>
        </w:tc>
        <w:tc>
          <w:tcPr>
            <w:tcW w:w="47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limits described herein. You select a Planned Premium Payment schedule,</w:t>
            </w:r>
          </w:p>
        </w:tc>
      </w:tr>
      <w:tr>
        <w:trPr>
          <w:trHeight w:val="165"/>
        </w:trPr>
        <w:tc>
          <w:tcPr>
            <w:tcW w:w="1840" w:type="dxa"/>
            <w:vAlign w:val="bottom"/>
            <w:tcBorders>
              <w:left w:val="single" w:sz="8" w:color="auto"/>
              <w:right w:val="single" w:sz="8" w:color="auto"/>
            </w:tcBorders>
          </w:tcPr>
          <w:p>
            <w:pPr>
              <w:spacing w:after="0"/>
              <w:rPr>
                <w:sz w:val="14"/>
                <w:szCs w:val="14"/>
                <w:color w:val="auto"/>
              </w:rPr>
            </w:pPr>
          </w:p>
        </w:tc>
        <w:tc>
          <w:tcPr>
            <w:tcW w:w="47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which consists of a first-year premium amount and an amount for subsequent</w:t>
            </w:r>
          </w:p>
        </w:tc>
      </w:tr>
      <w:tr>
        <w:trPr>
          <w:trHeight w:val="165"/>
        </w:trPr>
        <w:tc>
          <w:tcPr>
            <w:tcW w:w="1840" w:type="dxa"/>
            <w:vAlign w:val="bottom"/>
            <w:tcBorders>
              <w:left w:val="single" w:sz="8" w:color="auto"/>
              <w:right w:val="single" w:sz="8" w:color="auto"/>
            </w:tcBorders>
          </w:tcPr>
          <w:p>
            <w:pPr>
              <w:spacing w:after="0"/>
              <w:rPr>
                <w:sz w:val="14"/>
                <w:szCs w:val="14"/>
                <w:color w:val="auto"/>
              </w:rPr>
            </w:pPr>
          </w:p>
        </w:tc>
        <w:tc>
          <w:tcPr>
            <w:tcW w:w="47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premium payments. You can make Planned Premiums Payments on an annual,</w:t>
            </w:r>
          </w:p>
        </w:tc>
      </w:tr>
      <w:tr>
        <w:trPr>
          <w:trHeight w:val="165"/>
        </w:trPr>
        <w:tc>
          <w:tcPr>
            <w:tcW w:w="1840" w:type="dxa"/>
            <w:vAlign w:val="bottom"/>
            <w:tcBorders>
              <w:left w:val="single" w:sz="8" w:color="auto"/>
              <w:right w:val="single" w:sz="8" w:color="auto"/>
            </w:tcBorders>
          </w:tcPr>
          <w:p>
            <w:pPr>
              <w:spacing w:after="0"/>
              <w:rPr>
                <w:sz w:val="14"/>
                <w:szCs w:val="14"/>
                <w:color w:val="auto"/>
              </w:rPr>
            </w:pPr>
          </w:p>
        </w:tc>
        <w:tc>
          <w:tcPr>
            <w:tcW w:w="47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semi-annual, quarterly, or monthly schedule. No premium payment can be less</w:t>
            </w:r>
          </w:p>
        </w:tc>
      </w:tr>
      <w:tr>
        <w:trPr>
          <w:trHeight w:val="165"/>
        </w:trPr>
        <w:tc>
          <w:tcPr>
            <w:tcW w:w="1840" w:type="dxa"/>
            <w:vAlign w:val="bottom"/>
            <w:tcBorders>
              <w:left w:val="single" w:sz="8" w:color="auto"/>
              <w:right w:val="single" w:sz="8" w:color="auto"/>
            </w:tcBorders>
          </w:tcPr>
          <w:p>
            <w:pPr>
              <w:spacing w:after="0"/>
              <w:rPr>
                <w:sz w:val="14"/>
                <w:szCs w:val="14"/>
                <w:color w:val="auto"/>
              </w:rPr>
            </w:pPr>
          </w:p>
        </w:tc>
        <w:tc>
          <w:tcPr>
            <w:tcW w:w="47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than $1,000, except with our consent. See “PREMIUMS.”</w:t>
            </w:r>
          </w:p>
        </w:tc>
      </w:tr>
      <w:tr>
        <w:trPr>
          <w:trHeight w:val="165"/>
        </w:trPr>
        <w:tc>
          <w:tcPr>
            <w:tcW w:w="1840" w:type="dxa"/>
            <w:vAlign w:val="bottom"/>
            <w:tcBorders>
              <w:left w:val="single" w:sz="8" w:color="auto"/>
              <w:right w:val="single" w:sz="8" w:color="auto"/>
            </w:tcBorders>
          </w:tcPr>
          <w:p>
            <w:pPr>
              <w:spacing w:after="0"/>
              <w:rPr>
                <w:sz w:val="14"/>
                <w:szCs w:val="14"/>
                <w:color w:val="auto"/>
              </w:rPr>
            </w:pPr>
          </w:p>
        </w:tc>
        <w:tc>
          <w:tcPr>
            <w:tcW w:w="47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We will not accept additional premium payments after you start Distribution</w:t>
            </w:r>
          </w:p>
        </w:tc>
      </w:tr>
      <w:tr>
        <w:trPr>
          <w:trHeight w:val="165"/>
        </w:trPr>
        <w:tc>
          <w:tcPr>
            <w:tcW w:w="1840" w:type="dxa"/>
            <w:vAlign w:val="bottom"/>
            <w:tcBorders>
              <w:left w:val="single" w:sz="8" w:color="auto"/>
              <w:right w:val="single" w:sz="8" w:color="auto"/>
            </w:tcBorders>
          </w:tcPr>
          <w:p>
            <w:pPr>
              <w:spacing w:after="0"/>
              <w:rPr>
                <w:sz w:val="14"/>
                <w:szCs w:val="14"/>
                <w:color w:val="auto"/>
              </w:rPr>
            </w:pPr>
          </w:p>
        </w:tc>
        <w:tc>
          <w:tcPr>
            <w:tcW w:w="47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Payments, unless the GDR terminates.</w:t>
            </w:r>
          </w:p>
        </w:tc>
      </w:tr>
      <w:tr>
        <w:trPr>
          <w:trHeight w:val="165"/>
        </w:trPr>
        <w:tc>
          <w:tcPr>
            <w:tcW w:w="1840" w:type="dxa"/>
            <w:vAlign w:val="bottom"/>
            <w:tcBorders>
              <w:left w:val="single" w:sz="8" w:color="auto"/>
              <w:right w:val="single" w:sz="8" w:color="auto"/>
            </w:tcBorders>
          </w:tcPr>
          <w:p>
            <w:pPr>
              <w:spacing w:after="0"/>
              <w:rPr>
                <w:sz w:val="14"/>
                <w:szCs w:val="14"/>
                <w:color w:val="auto"/>
              </w:rPr>
            </w:pPr>
          </w:p>
        </w:tc>
        <w:tc>
          <w:tcPr>
            <w:tcW w:w="47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If you have a loan and we receive a payment from you, we will treat it as a loan</w:t>
            </w:r>
          </w:p>
        </w:tc>
      </w:tr>
      <w:tr>
        <w:trPr>
          <w:trHeight w:val="165"/>
        </w:trPr>
        <w:tc>
          <w:tcPr>
            <w:tcW w:w="1840" w:type="dxa"/>
            <w:vAlign w:val="bottom"/>
            <w:tcBorders>
              <w:left w:val="single" w:sz="8" w:color="auto"/>
              <w:right w:val="single" w:sz="8" w:color="auto"/>
            </w:tcBorders>
          </w:tcPr>
          <w:p>
            <w:pPr>
              <w:spacing w:after="0"/>
              <w:rPr>
                <w:sz w:val="14"/>
                <w:szCs w:val="14"/>
                <w:color w:val="auto"/>
              </w:rPr>
            </w:pPr>
          </w:p>
        </w:tc>
        <w:tc>
          <w:tcPr>
            <w:tcW w:w="47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repayment, unless you request for us to treat it as a premium payment. See</w:t>
            </w:r>
          </w:p>
        </w:tc>
      </w:tr>
      <w:tr>
        <w:trPr>
          <w:trHeight w:val="176"/>
        </w:trPr>
        <w:tc>
          <w:tcPr>
            <w:tcW w:w="1840" w:type="dxa"/>
            <w:vAlign w:val="bottom"/>
            <w:tcBorders>
              <w:left w:val="single" w:sz="8" w:color="auto"/>
              <w:right w:val="single" w:sz="8" w:color="auto"/>
            </w:tcBorders>
          </w:tcPr>
          <w:p>
            <w:pPr>
              <w:spacing w:after="0"/>
              <w:rPr>
                <w:sz w:val="15"/>
                <w:szCs w:val="15"/>
                <w:color w:val="auto"/>
              </w:rPr>
            </w:pPr>
          </w:p>
        </w:tc>
        <w:tc>
          <w:tcPr>
            <w:tcW w:w="47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“Loan Repayment” under “LOANS” and “REQUESTS AND ELECTIONS.”</w:t>
            </w:r>
          </w:p>
        </w:tc>
      </w:tr>
      <w:tr>
        <w:trPr>
          <w:trHeight w:val="22"/>
        </w:trPr>
        <w:tc>
          <w:tcPr>
            <w:tcW w:w="18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700" w:type="dxa"/>
            <w:vAlign w:val="bottom"/>
            <w:tcBorders>
              <w:bottom w:val="single" w:sz="8" w:color="auto"/>
              <w:right w:val="single" w:sz="8" w:color="auto"/>
            </w:tcBorders>
          </w:tcPr>
          <w:p>
            <w:pPr>
              <w:spacing w:after="0" w:line="20" w:lineRule="exact"/>
              <w:rPr>
                <w:sz w:val="1"/>
                <w:szCs w:val="1"/>
                <w:color w:val="auto"/>
              </w:rPr>
            </w:pPr>
          </w:p>
        </w:tc>
      </w:tr>
      <w:tr>
        <w:trPr>
          <w:trHeight w:val="163"/>
        </w:trPr>
        <w:tc>
          <w:tcPr>
            <w:tcW w:w="1840" w:type="dxa"/>
            <w:vAlign w:val="bottom"/>
            <w:tcBorders>
              <w:left w:val="single" w:sz="8" w:color="auto"/>
              <w:right w:val="single" w:sz="8" w:color="auto"/>
            </w:tcBorders>
            <w:shd w:val="clear" w:color="auto" w:fill="F0FFFF"/>
          </w:tcPr>
          <w:p>
            <w:pPr>
              <w:ind w:left="80"/>
              <w:spacing w:after="0"/>
              <w:rPr>
                <w:sz w:val="20"/>
                <w:szCs w:val="20"/>
                <w:color w:val="auto"/>
              </w:rPr>
            </w:pPr>
            <w:r>
              <w:rPr>
                <w:rFonts w:ascii="Times New Roman" w:cs="Times New Roman" w:eastAsia="Times New Roman" w:hAnsi="Times New Roman"/>
                <w:sz w:val="14"/>
                <w:szCs w:val="14"/>
                <w:color w:val="auto"/>
              </w:rPr>
              <w:t>Guaranteed Distribution Rider</w:t>
            </w:r>
          </w:p>
        </w:tc>
        <w:tc>
          <w:tcPr>
            <w:tcW w:w="4700" w:type="dxa"/>
            <w:vAlign w:val="bottom"/>
            <w:tcBorders>
              <w:right w:val="single" w:sz="8" w:color="auto"/>
            </w:tcBorders>
            <w:shd w:val="clear" w:color="auto" w:fill="F0FFFF"/>
          </w:tcPr>
          <w:p>
            <w:pPr>
              <w:ind w:left="80"/>
              <w:spacing w:after="0"/>
              <w:rPr>
                <w:sz w:val="20"/>
                <w:szCs w:val="20"/>
                <w:color w:val="auto"/>
              </w:rPr>
            </w:pPr>
            <w:r>
              <w:rPr>
                <w:rFonts w:ascii="Times New Roman" w:cs="Times New Roman" w:eastAsia="Times New Roman" w:hAnsi="Times New Roman"/>
                <w:sz w:val="14"/>
                <w:szCs w:val="14"/>
                <w:color w:val="auto"/>
              </w:rPr>
              <w:t>The GDR guarantees you will receive distribution payments over a specific</w:t>
            </w:r>
          </w:p>
        </w:tc>
      </w:tr>
      <w:tr>
        <w:trPr>
          <w:trHeight w:val="165"/>
        </w:trPr>
        <w:tc>
          <w:tcPr>
            <w:tcW w:w="1840" w:type="dxa"/>
            <w:vAlign w:val="bottom"/>
            <w:tcBorders>
              <w:left w:val="single" w:sz="8" w:color="auto"/>
              <w:right w:val="single" w:sz="8" w:color="auto"/>
            </w:tcBorders>
            <w:shd w:val="clear" w:color="auto" w:fill="F0FFFF"/>
          </w:tcPr>
          <w:p>
            <w:pPr>
              <w:spacing w:after="0"/>
              <w:rPr>
                <w:sz w:val="14"/>
                <w:szCs w:val="14"/>
                <w:color w:val="auto"/>
              </w:rPr>
            </w:pPr>
          </w:p>
        </w:tc>
        <w:tc>
          <w:tcPr>
            <w:tcW w:w="4700" w:type="dxa"/>
            <w:vAlign w:val="bottom"/>
            <w:tcBorders>
              <w:right w:val="single" w:sz="8" w:color="auto"/>
            </w:tcBorders>
            <w:shd w:val="clear" w:color="auto" w:fill="F0FFFF"/>
          </w:tcPr>
          <w:p>
            <w:pPr>
              <w:ind w:left="80"/>
              <w:spacing w:after="0"/>
              <w:rPr>
                <w:sz w:val="20"/>
                <w:szCs w:val="20"/>
                <w:color w:val="auto"/>
              </w:rPr>
            </w:pPr>
            <w:r>
              <w:rPr>
                <w:rFonts w:ascii="Times New Roman" w:cs="Times New Roman" w:eastAsia="Times New Roman" w:hAnsi="Times New Roman"/>
                <w:sz w:val="14"/>
                <w:szCs w:val="14"/>
                <w:color w:val="auto"/>
              </w:rPr>
              <w:t>period of time. On the Policy Start Date, you may choose when to receive</w:t>
            </w:r>
          </w:p>
        </w:tc>
      </w:tr>
      <w:tr>
        <w:trPr>
          <w:trHeight w:val="165"/>
        </w:trPr>
        <w:tc>
          <w:tcPr>
            <w:tcW w:w="1840" w:type="dxa"/>
            <w:vAlign w:val="bottom"/>
            <w:tcBorders>
              <w:left w:val="single" w:sz="8" w:color="auto"/>
              <w:right w:val="single" w:sz="8" w:color="auto"/>
            </w:tcBorders>
            <w:shd w:val="clear" w:color="auto" w:fill="F0FFFF"/>
          </w:tcPr>
          <w:p>
            <w:pPr>
              <w:spacing w:after="0"/>
              <w:rPr>
                <w:sz w:val="14"/>
                <w:szCs w:val="14"/>
                <w:color w:val="auto"/>
              </w:rPr>
            </w:pPr>
          </w:p>
        </w:tc>
        <w:tc>
          <w:tcPr>
            <w:tcW w:w="4700" w:type="dxa"/>
            <w:vAlign w:val="bottom"/>
            <w:tcBorders>
              <w:right w:val="single" w:sz="8" w:color="auto"/>
            </w:tcBorders>
            <w:shd w:val="clear" w:color="auto" w:fill="F0FFFF"/>
          </w:tcPr>
          <w:p>
            <w:pPr>
              <w:ind w:left="80"/>
              <w:spacing w:after="0"/>
              <w:rPr>
                <w:sz w:val="20"/>
                <w:szCs w:val="20"/>
                <w:color w:val="auto"/>
              </w:rPr>
            </w:pPr>
            <w:r>
              <w:rPr>
                <w:rFonts w:ascii="Times New Roman" w:cs="Times New Roman" w:eastAsia="Times New Roman" w:hAnsi="Times New Roman"/>
                <w:sz w:val="14"/>
                <w:szCs w:val="14"/>
                <w:color w:val="auto"/>
              </w:rPr>
              <w:t>Distribution Payments and the duration (10-year, 20-year or lifetime (up to</w:t>
            </w:r>
          </w:p>
        </w:tc>
      </w:tr>
      <w:tr>
        <w:trPr>
          <w:trHeight w:val="165"/>
        </w:trPr>
        <w:tc>
          <w:tcPr>
            <w:tcW w:w="1840" w:type="dxa"/>
            <w:vAlign w:val="bottom"/>
            <w:tcBorders>
              <w:left w:val="single" w:sz="8" w:color="auto"/>
              <w:right w:val="single" w:sz="8" w:color="auto"/>
            </w:tcBorders>
            <w:shd w:val="clear" w:color="auto" w:fill="F0FFFF"/>
          </w:tcPr>
          <w:p>
            <w:pPr>
              <w:spacing w:after="0"/>
              <w:rPr>
                <w:sz w:val="14"/>
                <w:szCs w:val="14"/>
                <w:color w:val="auto"/>
              </w:rPr>
            </w:pPr>
          </w:p>
        </w:tc>
        <w:tc>
          <w:tcPr>
            <w:tcW w:w="4700" w:type="dxa"/>
            <w:vAlign w:val="bottom"/>
            <w:tcBorders>
              <w:right w:val="single" w:sz="8" w:color="auto"/>
            </w:tcBorders>
            <w:shd w:val="clear" w:color="auto" w:fill="F0FFFF"/>
          </w:tcPr>
          <w:p>
            <w:pPr>
              <w:ind w:left="80"/>
              <w:spacing w:after="0"/>
              <w:rPr>
                <w:sz w:val="20"/>
                <w:szCs w:val="20"/>
                <w:color w:val="auto"/>
              </w:rPr>
            </w:pPr>
            <w:r>
              <w:rPr>
                <w:rFonts w:ascii="Times New Roman" w:cs="Times New Roman" w:eastAsia="Times New Roman" w:hAnsi="Times New Roman"/>
                <w:sz w:val="14"/>
                <w:szCs w:val="14"/>
                <w:color w:val="auto"/>
                <w:w w:val="98"/>
              </w:rPr>
              <w:t>Attained Age 121)). The GDR is automatically included with your Policy, and you</w:t>
            </w:r>
          </w:p>
        </w:tc>
      </w:tr>
      <w:tr>
        <w:trPr>
          <w:trHeight w:val="165"/>
        </w:trPr>
        <w:tc>
          <w:tcPr>
            <w:tcW w:w="1840" w:type="dxa"/>
            <w:vAlign w:val="bottom"/>
            <w:tcBorders>
              <w:left w:val="single" w:sz="8" w:color="auto"/>
              <w:right w:val="single" w:sz="8" w:color="auto"/>
            </w:tcBorders>
            <w:shd w:val="clear" w:color="auto" w:fill="F0FFFF"/>
          </w:tcPr>
          <w:p>
            <w:pPr>
              <w:spacing w:after="0"/>
              <w:rPr>
                <w:sz w:val="14"/>
                <w:szCs w:val="14"/>
                <w:color w:val="auto"/>
              </w:rPr>
            </w:pPr>
          </w:p>
        </w:tc>
        <w:tc>
          <w:tcPr>
            <w:tcW w:w="4700" w:type="dxa"/>
            <w:vAlign w:val="bottom"/>
            <w:tcBorders>
              <w:right w:val="single" w:sz="8" w:color="auto"/>
            </w:tcBorders>
            <w:shd w:val="clear" w:color="auto" w:fill="F0FFFF"/>
          </w:tcPr>
          <w:p>
            <w:pPr>
              <w:ind w:left="80"/>
              <w:spacing w:after="0"/>
              <w:rPr>
                <w:sz w:val="20"/>
                <w:szCs w:val="20"/>
                <w:color w:val="auto"/>
              </w:rPr>
            </w:pPr>
            <w:r>
              <w:rPr>
                <w:rFonts w:ascii="Times New Roman" w:cs="Times New Roman" w:eastAsia="Times New Roman" w:hAnsi="Times New Roman"/>
                <w:sz w:val="14"/>
                <w:szCs w:val="14"/>
                <w:color w:val="auto"/>
              </w:rPr>
              <w:t>pay an annual charge for this benefit. This GDR Charge, which is assessed</w:t>
            </w:r>
          </w:p>
        </w:tc>
      </w:tr>
      <w:tr>
        <w:trPr>
          <w:trHeight w:val="161"/>
        </w:trPr>
        <w:tc>
          <w:tcPr>
            <w:tcW w:w="1840" w:type="dxa"/>
            <w:vAlign w:val="bottom"/>
            <w:tcBorders>
              <w:left w:val="single" w:sz="8" w:color="auto"/>
              <w:right w:val="single" w:sz="8" w:color="auto"/>
            </w:tcBorders>
            <w:shd w:val="clear" w:color="auto" w:fill="F0FFFF"/>
          </w:tcPr>
          <w:p>
            <w:pPr>
              <w:spacing w:after="0"/>
              <w:rPr>
                <w:sz w:val="13"/>
                <w:szCs w:val="13"/>
                <w:color w:val="auto"/>
              </w:rPr>
            </w:pPr>
          </w:p>
        </w:tc>
        <w:tc>
          <w:tcPr>
            <w:tcW w:w="4700" w:type="dxa"/>
            <w:vAlign w:val="bottom"/>
            <w:tcBorders>
              <w:right w:val="single" w:sz="8" w:color="auto"/>
            </w:tcBorders>
            <w:shd w:val="clear" w:color="auto" w:fill="F0FFFF"/>
          </w:tcPr>
          <w:p>
            <w:pPr>
              <w:ind w:left="80"/>
              <w:spacing w:after="0"/>
              <w:rPr>
                <w:sz w:val="20"/>
                <w:szCs w:val="20"/>
                <w:color w:val="auto"/>
              </w:rPr>
            </w:pPr>
            <w:r>
              <w:rPr>
                <w:rFonts w:ascii="Times New Roman" w:cs="Times New Roman" w:eastAsia="Times New Roman" w:hAnsi="Times New Roman"/>
                <w:sz w:val="14"/>
                <w:szCs w:val="14"/>
                <w:color w:val="auto"/>
              </w:rPr>
              <w:t>based on the Cash Value or the Face Amount, will be deducted from your</w:t>
            </w:r>
          </w:p>
        </w:tc>
      </w:tr>
      <w:tr>
        <w:trPr>
          <w:trHeight w:val="165"/>
        </w:trPr>
        <w:tc>
          <w:tcPr>
            <w:tcW w:w="1840" w:type="dxa"/>
            <w:vAlign w:val="bottom"/>
            <w:tcBorders>
              <w:left w:val="single" w:sz="8" w:color="auto"/>
              <w:right w:val="single" w:sz="8" w:color="auto"/>
            </w:tcBorders>
            <w:shd w:val="clear" w:color="auto" w:fill="F0FFFF"/>
          </w:tcPr>
          <w:p>
            <w:pPr>
              <w:spacing w:after="0"/>
              <w:rPr>
                <w:sz w:val="14"/>
                <w:szCs w:val="14"/>
                <w:color w:val="auto"/>
              </w:rPr>
            </w:pPr>
          </w:p>
        </w:tc>
        <w:tc>
          <w:tcPr>
            <w:tcW w:w="4700" w:type="dxa"/>
            <w:vAlign w:val="bottom"/>
            <w:tcBorders>
              <w:right w:val="single" w:sz="8" w:color="auto"/>
            </w:tcBorders>
            <w:shd w:val="clear" w:color="auto" w:fill="F0FFFF"/>
          </w:tcPr>
          <w:p>
            <w:pPr>
              <w:ind w:left="80"/>
              <w:spacing w:after="0"/>
              <w:rPr>
                <w:sz w:val="20"/>
                <w:szCs w:val="20"/>
                <w:color w:val="auto"/>
              </w:rPr>
            </w:pPr>
            <w:r>
              <w:rPr>
                <w:rFonts w:ascii="Times New Roman" w:cs="Times New Roman" w:eastAsia="Times New Roman" w:hAnsi="Times New Roman"/>
                <w:sz w:val="14"/>
                <w:szCs w:val="14"/>
                <w:color w:val="auto"/>
              </w:rPr>
              <w:t xml:space="preserve">Policy’s Cash Value as part of the Annual Deduction. </w:t>
            </w:r>
            <w:r>
              <w:rPr>
                <w:rFonts w:ascii="Times New Roman" w:cs="Times New Roman" w:eastAsia="Times New Roman" w:hAnsi="Times New Roman"/>
                <w:sz w:val="14"/>
                <w:szCs w:val="14"/>
                <w:b w:val="1"/>
                <w:bCs w:val="1"/>
                <w:color w:val="auto"/>
              </w:rPr>
              <w:t>Distribution Payments do</w:t>
            </w:r>
          </w:p>
        </w:tc>
      </w:tr>
      <w:tr>
        <w:trPr>
          <w:trHeight w:val="165"/>
        </w:trPr>
        <w:tc>
          <w:tcPr>
            <w:tcW w:w="1840" w:type="dxa"/>
            <w:vAlign w:val="bottom"/>
            <w:tcBorders>
              <w:left w:val="single" w:sz="8" w:color="auto"/>
              <w:right w:val="single" w:sz="8" w:color="auto"/>
            </w:tcBorders>
            <w:shd w:val="clear" w:color="auto" w:fill="F0FFFF"/>
          </w:tcPr>
          <w:p>
            <w:pPr>
              <w:spacing w:after="0"/>
              <w:rPr>
                <w:sz w:val="14"/>
                <w:szCs w:val="14"/>
                <w:color w:val="auto"/>
              </w:rPr>
            </w:pPr>
          </w:p>
        </w:tc>
        <w:tc>
          <w:tcPr>
            <w:tcW w:w="4700" w:type="dxa"/>
            <w:vAlign w:val="bottom"/>
            <w:tcBorders>
              <w:right w:val="single" w:sz="8" w:color="auto"/>
            </w:tcBorders>
            <w:shd w:val="clear" w:color="auto" w:fill="F0FFFF"/>
          </w:tcPr>
          <w:p>
            <w:pPr>
              <w:ind w:left="80"/>
              <w:spacing w:after="0"/>
              <w:rPr>
                <w:sz w:val="20"/>
                <w:szCs w:val="20"/>
                <w:color w:val="auto"/>
              </w:rPr>
            </w:pPr>
            <w:r>
              <w:rPr>
                <w:rFonts w:ascii="Times New Roman" w:cs="Times New Roman" w:eastAsia="Times New Roman" w:hAnsi="Times New Roman"/>
                <w:sz w:val="14"/>
                <w:szCs w:val="14"/>
                <w:b w:val="1"/>
                <w:bCs w:val="1"/>
                <w:color w:val="auto"/>
              </w:rPr>
              <w:t>not reduce the Face Amount, which means the GDR charge could continue</w:t>
            </w:r>
          </w:p>
        </w:tc>
      </w:tr>
      <w:tr>
        <w:trPr>
          <w:trHeight w:val="165"/>
        </w:trPr>
        <w:tc>
          <w:tcPr>
            <w:tcW w:w="1840" w:type="dxa"/>
            <w:vAlign w:val="bottom"/>
            <w:tcBorders>
              <w:left w:val="single" w:sz="8" w:color="auto"/>
              <w:right w:val="single" w:sz="8" w:color="auto"/>
            </w:tcBorders>
            <w:shd w:val="clear" w:color="auto" w:fill="F0FFFF"/>
          </w:tcPr>
          <w:p>
            <w:pPr>
              <w:spacing w:after="0"/>
              <w:rPr>
                <w:sz w:val="14"/>
                <w:szCs w:val="14"/>
                <w:color w:val="auto"/>
              </w:rPr>
            </w:pPr>
          </w:p>
        </w:tc>
        <w:tc>
          <w:tcPr>
            <w:tcW w:w="4700" w:type="dxa"/>
            <w:vAlign w:val="bottom"/>
            <w:tcBorders>
              <w:right w:val="single" w:sz="8" w:color="auto"/>
            </w:tcBorders>
            <w:shd w:val="clear" w:color="auto" w:fill="F0FFFF"/>
          </w:tcPr>
          <w:p>
            <w:pPr>
              <w:ind w:left="80"/>
              <w:spacing w:after="0"/>
              <w:rPr>
                <w:sz w:val="20"/>
                <w:szCs w:val="20"/>
                <w:color w:val="auto"/>
              </w:rPr>
            </w:pPr>
            <w:r>
              <w:rPr>
                <w:rFonts w:ascii="Times New Roman" w:cs="Times New Roman" w:eastAsia="Times New Roman" w:hAnsi="Times New Roman"/>
                <w:sz w:val="14"/>
                <w:szCs w:val="14"/>
                <w:b w:val="1"/>
                <w:bCs w:val="1"/>
                <w:color w:val="auto"/>
              </w:rPr>
              <w:t>to be based on the full Face Amount even though the Policy Proceeds</w:t>
            </w:r>
          </w:p>
        </w:tc>
      </w:tr>
      <w:tr>
        <w:trPr>
          <w:trHeight w:val="165"/>
        </w:trPr>
        <w:tc>
          <w:tcPr>
            <w:tcW w:w="1840" w:type="dxa"/>
            <w:vAlign w:val="bottom"/>
            <w:tcBorders>
              <w:left w:val="single" w:sz="8" w:color="auto"/>
              <w:right w:val="single" w:sz="8" w:color="auto"/>
            </w:tcBorders>
            <w:shd w:val="clear" w:color="auto" w:fill="F0FFFF"/>
          </w:tcPr>
          <w:p>
            <w:pPr>
              <w:spacing w:after="0"/>
              <w:rPr>
                <w:sz w:val="14"/>
                <w:szCs w:val="14"/>
                <w:color w:val="auto"/>
              </w:rPr>
            </w:pPr>
          </w:p>
        </w:tc>
        <w:tc>
          <w:tcPr>
            <w:tcW w:w="4700" w:type="dxa"/>
            <w:vAlign w:val="bottom"/>
            <w:tcBorders>
              <w:right w:val="single" w:sz="8" w:color="auto"/>
            </w:tcBorders>
            <w:shd w:val="clear" w:color="auto" w:fill="F0FFFF"/>
          </w:tcPr>
          <w:p>
            <w:pPr>
              <w:ind w:left="80"/>
              <w:spacing w:after="0"/>
              <w:rPr>
                <w:sz w:val="20"/>
                <w:szCs w:val="20"/>
                <w:color w:val="auto"/>
              </w:rPr>
            </w:pPr>
            <w:r>
              <w:rPr>
                <w:rFonts w:ascii="Times New Roman" w:cs="Times New Roman" w:eastAsia="Times New Roman" w:hAnsi="Times New Roman"/>
                <w:sz w:val="14"/>
                <w:szCs w:val="14"/>
                <w:b w:val="1"/>
                <w:bCs w:val="1"/>
                <w:color w:val="auto"/>
              </w:rPr>
              <w:t>payable to your beneficiary are reduced because of the Distribution</w:t>
            </w:r>
          </w:p>
        </w:tc>
      </w:tr>
      <w:tr>
        <w:trPr>
          <w:trHeight w:val="169"/>
        </w:trPr>
        <w:tc>
          <w:tcPr>
            <w:tcW w:w="1840" w:type="dxa"/>
            <w:vAlign w:val="bottom"/>
            <w:tcBorders>
              <w:left w:val="single" w:sz="8" w:color="auto"/>
              <w:right w:val="single" w:sz="8" w:color="auto"/>
            </w:tcBorders>
            <w:shd w:val="clear" w:color="auto" w:fill="F0FFFF"/>
          </w:tcPr>
          <w:p>
            <w:pPr>
              <w:spacing w:after="0"/>
              <w:rPr>
                <w:sz w:val="14"/>
                <w:szCs w:val="14"/>
                <w:color w:val="auto"/>
              </w:rPr>
            </w:pPr>
          </w:p>
        </w:tc>
        <w:tc>
          <w:tcPr>
            <w:tcW w:w="4700" w:type="dxa"/>
            <w:vAlign w:val="bottom"/>
            <w:tcBorders>
              <w:right w:val="single" w:sz="8" w:color="auto"/>
            </w:tcBorders>
            <w:shd w:val="clear" w:color="auto" w:fill="F0FFFF"/>
          </w:tcPr>
          <w:p>
            <w:pPr>
              <w:ind w:left="80"/>
              <w:spacing w:after="0"/>
              <w:rPr>
                <w:sz w:val="20"/>
                <w:szCs w:val="20"/>
                <w:color w:val="auto"/>
              </w:rPr>
            </w:pPr>
            <w:r>
              <w:rPr>
                <w:rFonts w:ascii="Times New Roman" w:cs="Times New Roman" w:eastAsia="Times New Roman" w:hAnsi="Times New Roman"/>
                <w:sz w:val="14"/>
                <w:szCs w:val="14"/>
                <w:b w:val="1"/>
                <w:bCs w:val="1"/>
                <w:color w:val="auto"/>
              </w:rPr>
              <w:t>Payments.</w:t>
            </w:r>
          </w:p>
        </w:tc>
      </w:tr>
      <w:tr>
        <w:trPr>
          <w:trHeight w:val="165"/>
        </w:trPr>
        <w:tc>
          <w:tcPr>
            <w:tcW w:w="1840" w:type="dxa"/>
            <w:vAlign w:val="bottom"/>
            <w:tcBorders>
              <w:left w:val="single" w:sz="8" w:color="auto"/>
              <w:right w:val="single" w:sz="8" w:color="auto"/>
            </w:tcBorders>
            <w:shd w:val="clear" w:color="auto" w:fill="F0FFFF"/>
          </w:tcPr>
          <w:p>
            <w:pPr>
              <w:spacing w:after="0"/>
              <w:rPr>
                <w:sz w:val="14"/>
                <w:szCs w:val="14"/>
                <w:color w:val="auto"/>
              </w:rPr>
            </w:pPr>
          </w:p>
        </w:tc>
        <w:tc>
          <w:tcPr>
            <w:tcW w:w="4700" w:type="dxa"/>
            <w:vAlign w:val="bottom"/>
            <w:tcBorders>
              <w:right w:val="single" w:sz="8" w:color="auto"/>
            </w:tcBorders>
            <w:shd w:val="clear" w:color="auto" w:fill="F0FFFF"/>
          </w:tcPr>
          <w:p>
            <w:pPr>
              <w:ind w:left="80"/>
              <w:spacing w:after="0"/>
              <w:rPr>
                <w:sz w:val="20"/>
                <w:szCs w:val="20"/>
                <w:color w:val="auto"/>
              </w:rPr>
            </w:pPr>
            <w:r>
              <w:rPr>
                <w:rFonts w:ascii="Times New Roman" w:cs="Times New Roman" w:eastAsia="Times New Roman" w:hAnsi="Times New Roman"/>
                <w:sz w:val="14"/>
                <w:szCs w:val="14"/>
                <w:color w:val="auto"/>
              </w:rPr>
              <w:t>Once the Policy has been in force for at least 10 years, you are eligible to</w:t>
            </w:r>
          </w:p>
        </w:tc>
      </w:tr>
      <w:tr>
        <w:trPr>
          <w:trHeight w:val="165"/>
        </w:trPr>
        <w:tc>
          <w:tcPr>
            <w:tcW w:w="1840" w:type="dxa"/>
            <w:vAlign w:val="bottom"/>
            <w:tcBorders>
              <w:left w:val="single" w:sz="8" w:color="auto"/>
              <w:right w:val="single" w:sz="8" w:color="auto"/>
            </w:tcBorders>
            <w:shd w:val="clear" w:color="auto" w:fill="F0FFFF"/>
          </w:tcPr>
          <w:p>
            <w:pPr>
              <w:spacing w:after="0"/>
              <w:rPr>
                <w:sz w:val="14"/>
                <w:szCs w:val="14"/>
                <w:color w:val="auto"/>
              </w:rPr>
            </w:pPr>
          </w:p>
        </w:tc>
        <w:tc>
          <w:tcPr>
            <w:tcW w:w="4700" w:type="dxa"/>
            <w:vAlign w:val="bottom"/>
            <w:tcBorders>
              <w:right w:val="single" w:sz="8" w:color="auto"/>
            </w:tcBorders>
            <w:shd w:val="clear" w:color="auto" w:fill="F0FFFF"/>
          </w:tcPr>
          <w:p>
            <w:pPr>
              <w:ind w:left="80"/>
              <w:spacing w:after="0"/>
              <w:rPr>
                <w:sz w:val="20"/>
                <w:szCs w:val="20"/>
                <w:color w:val="auto"/>
              </w:rPr>
            </w:pPr>
            <w:r>
              <w:rPr>
                <w:rFonts w:ascii="Times New Roman" w:cs="Times New Roman" w:eastAsia="Times New Roman" w:hAnsi="Times New Roman"/>
                <w:sz w:val="14"/>
                <w:szCs w:val="14"/>
                <w:color w:val="auto"/>
              </w:rPr>
              <w:t>receive Distribution Payments. The Policy cannot be a MEC, and you must repay</w:t>
            </w:r>
          </w:p>
        </w:tc>
      </w:tr>
      <w:tr>
        <w:trPr>
          <w:trHeight w:val="165"/>
        </w:trPr>
        <w:tc>
          <w:tcPr>
            <w:tcW w:w="1840" w:type="dxa"/>
            <w:vAlign w:val="bottom"/>
            <w:tcBorders>
              <w:left w:val="single" w:sz="8" w:color="auto"/>
              <w:right w:val="single" w:sz="8" w:color="auto"/>
            </w:tcBorders>
            <w:shd w:val="clear" w:color="auto" w:fill="F0FFFF"/>
          </w:tcPr>
          <w:p>
            <w:pPr>
              <w:spacing w:after="0"/>
              <w:rPr>
                <w:sz w:val="14"/>
                <w:szCs w:val="14"/>
                <w:color w:val="auto"/>
              </w:rPr>
            </w:pPr>
          </w:p>
        </w:tc>
        <w:tc>
          <w:tcPr>
            <w:tcW w:w="4700" w:type="dxa"/>
            <w:vAlign w:val="bottom"/>
            <w:tcBorders>
              <w:right w:val="single" w:sz="8" w:color="auto"/>
            </w:tcBorders>
            <w:shd w:val="clear" w:color="auto" w:fill="F0FFFF"/>
          </w:tcPr>
          <w:p>
            <w:pPr>
              <w:ind w:left="80"/>
              <w:spacing w:after="0"/>
              <w:rPr>
                <w:sz w:val="20"/>
                <w:szCs w:val="20"/>
                <w:color w:val="auto"/>
              </w:rPr>
            </w:pPr>
            <w:r>
              <w:rPr>
                <w:rFonts w:ascii="Times New Roman" w:cs="Times New Roman" w:eastAsia="Times New Roman" w:hAnsi="Times New Roman"/>
                <w:sz w:val="14"/>
                <w:szCs w:val="14"/>
                <w:color w:val="auto"/>
              </w:rPr>
              <w:t>any Policy Loan Balance before starting Distribution Payments. Distribution</w:t>
            </w:r>
          </w:p>
        </w:tc>
      </w:tr>
      <w:tr>
        <w:trPr>
          <w:trHeight w:val="165"/>
        </w:trPr>
        <w:tc>
          <w:tcPr>
            <w:tcW w:w="1840" w:type="dxa"/>
            <w:vAlign w:val="bottom"/>
            <w:tcBorders>
              <w:left w:val="single" w:sz="8" w:color="auto"/>
              <w:right w:val="single" w:sz="8" w:color="auto"/>
            </w:tcBorders>
            <w:shd w:val="clear" w:color="auto" w:fill="F0FFFF"/>
          </w:tcPr>
          <w:p>
            <w:pPr>
              <w:spacing w:after="0"/>
              <w:rPr>
                <w:sz w:val="14"/>
                <w:szCs w:val="14"/>
                <w:color w:val="auto"/>
              </w:rPr>
            </w:pPr>
          </w:p>
        </w:tc>
        <w:tc>
          <w:tcPr>
            <w:tcW w:w="4700" w:type="dxa"/>
            <w:vAlign w:val="bottom"/>
            <w:tcBorders>
              <w:right w:val="single" w:sz="8" w:color="auto"/>
            </w:tcBorders>
            <w:shd w:val="clear" w:color="auto" w:fill="F0FFFF"/>
          </w:tcPr>
          <w:p>
            <w:pPr>
              <w:ind w:left="80"/>
              <w:spacing w:after="0"/>
              <w:rPr>
                <w:sz w:val="20"/>
                <w:szCs w:val="20"/>
                <w:color w:val="auto"/>
              </w:rPr>
            </w:pPr>
            <w:r>
              <w:rPr>
                <w:rFonts w:ascii="Times New Roman" w:cs="Times New Roman" w:eastAsia="Times New Roman" w:hAnsi="Times New Roman"/>
                <w:sz w:val="14"/>
                <w:szCs w:val="14"/>
                <w:color w:val="auto"/>
              </w:rPr>
              <w:t>Payments are paid in the form of loans. The Distribution Payments will reduce</w:t>
            </w:r>
          </w:p>
        </w:tc>
      </w:tr>
      <w:tr>
        <w:trPr>
          <w:trHeight w:val="165"/>
        </w:trPr>
        <w:tc>
          <w:tcPr>
            <w:tcW w:w="1840" w:type="dxa"/>
            <w:vAlign w:val="bottom"/>
            <w:tcBorders>
              <w:left w:val="single" w:sz="8" w:color="auto"/>
              <w:right w:val="single" w:sz="8" w:color="auto"/>
            </w:tcBorders>
            <w:shd w:val="clear" w:color="auto" w:fill="F0FFFF"/>
          </w:tcPr>
          <w:p>
            <w:pPr>
              <w:spacing w:after="0"/>
              <w:rPr>
                <w:sz w:val="14"/>
                <w:szCs w:val="14"/>
                <w:color w:val="auto"/>
              </w:rPr>
            </w:pPr>
          </w:p>
        </w:tc>
        <w:tc>
          <w:tcPr>
            <w:tcW w:w="4700" w:type="dxa"/>
            <w:vAlign w:val="bottom"/>
            <w:tcBorders>
              <w:right w:val="single" w:sz="8" w:color="auto"/>
            </w:tcBorders>
            <w:shd w:val="clear" w:color="auto" w:fill="F0FFFF"/>
          </w:tcPr>
          <w:p>
            <w:pPr>
              <w:ind w:left="80"/>
              <w:spacing w:after="0"/>
              <w:rPr>
                <w:sz w:val="20"/>
                <w:szCs w:val="20"/>
                <w:color w:val="auto"/>
              </w:rPr>
            </w:pPr>
            <w:r>
              <w:rPr>
                <w:rFonts w:ascii="Times New Roman" w:cs="Times New Roman" w:eastAsia="Times New Roman" w:hAnsi="Times New Roman"/>
                <w:sz w:val="14"/>
                <w:szCs w:val="14"/>
                <w:color w:val="auto"/>
              </w:rPr>
              <w:t>the Policy’s unloaned Cash Value and the Policy Proceeds payable to your</w:t>
            </w:r>
          </w:p>
        </w:tc>
      </w:tr>
      <w:tr>
        <w:trPr>
          <w:trHeight w:val="165"/>
        </w:trPr>
        <w:tc>
          <w:tcPr>
            <w:tcW w:w="1840" w:type="dxa"/>
            <w:vAlign w:val="bottom"/>
            <w:tcBorders>
              <w:left w:val="single" w:sz="8" w:color="auto"/>
              <w:right w:val="single" w:sz="8" w:color="auto"/>
            </w:tcBorders>
            <w:shd w:val="clear" w:color="auto" w:fill="F0FFFF"/>
          </w:tcPr>
          <w:p>
            <w:pPr>
              <w:spacing w:after="0"/>
              <w:rPr>
                <w:sz w:val="14"/>
                <w:szCs w:val="14"/>
                <w:color w:val="auto"/>
              </w:rPr>
            </w:pPr>
          </w:p>
        </w:tc>
        <w:tc>
          <w:tcPr>
            <w:tcW w:w="4700" w:type="dxa"/>
            <w:vAlign w:val="bottom"/>
            <w:tcBorders>
              <w:right w:val="single" w:sz="8" w:color="auto"/>
            </w:tcBorders>
            <w:shd w:val="clear" w:color="auto" w:fill="F0FFFF"/>
          </w:tcPr>
          <w:p>
            <w:pPr>
              <w:ind w:left="80"/>
              <w:spacing w:after="0"/>
              <w:rPr>
                <w:sz w:val="20"/>
                <w:szCs w:val="20"/>
                <w:color w:val="auto"/>
              </w:rPr>
            </w:pPr>
            <w:r>
              <w:rPr>
                <w:rFonts w:ascii="Times New Roman" w:cs="Times New Roman" w:eastAsia="Times New Roman" w:hAnsi="Times New Roman"/>
                <w:sz w:val="14"/>
                <w:szCs w:val="14"/>
                <w:color w:val="auto"/>
                <w:w w:val="99"/>
              </w:rPr>
              <w:t>beneficiary. However, the GDR also includes a Lifetime Lapse Prevention Benefit</w:t>
            </w:r>
          </w:p>
        </w:tc>
      </w:tr>
      <w:tr>
        <w:trPr>
          <w:trHeight w:val="165"/>
        </w:trPr>
        <w:tc>
          <w:tcPr>
            <w:tcW w:w="1840" w:type="dxa"/>
            <w:vAlign w:val="bottom"/>
            <w:tcBorders>
              <w:left w:val="single" w:sz="8" w:color="auto"/>
              <w:right w:val="single" w:sz="8" w:color="auto"/>
            </w:tcBorders>
            <w:shd w:val="clear" w:color="auto" w:fill="F0FFFF"/>
          </w:tcPr>
          <w:p>
            <w:pPr>
              <w:spacing w:after="0"/>
              <w:rPr>
                <w:sz w:val="14"/>
                <w:szCs w:val="14"/>
                <w:color w:val="auto"/>
              </w:rPr>
            </w:pPr>
          </w:p>
        </w:tc>
        <w:tc>
          <w:tcPr>
            <w:tcW w:w="4700" w:type="dxa"/>
            <w:vAlign w:val="bottom"/>
            <w:tcBorders>
              <w:right w:val="single" w:sz="8" w:color="auto"/>
            </w:tcBorders>
            <w:shd w:val="clear" w:color="auto" w:fill="F0FFFF"/>
          </w:tcPr>
          <w:p>
            <w:pPr>
              <w:ind w:left="80"/>
              <w:spacing w:after="0"/>
              <w:rPr>
                <w:sz w:val="20"/>
                <w:szCs w:val="20"/>
                <w:color w:val="auto"/>
              </w:rPr>
            </w:pPr>
            <w:r>
              <w:rPr>
                <w:rFonts w:ascii="Times New Roman" w:cs="Times New Roman" w:eastAsia="Times New Roman" w:hAnsi="Times New Roman"/>
                <w:sz w:val="14"/>
                <w:szCs w:val="14"/>
                <w:color w:val="auto"/>
              </w:rPr>
              <w:t>and guarantees a minimum amount of Policy Proceeds ($10,000) upon the</w:t>
            </w:r>
          </w:p>
        </w:tc>
      </w:tr>
      <w:tr>
        <w:trPr>
          <w:trHeight w:val="165"/>
        </w:trPr>
        <w:tc>
          <w:tcPr>
            <w:tcW w:w="1840" w:type="dxa"/>
            <w:vAlign w:val="bottom"/>
            <w:tcBorders>
              <w:left w:val="single" w:sz="8" w:color="auto"/>
              <w:right w:val="single" w:sz="8" w:color="auto"/>
            </w:tcBorders>
            <w:shd w:val="clear" w:color="auto" w:fill="F0FFFF"/>
          </w:tcPr>
          <w:p>
            <w:pPr>
              <w:spacing w:after="0"/>
              <w:rPr>
                <w:sz w:val="14"/>
                <w:szCs w:val="14"/>
                <w:color w:val="auto"/>
              </w:rPr>
            </w:pPr>
          </w:p>
        </w:tc>
        <w:tc>
          <w:tcPr>
            <w:tcW w:w="4700" w:type="dxa"/>
            <w:vAlign w:val="bottom"/>
            <w:tcBorders>
              <w:right w:val="single" w:sz="8" w:color="auto"/>
            </w:tcBorders>
            <w:shd w:val="clear" w:color="auto" w:fill="F0FFFF"/>
          </w:tcPr>
          <w:p>
            <w:pPr>
              <w:ind w:left="80"/>
              <w:spacing w:after="0"/>
              <w:rPr>
                <w:sz w:val="20"/>
                <w:szCs w:val="20"/>
                <w:color w:val="auto"/>
              </w:rPr>
            </w:pPr>
            <w:r>
              <w:rPr>
                <w:rFonts w:ascii="Times New Roman" w:cs="Times New Roman" w:eastAsia="Times New Roman" w:hAnsi="Times New Roman"/>
                <w:sz w:val="14"/>
                <w:szCs w:val="14"/>
                <w:color w:val="auto"/>
              </w:rPr>
              <w:t>Insured’s death. If the Cash Value is insufficient to cover Distribution Payments,</w:t>
            </w:r>
          </w:p>
        </w:tc>
      </w:tr>
      <w:tr>
        <w:trPr>
          <w:trHeight w:val="165"/>
        </w:trPr>
        <w:tc>
          <w:tcPr>
            <w:tcW w:w="1840" w:type="dxa"/>
            <w:vAlign w:val="bottom"/>
            <w:tcBorders>
              <w:left w:val="single" w:sz="8" w:color="auto"/>
              <w:right w:val="single" w:sz="8" w:color="auto"/>
            </w:tcBorders>
            <w:shd w:val="clear" w:color="auto" w:fill="F0FFFF"/>
          </w:tcPr>
          <w:p>
            <w:pPr>
              <w:spacing w:after="0"/>
              <w:rPr>
                <w:sz w:val="14"/>
                <w:szCs w:val="14"/>
                <w:color w:val="auto"/>
              </w:rPr>
            </w:pPr>
          </w:p>
        </w:tc>
        <w:tc>
          <w:tcPr>
            <w:tcW w:w="4700" w:type="dxa"/>
            <w:vAlign w:val="bottom"/>
            <w:tcBorders>
              <w:right w:val="single" w:sz="8" w:color="auto"/>
            </w:tcBorders>
            <w:shd w:val="clear" w:color="auto" w:fill="F0FFFF"/>
          </w:tcPr>
          <w:p>
            <w:pPr>
              <w:ind w:left="80"/>
              <w:spacing w:after="0"/>
              <w:rPr>
                <w:sz w:val="20"/>
                <w:szCs w:val="20"/>
                <w:color w:val="auto"/>
              </w:rPr>
            </w:pPr>
            <w:r>
              <w:rPr>
                <w:rFonts w:ascii="Times New Roman" w:cs="Times New Roman" w:eastAsia="Times New Roman" w:hAnsi="Times New Roman"/>
                <w:sz w:val="14"/>
                <w:szCs w:val="14"/>
                <w:color w:val="auto"/>
              </w:rPr>
              <w:t>we will increase the Cash Value in order for the Distribution Payments to</w:t>
            </w:r>
          </w:p>
        </w:tc>
      </w:tr>
      <w:tr>
        <w:trPr>
          <w:trHeight w:val="165"/>
        </w:trPr>
        <w:tc>
          <w:tcPr>
            <w:tcW w:w="1840" w:type="dxa"/>
            <w:vAlign w:val="bottom"/>
            <w:tcBorders>
              <w:left w:val="single" w:sz="8" w:color="auto"/>
              <w:right w:val="single" w:sz="8" w:color="auto"/>
            </w:tcBorders>
            <w:shd w:val="clear" w:color="auto" w:fill="F0FFFF"/>
          </w:tcPr>
          <w:p>
            <w:pPr>
              <w:spacing w:after="0"/>
              <w:rPr>
                <w:sz w:val="14"/>
                <w:szCs w:val="14"/>
                <w:color w:val="auto"/>
              </w:rPr>
            </w:pPr>
          </w:p>
        </w:tc>
        <w:tc>
          <w:tcPr>
            <w:tcW w:w="4700" w:type="dxa"/>
            <w:vAlign w:val="bottom"/>
            <w:tcBorders>
              <w:right w:val="single" w:sz="8" w:color="auto"/>
            </w:tcBorders>
            <w:shd w:val="clear" w:color="auto" w:fill="F0FFFF"/>
          </w:tcPr>
          <w:p>
            <w:pPr>
              <w:ind w:left="80"/>
              <w:spacing w:after="0"/>
              <w:rPr>
                <w:sz w:val="20"/>
                <w:szCs w:val="20"/>
                <w:color w:val="auto"/>
              </w:rPr>
            </w:pPr>
            <w:r>
              <w:rPr>
                <w:rFonts w:ascii="Times New Roman" w:cs="Times New Roman" w:eastAsia="Times New Roman" w:hAnsi="Times New Roman"/>
                <w:sz w:val="14"/>
                <w:szCs w:val="14"/>
                <w:color w:val="auto"/>
              </w:rPr>
              <w:t>continue. All Distribution Payments are subject to the minimum Distribution</w:t>
            </w:r>
          </w:p>
        </w:tc>
      </w:tr>
      <w:tr>
        <w:trPr>
          <w:trHeight w:val="165"/>
        </w:trPr>
        <w:tc>
          <w:tcPr>
            <w:tcW w:w="1840" w:type="dxa"/>
            <w:vAlign w:val="bottom"/>
            <w:tcBorders>
              <w:left w:val="single" w:sz="8" w:color="auto"/>
              <w:right w:val="single" w:sz="8" w:color="auto"/>
            </w:tcBorders>
            <w:shd w:val="clear" w:color="auto" w:fill="F0FFFF"/>
          </w:tcPr>
          <w:p>
            <w:pPr>
              <w:spacing w:after="0"/>
              <w:rPr>
                <w:sz w:val="14"/>
                <w:szCs w:val="14"/>
                <w:color w:val="auto"/>
              </w:rPr>
            </w:pPr>
          </w:p>
        </w:tc>
        <w:tc>
          <w:tcPr>
            <w:tcW w:w="4700" w:type="dxa"/>
            <w:vAlign w:val="bottom"/>
            <w:tcBorders>
              <w:right w:val="single" w:sz="8" w:color="auto"/>
            </w:tcBorders>
            <w:shd w:val="clear" w:color="auto" w:fill="F0FFFF"/>
          </w:tcPr>
          <w:p>
            <w:pPr>
              <w:ind w:left="80"/>
              <w:spacing w:after="0"/>
              <w:rPr>
                <w:sz w:val="20"/>
                <w:szCs w:val="20"/>
                <w:color w:val="auto"/>
              </w:rPr>
            </w:pPr>
            <w:r>
              <w:rPr>
                <w:rFonts w:ascii="Times New Roman" w:cs="Times New Roman" w:eastAsia="Times New Roman" w:hAnsi="Times New Roman"/>
                <w:sz w:val="14"/>
                <w:szCs w:val="14"/>
                <w:color w:val="auto"/>
              </w:rPr>
              <w:t>Payment amount ($250) and Maximum Distribution Payment.</w:t>
            </w:r>
          </w:p>
        </w:tc>
      </w:tr>
      <w:tr>
        <w:trPr>
          <w:trHeight w:val="165"/>
        </w:trPr>
        <w:tc>
          <w:tcPr>
            <w:tcW w:w="1840" w:type="dxa"/>
            <w:vAlign w:val="bottom"/>
            <w:tcBorders>
              <w:left w:val="single" w:sz="8" w:color="auto"/>
              <w:right w:val="single" w:sz="8" w:color="auto"/>
            </w:tcBorders>
            <w:shd w:val="clear" w:color="auto" w:fill="F0FFFF"/>
          </w:tcPr>
          <w:p>
            <w:pPr>
              <w:spacing w:after="0"/>
              <w:rPr>
                <w:sz w:val="14"/>
                <w:szCs w:val="14"/>
                <w:color w:val="auto"/>
              </w:rPr>
            </w:pPr>
          </w:p>
        </w:tc>
        <w:tc>
          <w:tcPr>
            <w:tcW w:w="4700" w:type="dxa"/>
            <w:vAlign w:val="bottom"/>
            <w:tcBorders>
              <w:right w:val="single" w:sz="8" w:color="auto"/>
            </w:tcBorders>
            <w:shd w:val="clear" w:color="auto" w:fill="F0FFFF"/>
          </w:tcPr>
          <w:p>
            <w:pPr>
              <w:ind w:left="80"/>
              <w:spacing w:after="0"/>
              <w:rPr>
                <w:sz w:val="20"/>
                <w:szCs w:val="20"/>
                <w:color w:val="auto"/>
              </w:rPr>
            </w:pPr>
            <w:r>
              <w:rPr>
                <w:rFonts w:ascii="Times New Roman" w:cs="Times New Roman" w:eastAsia="Times New Roman" w:hAnsi="Times New Roman"/>
                <w:sz w:val="14"/>
                <w:szCs w:val="14"/>
                <w:color w:val="auto"/>
              </w:rPr>
              <w:t>The GDR also provides a Lifetime Lapse Prevention Benefit that guarantees the</w:t>
            </w:r>
          </w:p>
        </w:tc>
      </w:tr>
      <w:tr>
        <w:trPr>
          <w:trHeight w:val="165"/>
        </w:trPr>
        <w:tc>
          <w:tcPr>
            <w:tcW w:w="1840" w:type="dxa"/>
            <w:vAlign w:val="bottom"/>
            <w:tcBorders>
              <w:left w:val="single" w:sz="8" w:color="auto"/>
              <w:right w:val="single" w:sz="8" w:color="auto"/>
            </w:tcBorders>
            <w:shd w:val="clear" w:color="auto" w:fill="F0FFFF"/>
          </w:tcPr>
          <w:p>
            <w:pPr>
              <w:spacing w:after="0"/>
              <w:rPr>
                <w:sz w:val="14"/>
                <w:szCs w:val="14"/>
                <w:color w:val="auto"/>
              </w:rPr>
            </w:pPr>
          </w:p>
        </w:tc>
        <w:tc>
          <w:tcPr>
            <w:tcW w:w="4700" w:type="dxa"/>
            <w:vAlign w:val="bottom"/>
            <w:tcBorders>
              <w:right w:val="single" w:sz="8" w:color="auto"/>
            </w:tcBorders>
            <w:shd w:val="clear" w:color="auto" w:fill="F0FFFF"/>
          </w:tcPr>
          <w:p>
            <w:pPr>
              <w:ind w:left="80"/>
              <w:spacing w:after="0"/>
              <w:rPr>
                <w:sz w:val="20"/>
                <w:szCs w:val="20"/>
                <w:color w:val="auto"/>
              </w:rPr>
            </w:pPr>
            <w:r>
              <w:rPr>
                <w:rFonts w:ascii="Times New Roman" w:cs="Times New Roman" w:eastAsia="Times New Roman" w:hAnsi="Times New Roman"/>
                <w:sz w:val="14"/>
                <w:szCs w:val="14"/>
                <w:color w:val="auto"/>
              </w:rPr>
              <w:t>Policy will not lapse while the GDR is in force, provided Annual Lapse</w:t>
            </w:r>
          </w:p>
        </w:tc>
      </w:tr>
      <w:tr>
        <w:trPr>
          <w:trHeight w:val="165"/>
        </w:trPr>
        <w:tc>
          <w:tcPr>
            <w:tcW w:w="1840" w:type="dxa"/>
            <w:vAlign w:val="bottom"/>
            <w:tcBorders>
              <w:left w:val="single" w:sz="8" w:color="auto"/>
              <w:right w:val="single" w:sz="8" w:color="auto"/>
            </w:tcBorders>
            <w:shd w:val="clear" w:color="auto" w:fill="F0FFFF"/>
          </w:tcPr>
          <w:p>
            <w:pPr>
              <w:spacing w:after="0"/>
              <w:rPr>
                <w:sz w:val="14"/>
                <w:szCs w:val="14"/>
                <w:color w:val="auto"/>
              </w:rPr>
            </w:pPr>
          </w:p>
        </w:tc>
        <w:tc>
          <w:tcPr>
            <w:tcW w:w="4700" w:type="dxa"/>
            <w:vAlign w:val="bottom"/>
            <w:tcBorders>
              <w:right w:val="single" w:sz="8" w:color="auto"/>
            </w:tcBorders>
            <w:shd w:val="clear" w:color="auto" w:fill="F0FFFF"/>
          </w:tcPr>
          <w:p>
            <w:pPr>
              <w:ind w:left="80"/>
              <w:spacing w:after="0"/>
              <w:rPr>
                <w:sz w:val="20"/>
                <w:szCs w:val="20"/>
                <w:color w:val="auto"/>
              </w:rPr>
            </w:pPr>
            <w:r>
              <w:rPr>
                <w:rFonts w:ascii="Times New Roman" w:cs="Times New Roman" w:eastAsia="Times New Roman" w:hAnsi="Times New Roman"/>
                <w:sz w:val="14"/>
                <w:szCs w:val="14"/>
                <w:color w:val="auto"/>
              </w:rPr>
              <w:t>Prevention Premiums are paid when due and the Cash Value of the Policy, less</w:t>
            </w:r>
          </w:p>
        </w:tc>
      </w:tr>
      <w:tr>
        <w:trPr>
          <w:trHeight w:val="165"/>
        </w:trPr>
        <w:tc>
          <w:tcPr>
            <w:tcW w:w="1840" w:type="dxa"/>
            <w:vAlign w:val="bottom"/>
            <w:tcBorders>
              <w:left w:val="single" w:sz="8" w:color="auto"/>
              <w:right w:val="single" w:sz="8" w:color="auto"/>
            </w:tcBorders>
            <w:shd w:val="clear" w:color="auto" w:fill="F0FFFF"/>
          </w:tcPr>
          <w:p>
            <w:pPr>
              <w:spacing w:after="0"/>
              <w:rPr>
                <w:sz w:val="14"/>
                <w:szCs w:val="14"/>
                <w:color w:val="auto"/>
              </w:rPr>
            </w:pPr>
          </w:p>
        </w:tc>
        <w:tc>
          <w:tcPr>
            <w:tcW w:w="4700" w:type="dxa"/>
            <w:vAlign w:val="bottom"/>
            <w:tcBorders>
              <w:right w:val="single" w:sz="8" w:color="auto"/>
            </w:tcBorders>
            <w:shd w:val="clear" w:color="auto" w:fill="F0FFFF"/>
          </w:tcPr>
          <w:p>
            <w:pPr>
              <w:ind w:left="80"/>
              <w:spacing w:after="0"/>
              <w:rPr>
                <w:sz w:val="20"/>
                <w:szCs w:val="20"/>
                <w:color w:val="auto"/>
              </w:rPr>
            </w:pPr>
            <w:r>
              <w:rPr>
                <w:rFonts w:ascii="Times New Roman" w:cs="Times New Roman" w:eastAsia="Times New Roman" w:hAnsi="Times New Roman"/>
                <w:sz w:val="14"/>
                <w:szCs w:val="14"/>
                <w:color w:val="auto"/>
              </w:rPr>
              <w:t>any Surrender charge, is more than the outstanding loan amounts plus accrued</w:t>
            </w:r>
          </w:p>
        </w:tc>
      </w:tr>
      <w:tr>
        <w:trPr>
          <w:trHeight w:val="165"/>
        </w:trPr>
        <w:tc>
          <w:tcPr>
            <w:tcW w:w="1840" w:type="dxa"/>
            <w:vAlign w:val="bottom"/>
            <w:tcBorders>
              <w:left w:val="single" w:sz="8" w:color="auto"/>
              <w:right w:val="single" w:sz="8" w:color="auto"/>
            </w:tcBorders>
            <w:shd w:val="clear" w:color="auto" w:fill="F0FFFF"/>
          </w:tcPr>
          <w:p>
            <w:pPr>
              <w:spacing w:after="0"/>
              <w:rPr>
                <w:sz w:val="14"/>
                <w:szCs w:val="14"/>
                <w:color w:val="auto"/>
              </w:rPr>
            </w:pPr>
          </w:p>
        </w:tc>
        <w:tc>
          <w:tcPr>
            <w:tcW w:w="4700" w:type="dxa"/>
            <w:vAlign w:val="bottom"/>
            <w:tcBorders>
              <w:right w:val="single" w:sz="8" w:color="auto"/>
            </w:tcBorders>
            <w:shd w:val="clear" w:color="auto" w:fill="F0FFFF"/>
          </w:tcPr>
          <w:p>
            <w:pPr>
              <w:ind w:left="80"/>
              <w:spacing w:after="0"/>
              <w:rPr>
                <w:sz w:val="20"/>
                <w:szCs w:val="20"/>
                <w:color w:val="auto"/>
              </w:rPr>
            </w:pPr>
            <w:r>
              <w:rPr>
                <w:rFonts w:ascii="Times New Roman" w:cs="Times New Roman" w:eastAsia="Times New Roman" w:hAnsi="Times New Roman"/>
                <w:sz w:val="14"/>
                <w:szCs w:val="14"/>
                <w:color w:val="auto"/>
              </w:rPr>
              <w:t>interest.</w:t>
            </w:r>
          </w:p>
        </w:tc>
      </w:tr>
      <w:tr>
        <w:trPr>
          <w:trHeight w:val="203"/>
        </w:trPr>
        <w:tc>
          <w:tcPr>
            <w:tcW w:w="1840" w:type="dxa"/>
            <w:vAlign w:val="bottom"/>
            <w:tcBorders>
              <w:left w:val="single" w:sz="8" w:color="auto"/>
              <w:bottom w:val="single" w:sz="8" w:color="F0FFFF"/>
              <w:right w:val="single" w:sz="8" w:color="auto"/>
            </w:tcBorders>
            <w:shd w:val="clear" w:color="auto" w:fill="F0FFFF"/>
          </w:tcPr>
          <w:p>
            <w:pPr>
              <w:spacing w:after="0"/>
              <w:rPr>
                <w:sz w:val="17"/>
                <w:szCs w:val="17"/>
                <w:color w:val="auto"/>
              </w:rPr>
            </w:pPr>
          </w:p>
        </w:tc>
        <w:tc>
          <w:tcPr>
            <w:tcW w:w="4700" w:type="dxa"/>
            <w:vAlign w:val="bottom"/>
            <w:tcBorders>
              <w:bottom w:val="single" w:sz="8" w:color="F0FFFF"/>
              <w:right w:val="single" w:sz="8" w:color="auto"/>
            </w:tcBorders>
            <w:shd w:val="clear" w:color="auto" w:fill="F0FFFF"/>
          </w:tcPr>
          <w:p>
            <w:pPr>
              <w:ind w:left="80"/>
              <w:spacing w:after="0"/>
              <w:rPr>
                <w:sz w:val="20"/>
                <w:szCs w:val="20"/>
                <w:color w:val="auto"/>
              </w:rPr>
            </w:pPr>
            <w:r>
              <w:rPr>
                <w:rFonts w:ascii="Times New Roman" w:cs="Times New Roman" w:eastAsia="Times New Roman" w:hAnsi="Times New Roman"/>
                <w:sz w:val="14"/>
                <w:szCs w:val="14"/>
                <w:color w:val="auto"/>
              </w:rPr>
              <w:t>See “GUARANTEED DISTRIBUTION RIDER.”</w:t>
            </w:r>
          </w:p>
        </w:tc>
      </w:tr>
      <w:tr>
        <w:trPr>
          <w:trHeight w:val="174"/>
        </w:trPr>
        <w:tc>
          <w:tcPr>
            <w:tcW w:w="184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Issue Age</w:t>
            </w:r>
          </w:p>
        </w:tc>
        <w:tc>
          <w:tcPr>
            <w:tcW w:w="470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35-65 (see “THE LIFE POLICY”)</w:t>
            </w:r>
          </w:p>
        </w:tc>
      </w:tr>
      <w:tr>
        <w:trPr>
          <w:trHeight w:val="22"/>
        </w:trPr>
        <w:tc>
          <w:tcPr>
            <w:tcW w:w="18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700" w:type="dxa"/>
            <w:vAlign w:val="bottom"/>
            <w:tcBorders>
              <w:bottom w:val="single" w:sz="8" w:color="auto"/>
              <w:right w:val="single" w:sz="8" w:color="auto"/>
            </w:tcBorders>
          </w:tcPr>
          <w:p>
            <w:pPr>
              <w:spacing w:after="0" w:line="20" w:lineRule="exact"/>
              <w:rPr>
                <w:sz w:val="1"/>
                <w:szCs w:val="1"/>
                <w:color w:val="auto"/>
              </w:rPr>
            </w:pPr>
          </w:p>
        </w:tc>
      </w:tr>
      <w:tr>
        <w:trPr>
          <w:trHeight w:val="163"/>
        </w:trPr>
        <w:tc>
          <w:tcPr>
            <w:tcW w:w="1840" w:type="dxa"/>
            <w:vAlign w:val="bottom"/>
            <w:tcBorders>
              <w:left w:val="single" w:sz="8" w:color="auto"/>
              <w:right w:val="single" w:sz="8" w:color="auto"/>
            </w:tcBorders>
            <w:shd w:val="clear" w:color="auto" w:fill="F0FFFF"/>
          </w:tcPr>
          <w:p>
            <w:pPr>
              <w:ind w:left="80"/>
              <w:spacing w:after="0"/>
              <w:rPr>
                <w:sz w:val="20"/>
                <w:szCs w:val="20"/>
                <w:color w:val="auto"/>
              </w:rPr>
            </w:pPr>
            <w:r>
              <w:rPr>
                <w:rFonts w:ascii="Times New Roman" w:cs="Times New Roman" w:eastAsia="Times New Roman" w:hAnsi="Times New Roman"/>
                <w:sz w:val="14"/>
                <w:szCs w:val="14"/>
                <w:color w:val="auto"/>
              </w:rPr>
              <w:t>Cash Value</w:t>
            </w:r>
          </w:p>
        </w:tc>
        <w:tc>
          <w:tcPr>
            <w:tcW w:w="4700" w:type="dxa"/>
            <w:vAlign w:val="bottom"/>
            <w:tcBorders>
              <w:right w:val="single" w:sz="8" w:color="auto"/>
            </w:tcBorders>
            <w:shd w:val="clear" w:color="auto" w:fill="F0FFFF"/>
          </w:tcPr>
          <w:p>
            <w:pPr>
              <w:ind w:left="80"/>
              <w:spacing w:after="0"/>
              <w:rPr>
                <w:sz w:val="20"/>
                <w:szCs w:val="20"/>
                <w:color w:val="auto"/>
              </w:rPr>
            </w:pPr>
            <w:r>
              <w:rPr>
                <w:rFonts w:ascii="Times New Roman" w:cs="Times New Roman" w:eastAsia="Times New Roman" w:hAnsi="Times New Roman"/>
                <w:sz w:val="14"/>
                <w:szCs w:val="14"/>
                <w:color w:val="auto"/>
              </w:rPr>
              <w:t>The total of the Fixed Account, Holding Accounts, Indexed Accounts, and the</w:t>
            </w:r>
          </w:p>
        </w:tc>
      </w:tr>
      <w:tr>
        <w:trPr>
          <w:trHeight w:val="203"/>
        </w:trPr>
        <w:tc>
          <w:tcPr>
            <w:tcW w:w="1840" w:type="dxa"/>
            <w:vAlign w:val="bottom"/>
            <w:tcBorders>
              <w:left w:val="single" w:sz="8" w:color="auto"/>
              <w:bottom w:val="single" w:sz="8" w:color="F0FFFF"/>
              <w:right w:val="single" w:sz="8" w:color="auto"/>
            </w:tcBorders>
            <w:shd w:val="clear" w:color="auto" w:fill="F0FFFF"/>
          </w:tcPr>
          <w:p>
            <w:pPr>
              <w:spacing w:after="0"/>
              <w:rPr>
                <w:sz w:val="17"/>
                <w:szCs w:val="17"/>
                <w:color w:val="auto"/>
              </w:rPr>
            </w:pPr>
          </w:p>
        </w:tc>
        <w:tc>
          <w:tcPr>
            <w:tcW w:w="4700" w:type="dxa"/>
            <w:vAlign w:val="bottom"/>
            <w:tcBorders>
              <w:bottom w:val="single" w:sz="8" w:color="F0FFFF"/>
              <w:right w:val="single" w:sz="8" w:color="auto"/>
            </w:tcBorders>
            <w:shd w:val="clear" w:color="auto" w:fill="F0FFFF"/>
          </w:tcPr>
          <w:p>
            <w:pPr>
              <w:ind w:left="80"/>
              <w:spacing w:after="0"/>
              <w:rPr>
                <w:sz w:val="20"/>
                <w:szCs w:val="20"/>
                <w:color w:val="auto"/>
              </w:rPr>
            </w:pPr>
            <w:r>
              <w:rPr>
                <w:rFonts w:ascii="Times New Roman" w:cs="Times New Roman" w:eastAsia="Times New Roman" w:hAnsi="Times New Roman"/>
                <w:sz w:val="14"/>
                <w:szCs w:val="14"/>
                <w:color w:val="auto"/>
              </w:rPr>
              <w:t>Loan Account. See “CASH VALUE.”</w:t>
            </w:r>
          </w:p>
        </w:tc>
      </w:tr>
      <w:tr>
        <w:trPr>
          <w:trHeight w:val="163"/>
        </w:trPr>
        <w:tc>
          <w:tcPr>
            <w:tcW w:w="184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Indexed Account</w:t>
            </w:r>
          </w:p>
        </w:tc>
        <w:tc>
          <w:tcPr>
            <w:tcW w:w="470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An Indexed Account provides the opportunity to link your investments to the</w:t>
            </w:r>
          </w:p>
        </w:tc>
      </w:tr>
      <w:tr>
        <w:trPr>
          <w:trHeight w:val="165"/>
        </w:trPr>
        <w:tc>
          <w:tcPr>
            <w:tcW w:w="1840" w:type="dxa"/>
            <w:vAlign w:val="bottom"/>
            <w:tcBorders>
              <w:left w:val="single" w:sz="8" w:color="auto"/>
              <w:right w:val="single" w:sz="8" w:color="auto"/>
            </w:tcBorders>
          </w:tcPr>
          <w:p>
            <w:pPr>
              <w:spacing w:after="0"/>
              <w:rPr>
                <w:sz w:val="14"/>
                <w:szCs w:val="14"/>
                <w:color w:val="auto"/>
              </w:rPr>
            </w:pPr>
          </w:p>
        </w:tc>
        <w:tc>
          <w:tcPr>
            <w:tcW w:w="47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return of an Index. Each Indexed Account has the following Indexed Account</w:t>
            </w:r>
          </w:p>
        </w:tc>
      </w:tr>
      <w:tr>
        <w:trPr>
          <w:trHeight w:val="165"/>
        </w:trPr>
        <w:tc>
          <w:tcPr>
            <w:tcW w:w="1840" w:type="dxa"/>
            <w:vAlign w:val="bottom"/>
            <w:tcBorders>
              <w:left w:val="single" w:sz="8" w:color="auto"/>
              <w:right w:val="single" w:sz="8" w:color="auto"/>
            </w:tcBorders>
          </w:tcPr>
          <w:p>
            <w:pPr>
              <w:spacing w:after="0"/>
              <w:rPr>
                <w:sz w:val="14"/>
                <w:szCs w:val="14"/>
                <w:color w:val="auto"/>
              </w:rPr>
            </w:pPr>
          </w:p>
        </w:tc>
        <w:tc>
          <w:tcPr>
            <w:tcW w:w="47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Factors: Index, Segment Term, Holding Account interest rate, a Buffer Rate, and</w:t>
            </w:r>
          </w:p>
        </w:tc>
      </w:tr>
      <w:tr>
        <w:trPr>
          <w:trHeight w:val="165"/>
        </w:trPr>
        <w:tc>
          <w:tcPr>
            <w:tcW w:w="1840" w:type="dxa"/>
            <w:vAlign w:val="bottom"/>
            <w:tcBorders>
              <w:left w:val="single" w:sz="8" w:color="auto"/>
              <w:right w:val="single" w:sz="8" w:color="auto"/>
            </w:tcBorders>
          </w:tcPr>
          <w:p>
            <w:pPr>
              <w:spacing w:after="0"/>
              <w:rPr>
                <w:sz w:val="14"/>
                <w:szCs w:val="14"/>
                <w:color w:val="auto"/>
              </w:rPr>
            </w:pPr>
          </w:p>
        </w:tc>
        <w:tc>
          <w:tcPr>
            <w:tcW w:w="47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a Cap Rate. For each Indexed Account, the Indexed Account Factors, except for</w:t>
            </w:r>
          </w:p>
        </w:tc>
      </w:tr>
      <w:tr>
        <w:trPr>
          <w:trHeight w:val="165"/>
        </w:trPr>
        <w:tc>
          <w:tcPr>
            <w:tcW w:w="1840" w:type="dxa"/>
            <w:vAlign w:val="bottom"/>
            <w:tcBorders>
              <w:left w:val="single" w:sz="8" w:color="auto"/>
              <w:right w:val="single" w:sz="8" w:color="auto"/>
            </w:tcBorders>
          </w:tcPr>
          <w:p>
            <w:pPr>
              <w:spacing w:after="0"/>
              <w:rPr>
                <w:sz w:val="14"/>
                <w:szCs w:val="14"/>
                <w:color w:val="auto"/>
              </w:rPr>
            </w:pPr>
          </w:p>
        </w:tc>
        <w:tc>
          <w:tcPr>
            <w:tcW w:w="47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the Holding Account interest rate, apply from the Segment Start Date to the</w:t>
            </w:r>
          </w:p>
        </w:tc>
      </w:tr>
      <w:tr>
        <w:trPr>
          <w:trHeight w:val="176"/>
        </w:trPr>
        <w:tc>
          <w:tcPr>
            <w:tcW w:w="1840" w:type="dxa"/>
            <w:vAlign w:val="bottom"/>
            <w:tcBorders>
              <w:left w:val="single" w:sz="8" w:color="auto"/>
              <w:right w:val="single" w:sz="8" w:color="auto"/>
            </w:tcBorders>
          </w:tcPr>
          <w:p>
            <w:pPr>
              <w:spacing w:after="0"/>
              <w:rPr>
                <w:sz w:val="15"/>
                <w:szCs w:val="15"/>
                <w:color w:val="auto"/>
              </w:rPr>
            </w:pPr>
          </w:p>
        </w:tc>
        <w:tc>
          <w:tcPr>
            <w:tcW w:w="47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Segment Maturity Date. See “INDEXED ACCOUNTS.”</w:t>
            </w:r>
          </w:p>
        </w:tc>
      </w:tr>
      <w:tr>
        <w:trPr>
          <w:trHeight w:val="22"/>
        </w:trPr>
        <w:tc>
          <w:tcPr>
            <w:tcW w:w="18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700" w:type="dxa"/>
            <w:vAlign w:val="bottom"/>
            <w:tcBorders>
              <w:bottom w:val="single" w:sz="8" w:color="auto"/>
              <w:right w:val="single" w:sz="8" w:color="auto"/>
            </w:tcBorders>
          </w:tcPr>
          <w:p>
            <w:pPr>
              <w:spacing w:after="0" w:line="20" w:lineRule="exact"/>
              <w:rPr>
                <w:sz w:val="1"/>
                <w:szCs w:val="1"/>
                <w:color w:val="auto"/>
              </w:rPr>
            </w:pPr>
          </w:p>
        </w:tc>
      </w:tr>
      <w:tr>
        <w:trPr>
          <w:trHeight w:val="201"/>
        </w:trPr>
        <w:tc>
          <w:tcPr>
            <w:tcW w:w="1840" w:type="dxa"/>
            <w:vAlign w:val="bottom"/>
            <w:tcBorders>
              <w:left w:val="single" w:sz="8" w:color="auto"/>
              <w:bottom w:val="single" w:sz="8" w:color="F0FFFF"/>
              <w:right w:val="single" w:sz="8" w:color="auto"/>
            </w:tcBorders>
            <w:shd w:val="clear" w:color="auto" w:fill="F0FFFF"/>
          </w:tcPr>
          <w:p>
            <w:pPr>
              <w:ind w:left="220"/>
              <w:spacing w:after="0"/>
              <w:rPr>
                <w:sz w:val="20"/>
                <w:szCs w:val="20"/>
                <w:color w:val="auto"/>
              </w:rPr>
            </w:pPr>
            <w:r>
              <w:rPr>
                <w:rFonts w:ascii="Times New Roman" w:cs="Times New Roman" w:eastAsia="Times New Roman" w:hAnsi="Times New Roman"/>
                <w:sz w:val="14"/>
                <w:szCs w:val="14"/>
                <w:color w:val="auto"/>
              </w:rPr>
              <w:t>Segment Term</w:t>
            </w:r>
          </w:p>
        </w:tc>
        <w:tc>
          <w:tcPr>
            <w:tcW w:w="4700" w:type="dxa"/>
            <w:vAlign w:val="bottom"/>
            <w:tcBorders>
              <w:bottom w:val="single" w:sz="8" w:color="F0FFFF"/>
              <w:right w:val="single" w:sz="8" w:color="auto"/>
            </w:tcBorders>
            <w:shd w:val="clear" w:color="auto" w:fill="F0FFFF"/>
          </w:tcPr>
          <w:p>
            <w:pPr>
              <w:ind w:left="80"/>
              <w:spacing w:after="0"/>
              <w:rPr>
                <w:sz w:val="20"/>
                <w:szCs w:val="20"/>
                <w:color w:val="auto"/>
              </w:rPr>
            </w:pPr>
            <w:r>
              <w:rPr>
                <w:rFonts w:ascii="Times New Roman" w:cs="Times New Roman" w:eastAsia="Times New Roman" w:hAnsi="Times New Roman"/>
                <w:sz w:val="14"/>
                <w:szCs w:val="14"/>
                <w:color w:val="auto"/>
              </w:rPr>
              <w:t>All Segment Terms are 1 year. See “SEGMENT TERM.”</w:t>
            </w:r>
          </w:p>
        </w:tc>
      </w:tr>
      <w:tr>
        <w:trPr>
          <w:trHeight w:val="127"/>
        </w:trPr>
        <w:tc>
          <w:tcPr>
            <w:tcW w:w="1840" w:type="dxa"/>
            <w:vAlign w:val="bottom"/>
            <w:tcBorders>
              <w:top w:val="single" w:sz="8" w:color="auto"/>
              <w:left w:val="single" w:sz="8" w:color="auto"/>
              <w:right w:val="single" w:sz="8" w:color="auto"/>
            </w:tcBorders>
          </w:tcPr>
          <w:p>
            <w:pPr>
              <w:ind w:left="220"/>
              <w:spacing w:after="0" w:line="127" w:lineRule="exact"/>
              <w:rPr>
                <w:sz w:val="20"/>
                <w:szCs w:val="20"/>
                <w:color w:val="auto"/>
              </w:rPr>
            </w:pPr>
            <w:r>
              <w:rPr>
                <w:rFonts w:ascii="Times New Roman" w:cs="Times New Roman" w:eastAsia="Times New Roman" w:hAnsi="Times New Roman"/>
                <w:sz w:val="14"/>
                <w:szCs w:val="14"/>
                <w:color w:val="auto"/>
              </w:rPr>
              <w:t>Index</w:t>
            </w:r>
          </w:p>
        </w:tc>
        <w:tc>
          <w:tcPr>
            <w:tcW w:w="4700" w:type="dxa"/>
            <w:vAlign w:val="bottom"/>
            <w:tcBorders>
              <w:top w:val="single" w:sz="8" w:color="auto"/>
              <w:right w:val="single" w:sz="8" w:color="auto"/>
            </w:tcBorders>
          </w:tcPr>
          <w:p>
            <w:pPr>
              <w:ind w:left="80"/>
              <w:spacing w:after="0" w:line="127" w:lineRule="exact"/>
              <w:rPr>
                <w:sz w:val="20"/>
                <w:szCs w:val="20"/>
                <w:color w:val="auto"/>
              </w:rPr>
            </w:pPr>
            <w:r>
              <w:rPr>
                <w:rFonts w:ascii="Times New Roman" w:cs="Times New Roman" w:eastAsia="Times New Roman" w:hAnsi="Times New Roman"/>
                <w:sz w:val="14"/>
                <w:szCs w:val="14"/>
                <w:color w:val="auto"/>
              </w:rPr>
              <w:t>The current Indices are as follows:</w:t>
            </w:r>
          </w:p>
        </w:tc>
      </w:tr>
      <w:tr>
        <w:trPr>
          <w:trHeight w:val="165"/>
        </w:trPr>
        <w:tc>
          <w:tcPr>
            <w:tcW w:w="1840" w:type="dxa"/>
            <w:vAlign w:val="bottom"/>
            <w:tcBorders>
              <w:left w:val="single" w:sz="8" w:color="auto"/>
              <w:right w:val="single" w:sz="8" w:color="auto"/>
            </w:tcBorders>
          </w:tcPr>
          <w:p>
            <w:pPr>
              <w:spacing w:after="0"/>
              <w:rPr>
                <w:sz w:val="14"/>
                <w:szCs w:val="14"/>
                <w:color w:val="auto"/>
              </w:rPr>
            </w:pPr>
          </w:p>
        </w:tc>
        <w:tc>
          <w:tcPr>
            <w:tcW w:w="4700" w:type="dxa"/>
            <w:vAlign w:val="bottom"/>
            <w:tcBorders>
              <w:right w:val="single" w:sz="8" w:color="auto"/>
            </w:tcBorders>
          </w:tcPr>
          <w:p>
            <w:pPr>
              <w:ind w:left="220"/>
              <w:spacing w:after="0" w:line="165" w:lineRule="exact"/>
              <w:rPr>
                <w:sz w:val="20"/>
                <w:szCs w:val="20"/>
                <w:color w:val="auto"/>
              </w:rPr>
            </w:pPr>
            <w:r>
              <w:rPr>
                <w:rFonts w:ascii="Times New Roman" w:cs="Times New Roman" w:eastAsia="Times New Roman" w:hAnsi="Times New Roman"/>
                <w:sz w:val="14"/>
                <w:szCs w:val="14"/>
                <w:color w:val="auto"/>
              </w:rPr>
              <w:t>•   S&amp;P 500</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4"/>
                <w:szCs w:val="14"/>
                <w:color w:val="auto"/>
              </w:rPr>
              <w:t xml:space="preserve"> Index (Price Return Index);</w:t>
            </w:r>
          </w:p>
        </w:tc>
      </w:tr>
      <w:tr>
        <w:trPr>
          <w:trHeight w:val="169"/>
        </w:trPr>
        <w:tc>
          <w:tcPr>
            <w:tcW w:w="1840" w:type="dxa"/>
            <w:vAlign w:val="bottom"/>
            <w:tcBorders>
              <w:left w:val="single" w:sz="8" w:color="auto"/>
              <w:right w:val="single" w:sz="8" w:color="auto"/>
            </w:tcBorders>
          </w:tcPr>
          <w:p>
            <w:pPr>
              <w:spacing w:after="0"/>
              <w:rPr>
                <w:sz w:val="14"/>
                <w:szCs w:val="14"/>
                <w:color w:val="auto"/>
              </w:rPr>
            </w:pPr>
          </w:p>
        </w:tc>
        <w:tc>
          <w:tcPr>
            <w:tcW w:w="4700" w:type="dxa"/>
            <w:vAlign w:val="bottom"/>
            <w:tcBorders>
              <w:right w:val="single" w:sz="8" w:color="auto"/>
            </w:tcBorders>
          </w:tcPr>
          <w:p>
            <w:pPr>
              <w:ind w:left="220"/>
              <w:spacing w:after="0" w:line="169" w:lineRule="exact"/>
              <w:rPr>
                <w:sz w:val="20"/>
                <w:szCs w:val="20"/>
                <w:color w:val="auto"/>
              </w:rPr>
            </w:pPr>
            <w:r>
              <w:rPr>
                <w:rFonts w:ascii="Times New Roman" w:cs="Times New Roman" w:eastAsia="Times New Roman" w:hAnsi="Times New Roman"/>
                <w:sz w:val="14"/>
                <w:szCs w:val="14"/>
                <w:color w:val="auto"/>
              </w:rPr>
              <w:t>•   Russell 2000</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4"/>
                <w:szCs w:val="14"/>
                <w:color w:val="auto"/>
              </w:rPr>
              <w:t xml:space="preserve"> Index (Price Return Index); and</w:t>
            </w:r>
          </w:p>
        </w:tc>
      </w:tr>
      <w:tr>
        <w:trPr>
          <w:trHeight w:val="154"/>
        </w:trPr>
        <w:tc>
          <w:tcPr>
            <w:tcW w:w="1840" w:type="dxa"/>
            <w:vAlign w:val="bottom"/>
            <w:tcBorders>
              <w:left w:val="single" w:sz="8" w:color="auto"/>
              <w:right w:val="single" w:sz="8" w:color="auto"/>
            </w:tcBorders>
          </w:tcPr>
          <w:p>
            <w:pPr>
              <w:spacing w:after="0"/>
              <w:rPr>
                <w:sz w:val="13"/>
                <w:szCs w:val="13"/>
                <w:color w:val="auto"/>
              </w:rPr>
            </w:pPr>
          </w:p>
        </w:tc>
        <w:tc>
          <w:tcPr>
            <w:tcW w:w="4700" w:type="dxa"/>
            <w:vAlign w:val="bottom"/>
            <w:tcBorders>
              <w:right w:val="single" w:sz="8" w:color="auto"/>
            </w:tcBorders>
          </w:tcPr>
          <w:p>
            <w:pPr>
              <w:ind w:left="220"/>
              <w:spacing w:after="0" w:line="155" w:lineRule="exact"/>
              <w:rPr>
                <w:sz w:val="20"/>
                <w:szCs w:val="20"/>
                <w:color w:val="auto"/>
              </w:rPr>
            </w:pPr>
            <w:r>
              <w:rPr>
                <w:rFonts w:ascii="Times New Roman" w:cs="Times New Roman" w:eastAsia="Times New Roman" w:hAnsi="Times New Roman"/>
                <w:sz w:val="14"/>
                <w:szCs w:val="14"/>
                <w:color w:val="auto"/>
              </w:rPr>
              <w:t>•   MSCI EAFE Index (Price Return Index).</w:t>
            </w:r>
          </w:p>
        </w:tc>
      </w:tr>
      <w:tr>
        <w:trPr>
          <w:trHeight w:val="176"/>
        </w:trPr>
        <w:tc>
          <w:tcPr>
            <w:tcW w:w="1840" w:type="dxa"/>
            <w:vAlign w:val="bottom"/>
            <w:tcBorders>
              <w:left w:val="single" w:sz="8" w:color="auto"/>
              <w:right w:val="single" w:sz="8" w:color="auto"/>
            </w:tcBorders>
          </w:tcPr>
          <w:p>
            <w:pPr>
              <w:spacing w:after="0"/>
              <w:rPr>
                <w:sz w:val="15"/>
                <w:szCs w:val="15"/>
                <w:color w:val="auto"/>
              </w:rPr>
            </w:pPr>
          </w:p>
        </w:tc>
        <w:tc>
          <w:tcPr>
            <w:tcW w:w="47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See “INDICES.”</w:t>
            </w:r>
          </w:p>
        </w:tc>
      </w:tr>
      <w:tr>
        <w:trPr>
          <w:trHeight w:val="48"/>
        </w:trPr>
        <w:tc>
          <w:tcPr>
            <w:tcW w:w="1840" w:type="dxa"/>
            <w:vAlign w:val="bottom"/>
            <w:tcBorders>
              <w:left w:val="single" w:sz="8" w:color="auto"/>
              <w:bottom w:val="single" w:sz="8" w:color="auto"/>
              <w:right w:val="single" w:sz="8" w:color="auto"/>
            </w:tcBorders>
          </w:tcPr>
          <w:p>
            <w:pPr>
              <w:spacing w:after="0"/>
              <w:rPr>
                <w:sz w:val="4"/>
                <w:szCs w:val="4"/>
                <w:color w:val="auto"/>
              </w:rPr>
            </w:pPr>
          </w:p>
        </w:tc>
        <w:tc>
          <w:tcPr>
            <w:tcW w:w="4700" w:type="dxa"/>
            <w:vAlign w:val="bottom"/>
            <w:tcBorders>
              <w:bottom w:val="single" w:sz="8" w:color="auto"/>
              <w:right w:val="single" w:sz="8" w:color="auto"/>
            </w:tcBorders>
          </w:tcPr>
          <w:p>
            <w:pPr>
              <w:spacing w:after="0"/>
              <w:rPr>
                <w:sz w:val="4"/>
                <w:szCs w:val="4"/>
                <w:color w:val="auto"/>
              </w:rPr>
            </w:pPr>
          </w:p>
        </w:tc>
      </w:tr>
      <w:tr>
        <w:trPr>
          <w:trHeight w:val="683"/>
        </w:trPr>
        <w:tc>
          <w:tcPr>
            <w:tcW w:w="1840" w:type="dxa"/>
            <w:vAlign w:val="bottom"/>
          </w:tcPr>
          <w:p>
            <w:pPr>
              <w:spacing w:after="0"/>
              <w:rPr>
                <w:sz w:val="24"/>
                <w:szCs w:val="24"/>
                <w:color w:val="auto"/>
              </w:rPr>
            </w:pPr>
          </w:p>
        </w:tc>
        <w:tc>
          <w:tcPr>
            <w:tcW w:w="4700" w:type="dxa"/>
            <w:vAlign w:val="bottom"/>
          </w:tcPr>
          <w:p>
            <w:pPr>
              <w:ind w:left="1240"/>
              <w:spacing w:after="0"/>
              <w:rPr>
                <w:sz w:val="20"/>
                <w:szCs w:val="20"/>
                <w:color w:val="auto"/>
              </w:rPr>
            </w:pPr>
            <w:r>
              <w:rPr>
                <w:rFonts w:ascii="Times New Roman" w:cs="Times New Roman" w:eastAsia="Times New Roman" w:hAnsi="Times New Roman"/>
                <w:sz w:val="14"/>
                <w:szCs w:val="14"/>
                <w:color w:val="auto"/>
              </w:rPr>
              <w:t>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179070</wp:posOffset>
            </wp:positionH>
            <wp:positionV relativeFrom="page">
              <wp:posOffset>422275</wp:posOffset>
            </wp:positionV>
            <wp:extent cx="719010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90105" cy="3873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-6301740</wp:posOffset>
            </wp:positionV>
            <wp:extent cx="4134485" cy="11823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134485" cy="118237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-2160270</wp:posOffset>
            </wp:positionV>
            <wp:extent cx="4134485"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134485" cy="13716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-1781810</wp:posOffset>
            </wp:positionV>
            <wp:extent cx="4134485" cy="6597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134485" cy="65976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-984885</wp:posOffset>
            </wp:positionV>
            <wp:extent cx="4134485" cy="5422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134485" cy="542290"/>
                    </a:xfrm>
                    <a:prstGeom prst="rect">
                      <a:avLst/>
                    </a:prstGeom>
                    <a:noFill/>
                  </pic:spPr>
                </pic:pic>
              </a:graphicData>
            </a:graphic>
          </wp:anchor>
        </w:drawing>
      </w:r>
    </w:p>
    <w:p>
      <w:pPr>
        <w:sectPr>
          <w:pgSz w:w="11900" w:h="16838" w:orient="portrait"/>
          <w:cols w:equalWidth="0" w:num="1">
            <w:col w:w="9219"/>
          </w:cols>
          <w:pgMar w:left="1240" w:top="1071" w:right="1440" w:bottom="1440" w:gutter="0" w:footer="0" w:header="0"/>
        </w:sectPr>
      </w:pPr>
    </w:p>
    <w:bookmarkStart w:id="15" w:name="page16"/>
    <w:bookmarkEnd w:id="15"/>
    <w:tbl>
      <w:tblPr>
        <w:tblLayout w:type="fixed"/>
        <w:tblInd w:w="10" w:type="dxa"/>
        <w:tblCellMar>
          <w:top w:w="0" w:type="dxa"/>
          <w:left w:w="0" w:type="dxa"/>
          <w:bottom w:w="0" w:type="dxa"/>
          <w:right w:w="0" w:type="dxa"/>
        </w:tblCellMar>
      </w:tblPr>
      <w:tr>
        <w:trPr>
          <w:trHeight w:val="184"/>
        </w:trPr>
        <w:tc>
          <w:tcPr>
            <w:tcW w:w="1660" w:type="dxa"/>
            <w:vAlign w:val="bottom"/>
            <w:tcBorders>
              <w:top w:val="single" w:sz="8" w:color="auto"/>
              <w:left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rPr>
              <w:t>Buffer Rate</w:t>
            </w:r>
          </w:p>
        </w:tc>
        <w:tc>
          <w:tcPr>
            <w:tcW w:w="464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We currently offer different levels of protection:</w:t>
            </w:r>
          </w:p>
        </w:tc>
      </w:tr>
      <w:tr>
        <w:trPr>
          <w:trHeight w:val="169"/>
        </w:trPr>
        <w:tc>
          <w:tcPr>
            <w:tcW w:w="1660" w:type="dxa"/>
            <w:vAlign w:val="bottom"/>
            <w:tcBorders>
              <w:left w:val="single" w:sz="8" w:color="auto"/>
              <w:right w:val="single" w:sz="8" w:color="auto"/>
            </w:tcBorders>
          </w:tcPr>
          <w:p>
            <w:pPr>
              <w:spacing w:after="0"/>
              <w:rPr>
                <w:sz w:val="14"/>
                <w:szCs w:val="14"/>
                <w:color w:val="auto"/>
              </w:rPr>
            </w:pPr>
          </w:p>
        </w:tc>
        <w:tc>
          <w:tcPr>
            <w:tcW w:w="464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Buffer 10</w:t>
            </w:r>
            <w:r>
              <w:rPr>
                <w:rFonts w:ascii="Times New Roman" w:cs="Times New Roman" w:eastAsia="Times New Roman" w:hAnsi="Times New Roman"/>
                <w:sz w:val="14"/>
                <w:szCs w:val="14"/>
                <w:color w:val="auto"/>
              </w:rPr>
              <w:t xml:space="preserve"> — A Buffer Rate where negative Segment Index Performance</w:t>
            </w:r>
          </w:p>
        </w:tc>
      </w:tr>
      <w:tr>
        <w:trPr>
          <w:trHeight w:val="165"/>
        </w:trPr>
        <w:tc>
          <w:tcPr>
            <w:tcW w:w="1660" w:type="dxa"/>
            <w:vAlign w:val="bottom"/>
            <w:tcBorders>
              <w:left w:val="single" w:sz="8" w:color="auto"/>
              <w:right w:val="single" w:sz="8" w:color="auto"/>
            </w:tcBorders>
          </w:tcPr>
          <w:p>
            <w:pPr>
              <w:spacing w:after="0"/>
              <w:rPr>
                <w:sz w:val="14"/>
                <w:szCs w:val="14"/>
                <w:color w:val="auto"/>
              </w:rPr>
            </w:pPr>
          </w:p>
        </w:tc>
        <w:tc>
          <w:tcPr>
            <w:tcW w:w="464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of up to 10% is absorbed by us at the Segment Maturity Date, which</w:t>
            </w:r>
          </w:p>
        </w:tc>
      </w:tr>
      <w:tr>
        <w:trPr>
          <w:trHeight w:val="165"/>
        </w:trPr>
        <w:tc>
          <w:tcPr>
            <w:tcW w:w="1660" w:type="dxa"/>
            <w:vAlign w:val="bottom"/>
            <w:tcBorders>
              <w:left w:val="single" w:sz="8" w:color="auto"/>
              <w:right w:val="single" w:sz="8" w:color="auto"/>
            </w:tcBorders>
          </w:tcPr>
          <w:p>
            <w:pPr>
              <w:spacing w:after="0"/>
              <w:rPr>
                <w:sz w:val="14"/>
                <w:szCs w:val="14"/>
                <w:color w:val="auto"/>
              </w:rPr>
            </w:pPr>
          </w:p>
        </w:tc>
        <w:tc>
          <w:tcPr>
            <w:tcW w:w="464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would leave you to absorb any remaining negative Segment Index</w:t>
            </w:r>
          </w:p>
        </w:tc>
      </w:tr>
      <w:tr>
        <w:trPr>
          <w:trHeight w:val="161"/>
        </w:trPr>
        <w:tc>
          <w:tcPr>
            <w:tcW w:w="1660" w:type="dxa"/>
            <w:vAlign w:val="bottom"/>
            <w:tcBorders>
              <w:left w:val="single" w:sz="8" w:color="auto"/>
              <w:right w:val="single" w:sz="8" w:color="auto"/>
            </w:tcBorders>
          </w:tcPr>
          <w:p>
            <w:pPr>
              <w:spacing w:after="0"/>
              <w:rPr>
                <w:sz w:val="13"/>
                <w:szCs w:val="13"/>
                <w:color w:val="auto"/>
              </w:rPr>
            </w:pPr>
          </w:p>
        </w:tc>
        <w:tc>
          <w:tcPr>
            <w:tcW w:w="464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Performance of up to 90%.</w:t>
            </w:r>
          </w:p>
        </w:tc>
      </w:tr>
      <w:tr>
        <w:trPr>
          <w:trHeight w:val="169"/>
        </w:trPr>
        <w:tc>
          <w:tcPr>
            <w:tcW w:w="1660" w:type="dxa"/>
            <w:vAlign w:val="bottom"/>
            <w:tcBorders>
              <w:left w:val="single" w:sz="8" w:color="auto"/>
              <w:right w:val="single" w:sz="8" w:color="auto"/>
            </w:tcBorders>
          </w:tcPr>
          <w:p>
            <w:pPr>
              <w:spacing w:after="0"/>
              <w:rPr>
                <w:sz w:val="14"/>
                <w:szCs w:val="14"/>
                <w:color w:val="auto"/>
              </w:rPr>
            </w:pPr>
          </w:p>
        </w:tc>
        <w:tc>
          <w:tcPr>
            <w:tcW w:w="464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Buffer 15</w:t>
            </w:r>
            <w:r>
              <w:rPr>
                <w:rFonts w:ascii="Times New Roman" w:cs="Times New Roman" w:eastAsia="Times New Roman" w:hAnsi="Times New Roman"/>
                <w:sz w:val="14"/>
                <w:szCs w:val="14"/>
                <w:color w:val="auto"/>
              </w:rPr>
              <w:t xml:space="preserve"> — A Buffer Rate where negative Segment Index Performance</w:t>
            </w:r>
          </w:p>
        </w:tc>
      </w:tr>
      <w:tr>
        <w:trPr>
          <w:trHeight w:val="165"/>
        </w:trPr>
        <w:tc>
          <w:tcPr>
            <w:tcW w:w="1660" w:type="dxa"/>
            <w:vAlign w:val="bottom"/>
            <w:tcBorders>
              <w:left w:val="single" w:sz="8" w:color="auto"/>
              <w:right w:val="single" w:sz="8" w:color="auto"/>
            </w:tcBorders>
          </w:tcPr>
          <w:p>
            <w:pPr>
              <w:spacing w:after="0"/>
              <w:rPr>
                <w:sz w:val="14"/>
                <w:szCs w:val="14"/>
                <w:color w:val="auto"/>
              </w:rPr>
            </w:pPr>
          </w:p>
        </w:tc>
        <w:tc>
          <w:tcPr>
            <w:tcW w:w="464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of up to 15% is absorbed by us at the Segment Maturity Date, which</w:t>
            </w:r>
          </w:p>
        </w:tc>
      </w:tr>
      <w:tr>
        <w:trPr>
          <w:trHeight w:val="165"/>
        </w:trPr>
        <w:tc>
          <w:tcPr>
            <w:tcW w:w="1660" w:type="dxa"/>
            <w:vAlign w:val="bottom"/>
            <w:tcBorders>
              <w:left w:val="single" w:sz="8" w:color="auto"/>
              <w:right w:val="single" w:sz="8" w:color="auto"/>
            </w:tcBorders>
          </w:tcPr>
          <w:p>
            <w:pPr>
              <w:spacing w:after="0"/>
              <w:rPr>
                <w:sz w:val="14"/>
                <w:szCs w:val="14"/>
                <w:color w:val="auto"/>
              </w:rPr>
            </w:pPr>
          </w:p>
        </w:tc>
        <w:tc>
          <w:tcPr>
            <w:tcW w:w="464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would leave you to absorb any remaining negative Segment Index</w:t>
            </w:r>
          </w:p>
        </w:tc>
      </w:tr>
      <w:tr>
        <w:trPr>
          <w:trHeight w:val="161"/>
        </w:trPr>
        <w:tc>
          <w:tcPr>
            <w:tcW w:w="1660" w:type="dxa"/>
            <w:vAlign w:val="bottom"/>
            <w:tcBorders>
              <w:left w:val="single" w:sz="8" w:color="auto"/>
              <w:right w:val="single" w:sz="8" w:color="auto"/>
            </w:tcBorders>
          </w:tcPr>
          <w:p>
            <w:pPr>
              <w:spacing w:after="0"/>
              <w:rPr>
                <w:sz w:val="13"/>
                <w:szCs w:val="13"/>
                <w:color w:val="auto"/>
              </w:rPr>
            </w:pPr>
          </w:p>
        </w:tc>
        <w:tc>
          <w:tcPr>
            <w:tcW w:w="464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Performance of up to 85%.</w:t>
            </w:r>
          </w:p>
        </w:tc>
      </w:tr>
      <w:tr>
        <w:trPr>
          <w:trHeight w:val="169"/>
        </w:trPr>
        <w:tc>
          <w:tcPr>
            <w:tcW w:w="1660" w:type="dxa"/>
            <w:vAlign w:val="bottom"/>
            <w:tcBorders>
              <w:left w:val="single" w:sz="8" w:color="auto"/>
              <w:right w:val="single" w:sz="8" w:color="auto"/>
            </w:tcBorders>
          </w:tcPr>
          <w:p>
            <w:pPr>
              <w:spacing w:after="0"/>
              <w:rPr>
                <w:sz w:val="14"/>
                <w:szCs w:val="14"/>
                <w:color w:val="auto"/>
              </w:rPr>
            </w:pPr>
          </w:p>
        </w:tc>
        <w:tc>
          <w:tcPr>
            <w:tcW w:w="464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Buffer 20</w:t>
            </w:r>
            <w:r>
              <w:rPr>
                <w:rFonts w:ascii="Times New Roman" w:cs="Times New Roman" w:eastAsia="Times New Roman" w:hAnsi="Times New Roman"/>
                <w:sz w:val="14"/>
                <w:szCs w:val="14"/>
                <w:color w:val="auto"/>
              </w:rPr>
              <w:t xml:space="preserve"> — A Buffer Rate where negative Segment Index Performance</w:t>
            </w:r>
          </w:p>
        </w:tc>
      </w:tr>
      <w:tr>
        <w:trPr>
          <w:trHeight w:val="165"/>
        </w:trPr>
        <w:tc>
          <w:tcPr>
            <w:tcW w:w="1660" w:type="dxa"/>
            <w:vAlign w:val="bottom"/>
            <w:tcBorders>
              <w:left w:val="single" w:sz="8" w:color="auto"/>
              <w:right w:val="single" w:sz="8" w:color="auto"/>
            </w:tcBorders>
          </w:tcPr>
          <w:p>
            <w:pPr>
              <w:spacing w:after="0"/>
              <w:rPr>
                <w:sz w:val="14"/>
                <w:szCs w:val="14"/>
                <w:color w:val="auto"/>
              </w:rPr>
            </w:pPr>
          </w:p>
        </w:tc>
        <w:tc>
          <w:tcPr>
            <w:tcW w:w="464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of up to 20% is absorbed by us at the Segment Maturity Date, which</w:t>
            </w:r>
          </w:p>
        </w:tc>
      </w:tr>
      <w:tr>
        <w:trPr>
          <w:trHeight w:val="165"/>
        </w:trPr>
        <w:tc>
          <w:tcPr>
            <w:tcW w:w="1660" w:type="dxa"/>
            <w:vAlign w:val="bottom"/>
            <w:tcBorders>
              <w:left w:val="single" w:sz="8" w:color="auto"/>
              <w:right w:val="single" w:sz="8" w:color="auto"/>
            </w:tcBorders>
          </w:tcPr>
          <w:p>
            <w:pPr>
              <w:spacing w:after="0"/>
              <w:rPr>
                <w:sz w:val="14"/>
                <w:szCs w:val="14"/>
                <w:color w:val="auto"/>
              </w:rPr>
            </w:pPr>
          </w:p>
        </w:tc>
        <w:tc>
          <w:tcPr>
            <w:tcW w:w="464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would leave you to absorb any remaining negative Segment Index</w:t>
            </w:r>
          </w:p>
        </w:tc>
      </w:tr>
      <w:tr>
        <w:trPr>
          <w:trHeight w:val="161"/>
        </w:trPr>
        <w:tc>
          <w:tcPr>
            <w:tcW w:w="1660" w:type="dxa"/>
            <w:vAlign w:val="bottom"/>
            <w:tcBorders>
              <w:left w:val="single" w:sz="8" w:color="auto"/>
              <w:right w:val="single" w:sz="8" w:color="auto"/>
            </w:tcBorders>
          </w:tcPr>
          <w:p>
            <w:pPr>
              <w:spacing w:after="0"/>
              <w:rPr>
                <w:sz w:val="13"/>
                <w:szCs w:val="13"/>
                <w:color w:val="auto"/>
              </w:rPr>
            </w:pPr>
          </w:p>
        </w:tc>
        <w:tc>
          <w:tcPr>
            <w:tcW w:w="464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Performance of up to 80%.</w:t>
            </w:r>
          </w:p>
        </w:tc>
      </w:tr>
      <w:tr>
        <w:trPr>
          <w:trHeight w:val="169"/>
        </w:trPr>
        <w:tc>
          <w:tcPr>
            <w:tcW w:w="1660" w:type="dxa"/>
            <w:vAlign w:val="bottom"/>
            <w:tcBorders>
              <w:left w:val="single" w:sz="8" w:color="auto"/>
              <w:right w:val="single" w:sz="8" w:color="auto"/>
            </w:tcBorders>
          </w:tcPr>
          <w:p>
            <w:pPr>
              <w:spacing w:after="0"/>
              <w:rPr>
                <w:sz w:val="14"/>
                <w:szCs w:val="14"/>
                <w:color w:val="auto"/>
              </w:rPr>
            </w:pPr>
          </w:p>
        </w:tc>
        <w:tc>
          <w:tcPr>
            <w:tcW w:w="464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Buffer 100</w:t>
            </w:r>
            <w:r>
              <w:rPr>
                <w:rFonts w:ascii="Times New Roman" w:cs="Times New Roman" w:eastAsia="Times New Roman" w:hAnsi="Times New Roman"/>
                <w:sz w:val="14"/>
                <w:szCs w:val="14"/>
                <w:color w:val="auto"/>
              </w:rPr>
              <w:t xml:space="preserve"> — A Buffer Rate where 100% of negative Segment Index</w:t>
            </w:r>
          </w:p>
        </w:tc>
      </w:tr>
      <w:tr>
        <w:trPr>
          <w:trHeight w:val="165"/>
        </w:trPr>
        <w:tc>
          <w:tcPr>
            <w:tcW w:w="1660" w:type="dxa"/>
            <w:vAlign w:val="bottom"/>
            <w:tcBorders>
              <w:left w:val="single" w:sz="8" w:color="auto"/>
              <w:right w:val="single" w:sz="8" w:color="auto"/>
            </w:tcBorders>
          </w:tcPr>
          <w:p>
            <w:pPr>
              <w:spacing w:after="0"/>
              <w:rPr>
                <w:sz w:val="14"/>
                <w:szCs w:val="14"/>
                <w:color w:val="auto"/>
              </w:rPr>
            </w:pPr>
          </w:p>
        </w:tc>
        <w:tc>
          <w:tcPr>
            <w:tcW w:w="464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Performance is absorbed by us throughout the entire Segment Term.</w:t>
            </w:r>
          </w:p>
        </w:tc>
      </w:tr>
      <w:tr>
        <w:trPr>
          <w:trHeight w:val="176"/>
        </w:trPr>
        <w:tc>
          <w:tcPr>
            <w:tcW w:w="1660" w:type="dxa"/>
            <w:vAlign w:val="bottom"/>
            <w:tcBorders>
              <w:left w:val="single" w:sz="8" w:color="auto"/>
              <w:right w:val="single" w:sz="8" w:color="auto"/>
            </w:tcBorders>
          </w:tcPr>
          <w:p>
            <w:pPr>
              <w:spacing w:after="0"/>
              <w:rPr>
                <w:sz w:val="15"/>
                <w:szCs w:val="15"/>
                <w:color w:val="auto"/>
              </w:rPr>
            </w:pPr>
          </w:p>
        </w:tc>
        <w:tc>
          <w:tcPr>
            <w:tcW w:w="46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See “BUFFER RATES.”</w:t>
            </w:r>
          </w:p>
        </w:tc>
      </w:tr>
      <w:tr>
        <w:trPr>
          <w:trHeight w:val="22"/>
        </w:trPr>
        <w:tc>
          <w:tcPr>
            <w:tcW w:w="16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640" w:type="dxa"/>
            <w:vAlign w:val="bottom"/>
            <w:tcBorders>
              <w:bottom w:val="single" w:sz="8" w:color="auto"/>
              <w:right w:val="single" w:sz="8" w:color="auto"/>
            </w:tcBorders>
          </w:tcPr>
          <w:p>
            <w:pPr>
              <w:spacing w:after="0" w:line="20" w:lineRule="exact"/>
              <w:rPr>
                <w:sz w:val="1"/>
                <w:szCs w:val="1"/>
                <w:color w:val="auto"/>
              </w:rPr>
            </w:pPr>
          </w:p>
        </w:tc>
      </w:tr>
      <w:tr>
        <w:trPr>
          <w:trHeight w:val="163"/>
        </w:trPr>
        <w:tc>
          <w:tcPr>
            <w:tcW w:w="1660" w:type="dxa"/>
            <w:vAlign w:val="bottom"/>
            <w:tcBorders>
              <w:left w:val="single" w:sz="8" w:color="auto"/>
              <w:right w:val="single" w:sz="8" w:color="auto"/>
            </w:tcBorders>
            <w:shd w:val="clear" w:color="auto" w:fill="F0FFFF"/>
          </w:tcPr>
          <w:p>
            <w:pPr>
              <w:ind w:left="220"/>
              <w:spacing w:after="0"/>
              <w:rPr>
                <w:sz w:val="20"/>
                <w:szCs w:val="20"/>
                <w:color w:val="auto"/>
              </w:rPr>
            </w:pPr>
            <w:r>
              <w:rPr>
                <w:rFonts w:ascii="Times New Roman" w:cs="Times New Roman" w:eastAsia="Times New Roman" w:hAnsi="Times New Roman"/>
                <w:sz w:val="14"/>
                <w:szCs w:val="14"/>
                <w:color w:val="auto"/>
              </w:rPr>
              <w:t>Cap Rate</w:t>
            </w:r>
          </w:p>
        </w:tc>
        <w:tc>
          <w:tcPr>
            <w:tcW w:w="4640" w:type="dxa"/>
            <w:vAlign w:val="bottom"/>
            <w:tcBorders>
              <w:right w:val="single" w:sz="8" w:color="auto"/>
            </w:tcBorders>
            <w:shd w:val="clear" w:color="auto" w:fill="F0FFFF"/>
          </w:tcPr>
          <w:p>
            <w:pPr>
              <w:ind w:left="60"/>
              <w:spacing w:after="0"/>
              <w:rPr>
                <w:sz w:val="20"/>
                <w:szCs w:val="20"/>
                <w:color w:val="auto"/>
              </w:rPr>
            </w:pPr>
            <w:r>
              <w:rPr>
                <w:rFonts w:ascii="Times New Roman" w:cs="Times New Roman" w:eastAsia="Times New Roman" w:hAnsi="Times New Roman"/>
                <w:sz w:val="14"/>
                <w:szCs w:val="14"/>
                <w:color w:val="auto"/>
              </w:rPr>
              <w:t>The maximum rate that may be credited at the Segment Maturity Date based</w:t>
            </w:r>
          </w:p>
        </w:tc>
      </w:tr>
      <w:tr>
        <w:trPr>
          <w:trHeight w:val="165"/>
        </w:trPr>
        <w:tc>
          <w:tcPr>
            <w:tcW w:w="1660" w:type="dxa"/>
            <w:vAlign w:val="bottom"/>
            <w:tcBorders>
              <w:left w:val="single" w:sz="8" w:color="auto"/>
              <w:right w:val="single" w:sz="8" w:color="auto"/>
            </w:tcBorders>
            <w:shd w:val="clear" w:color="auto" w:fill="F0FFFF"/>
          </w:tcPr>
          <w:p>
            <w:pPr>
              <w:spacing w:after="0"/>
              <w:rPr>
                <w:sz w:val="14"/>
                <w:szCs w:val="14"/>
                <w:color w:val="auto"/>
              </w:rPr>
            </w:pPr>
          </w:p>
        </w:tc>
        <w:tc>
          <w:tcPr>
            <w:tcW w:w="4640" w:type="dxa"/>
            <w:vAlign w:val="bottom"/>
            <w:tcBorders>
              <w:right w:val="single" w:sz="8" w:color="auto"/>
            </w:tcBorders>
            <w:shd w:val="clear" w:color="auto" w:fill="F0FFFF"/>
          </w:tcPr>
          <w:p>
            <w:pPr>
              <w:ind w:left="60"/>
              <w:spacing w:after="0"/>
              <w:rPr>
                <w:sz w:val="20"/>
                <w:szCs w:val="20"/>
                <w:color w:val="auto"/>
              </w:rPr>
            </w:pPr>
            <w:r>
              <w:rPr>
                <w:rFonts w:ascii="Times New Roman" w:cs="Times New Roman" w:eastAsia="Times New Roman" w:hAnsi="Times New Roman"/>
                <w:sz w:val="14"/>
                <w:szCs w:val="14"/>
                <w:color w:val="auto"/>
              </w:rPr>
              <w:t>on positive Segment Index Performance. The Cap Rates will not be less than the</w:t>
            </w:r>
          </w:p>
        </w:tc>
      </w:tr>
      <w:tr>
        <w:trPr>
          <w:trHeight w:val="165"/>
        </w:trPr>
        <w:tc>
          <w:tcPr>
            <w:tcW w:w="1660" w:type="dxa"/>
            <w:vAlign w:val="bottom"/>
            <w:tcBorders>
              <w:left w:val="single" w:sz="8" w:color="auto"/>
              <w:right w:val="single" w:sz="8" w:color="auto"/>
            </w:tcBorders>
            <w:shd w:val="clear" w:color="auto" w:fill="F0FFFF"/>
          </w:tcPr>
          <w:p>
            <w:pPr>
              <w:spacing w:after="0"/>
              <w:rPr>
                <w:sz w:val="14"/>
                <w:szCs w:val="14"/>
                <w:color w:val="auto"/>
              </w:rPr>
            </w:pPr>
          </w:p>
        </w:tc>
        <w:tc>
          <w:tcPr>
            <w:tcW w:w="4640" w:type="dxa"/>
            <w:vAlign w:val="bottom"/>
            <w:tcBorders>
              <w:right w:val="single" w:sz="8" w:color="auto"/>
            </w:tcBorders>
            <w:shd w:val="clear" w:color="auto" w:fill="F0FFFF"/>
          </w:tcPr>
          <w:p>
            <w:pPr>
              <w:ind w:left="60"/>
              <w:spacing w:after="0"/>
              <w:rPr>
                <w:sz w:val="20"/>
                <w:szCs w:val="20"/>
                <w:color w:val="auto"/>
              </w:rPr>
            </w:pPr>
            <w:r>
              <w:rPr>
                <w:rFonts w:ascii="Times New Roman" w:cs="Times New Roman" w:eastAsia="Times New Roman" w:hAnsi="Times New Roman"/>
                <w:sz w:val="14"/>
                <w:szCs w:val="14"/>
                <w:color w:val="auto"/>
                <w:w w:val="99"/>
              </w:rPr>
              <w:t>Guaranteed Minimum Cap Rate stated in your Policy, which will not be less than</w:t>
            </w:r>
          </w:p>
        </w:tc>
      </w:tr>
      <w:tr>
        <w:trPr>
          <w:trHeight w:val="203"/>
        </w:trPr>
        <w:tc>
          <w:tcPr>
            <w:tcW w:w="1660" w:type="dxa"/>
            <w:vAlign w:val="bottom"/>
            <w:tcBorders>
              <w:left w:val="single" w:sz="8" w:color="auto"/>
              <w:bottom w:val="single" w:sz="8" w:color="F0FFFF"/>
              <w:right w:val="single" w:sz="8" w:color="auto"/>
            </w:tcBorders>
            <w:shd w:val="clear" w:color="auto" w:fill="F0FFFF"/>
          </w:tcPr>
          <w:p>
            <w:pPr>
              <w:spacing w:after="0"/>
              <w:rPr>
                <w:sz w:val="17"/>
                <w:szCs w:val="17"/>
                <w:color w:val="auto"/>
              </w:rPr>
            </w:pPr>
          </w:p>
        </w:tc>
        <w:tc>
          <w:tcPr>
            <w:tcW w:w="4640" w:type="dxa"/>
            <w:vAlign w:val="bottom"/>
            <w:tcBorders>
              <w:bottom w:val="single" w:sz="8" w:color="F0FFFF"/>
              <w:right w:val="single" w:sz="8" w:color="auto"/>
            </w:tcBorders>
            <w:shd w:val="clear" w:color="auto" w:fill="F0FFFF"/>
          </w:tcPr>
          <w:p>
            <w:pPr>
              <w:ind w:left="60"/>
              <w:spacing w:after="0"/>
              <w:rPr>
                <w:sz w:val="20"/>
                <w:szCs w:val="20"/>
                <w:color w:val="auto"/>
              </w:rPr>
            </w:pPr>
            <w:r>
              <w:rPr>
                <w:rFonts w:ascii="Times New Roman" w:cs="Times New Roman" w:eastAsia="Times New Roman" w:hAnsi="Times New Roman"/>
                <w:sz w:val="14"/>
                <w:szCs w:val="14"/>
                <w:color w:val="auto"/>
              </w:rPr>
              <w:t>3%. See “CAP RATES.”</w:t>
            </w:r>
          </w:p>
        </w:tc>
      </w:tr>
      <w:tr>
        <w:trPr>
          <w:trHeight w:val="142"/>
        </w:trPr>
        <w:tc>
          <w:tcPr>
            <w:tcW w:w="1660" w:type="dxa"/>
            <w:vAlign w:val="bottom"/>
            <w:tcBorders>
              <w:top w:val="single" w:sz="8" w:color="auto"/>
              <w:left w:val="single" w:sz="8" w:color="auto"/>
              <w:right w:val="single" w:sz="8" w:color="auto"/>
            </w:tcBorders>
          </w:tcPr>
          <w:p>
            <w:pPr>
              <w:ind w:left="80"/>
              <w:spacing w:after="0" w:line="142" w:lineRule="exact"/>
              <w:rPr>
                <w:sz w:val="20"/>
                <w:szCs w:val="20"/>
                <w:color w:val="auto"/>
              </w:rPr>
            </w:pPr>
            <w:r>
              <w:rPr>
                <w:rFonts w:ascii="Times New Roman" w:cs="Times New Roman" w:eastAsia="Times New Roman" w:hAnsi="Times New Roman"/>
                <w:sz w:val="14"/>
                <w:szCs w:val="14"/>
                <w:color w:val="auto"/>
              </w:rPr>
              <w:t>Interim Segment Value</w:t>
            </w:r>
          </w:p>
        </w:tc>
        <w:tc>
          <w:tcPr>
            <w:tcW w:w="4640" w:type="dxa"/>
            <w:vAlign w:val="bottom"/>
            <w:tcBorders>
              <w:top w:val="single" w:sz="8" w:color="auto"/>
              <w:right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color w:val="auto"/>
              </w:rPr>
              <w:t>We calculate an Interim Segment Value on each Business Day between the</w:t>
            </w:r>
          </w:p>
        </w:tc>
      </w:tr>
      <w:tr>
        <w:trPr>
          <w:trHeight w:val="144"/>
        </w:trPr>
        <w:tc>
          <w:tcPr>
            <w:tcW w:w="1660" w:type="dxa"/>
            <w:vAlign w:val="bottom"/>
            <w:tcBorders>
              <w:left w:val="single" w:sz="8" w:color="auto"/>
              <w:right w:val="single" w:sz="8" w:color="auto"/>
            </w:tcBorders>
          </w:tcPr>
          <w:p>
            <w:pPr>
              <w:spacing w:after="0"/>
              <w:rPr>
                <w:sz w:val="12"/>
                <w:szCs w:val="12"/>
                <w:color w:val="auto"/>
              </w:rPr>
            </w:pPr>
          </w:p>
        </w:tc>
        <w:tc>
          <w:tcPr>
            <w:tcW w:w="4640" w:type="dxa"/>
            <w:vAlign w:val="bottom"/>
            <w:tcBorders>
              <w:right w:val="single" w:sz="8" w:color="auto"/>
            </w:tcBorders>
          </w:tcPr>
          <w:p>
            <w:pPr>
              <w:ind w:left="60"/>
              <w:spacing w:after="0" w:line="144" w:lineRule="exact"/>
              <w:rPr>
                <w:sz w:val="20"/>
                <w:szCs w:val="20"/>
                <w:color w:val="auto"/>
              </w:rPr>
            </w:pPr>
            <w:r>
              <w:rPr>
                <w:rFonts w:ascii="Times New Roman" w:cs="Times New Roman" w:eastAsia="Times New Roman" w:hAnsi="Times New Roman"/>
                <w:sz w:val="14"/>
                <w:szCs w:val="14"/>
                <w:color w:val="auto"/>
              </w:rPr>
              <w:t>Segment Start Date and prior to the Segment Maturity Date. The Interim</w:t>
            </w:r>
          </w:p>
        </w:tc>
      </w:tr>
      <w:tr>
        <w:trPr>
          <w:trHeight w:val="154"/>
        </w:trPr>
        <w:tc>
          <w:tcPr>
            <w:tcW w:w="1660" w:type="dxa"/>
            <w:vAlign w:val="bottom"/>
            <w:tcBorders>
              <w:left w:val="single" w:sz="8" w:color="auto"/>
              <w:right w:val="single" w:sz="8" w:color="auto"/>
            </w:tcBorders>
          </w:tcPr>
          <w:p>
            <w:pPr>
              <w:spacing w:after="0"/>
              <w:rPr>
                <w:sz w:val="13"/>
                <w:szCs w:val="13"/>
                <w:color w:val="auto"/>
              </w:rPr>
            </w:pPr>
          </w:p>
        </w:tc>
        <w:tc>
          <w:tcPr>
            <w:tcW w:w="4640" w:type="dxa"/>
            <w:vAlign w:val="bottom"/>
            <w:tcBorders>
              <w:right w:val="single" w:sz="8" w:color="auto"/>
            </w:tcBorders>
          </w:tcPr>
          <w:p>
            <w:pPr>
              <w:ind w:left="60"/>
              <w:spacing w:after="0" w:line="155" w:lineRule="exact"/>
              <w:rPr>
                <w:sz w:val="20"/>
                <w:szCs w:val="20"/>
                <w:color w:val="auto"/>
              </w:rPr>
            </w:pPr>
            <w:r>
              <w:rPr>
                <w:rFonts w:ascii="Times New Roman" w:cs="Times New Roman" w:eastAsia="Times New Roman" w:hAnsi="Times New Roman"/>
                <w:sz w:val="14"/>
                <w:szCs w:val="14"/>
                <w:color w:val="auto"/>
              </w:rPr>
              <w:t>Segment Value is the amount we use to determine the Indexed Account Cash</w:t>
            </w:r>
          </w:p>
        </w:tc>
      </w:tr>
      <w:tr>
        <w:trPr>
          <w:trHeight w:val="154"/>
        </w:trPr>
        <w:tc>
          <w:tcPr>
            <w:tcW w:w="1660" w:type="dxa"/>
            <w:vAlign w:val="bottom"/>
            <w:tcBorders>
              <w:left w:val="single" w:sz="8" w:color="auto"/>
              <w:right w:val="single" w:sz="8" w:color="auto"/>
            </w:tcBorders>
          </w:tcPr>
          <w:p>
            <w:pPr>
              <w:spacing w:after="0"/>
              <w:rPr>
                <w:sz w:val="13"/>
                <w:szCs w:val="13"/>
                <w:color w:val="auto"/>
              </w:rPr>
            </w:pPr>
          </w:p>
        </w:tc>
        <w:tc>
          <w:tcPr>
            <w:tcW w:w="4640" w:type="dxa"/>
            <w:vAlign w:val="bottom"/>
            <w:tcBorders>
              <w:right w:val="single" w:sz="8" w:color="auto"/>
            </w:tcBorders>
          </w:tcPr>
          <w:p>
            <w:pPr>
              <w:ind w:left="60"/>
              <w:spacing w:after="0" w:line="155" w:lineRule="exact"/>
              <w:rPr>
                <w:sz w:val="20"/>
                <w:szCs w:val="20"/>
                <w:color w:val="auto"/>
              </w:rPr>
            </w:pPr>
            <w:r>
              <w:rPr>
                <w:rFonts w:ascii="Times New Roman" w:cs="Times New Roman" w:eastAsia="Times New Roman" w:hAnsi="Times New Roman"/>
                <w:sz w:val="14"/>
                <w:szCs w:val="14"/>
                <w:color w:val="auto"/>
              </w:rPr>
              <w:t>Value prior to the Segment Maturity Date. The Indexed Account Cash Value is</w:t>
            </w:r>
          </w:p>
        </w:tc>
      </w:tr>
      <w:tr>
        <w:trPr>
          <w:trHeight w:val="144"/>
        </w:trPr>
        <w:tc>
          <w:tcPr>
            <w:tcW w:w="1660" w:type="dxa"/>
            <w:vAlign w:val="bottom"/>
            <w:tcBorders>
              <w:left w:val="single" w:sz="8" w:color="auto"/>
              <w:right w:val="single" w:sz="8" w:color="auto"/>
            </w:tcBorders>
          </w:tcPr>
          <w:p>
            <w:pPr>
              <w:spacing w:after="0"/>
              <w:rPr>
                <w:sz w:val="12"/>
                <w:szCs w:val="12"/>
                <w:color w:val="auto"/>
              </w:rPr>
            </w:pPr>
          </w:p>
        </w:tc>
        <w:tc>
          <w:tcPr>
            <w:tcW w:w="4640" w:type="dxa"/>
            <w:vAlign w:val="bottom"/>
            <w:tcBorders>
              <w:right w:val="single" w:sz="8" w:color="auto"/>
            </w:tcBorders>
          </w:tcPr>
          <w:p>
            <w:pPr>
              <w:ind w:left="60"/>
              <w:spacing w:after="0" w:line="144" w:lineRule="exact"/>
              <w:rPr>
                <w:sz w:val="20"/>
                <w:szCs w:val="20"/>
                <w:color w:val="auto"/>
              </w:rPr>
            </w:pPr>
            <w:r>
              <w:rPr>
                <w:rFonts w:ascii="Times New Roman" w:cs="Times New Roman" w:eastAsia="Times New Roman" w:hAnsi="Times New Roman"/>
                <w:sz w:val="14"/>
                <w:szCs w:val="14"/>
                <w:color w:val="auto"/>
              </w:rPr>
              <w:t>part of the Cash Value, which determines how much is available for death</w:t>
            </w:r>
          </w:p>
        </w:tc>
      </w:tr>
      <w:tr>
        <w:trPr>
          <w:trHeight w:val="154"/>
        </w:trPr>
        <w:tc>
          <w:tcPr>
            <w:tcW w:w="1660" w:type="dxa"/>
            <w:vAlign w:val="bottom"/>
            <w:tcBorders>
              <w:left w:val="single" w:sz="8" w:color="auto"/>
              <w:right w:val="single" w:sz="8" w:color="auto"/>
            </w:tcBorders>
          </w:tcPr>
          <w:p>
            <w:pPr>
              <w:spacing w:after="0"/>
              <w:rPr>
                <w:sz w:val="13"/>
                <w:szCs w:val="13"/>
                <w:color w:val="auto"/>
              </w:rPr>
            </w:pPr>
          </w:p>
        </w:tc>
        <w:tc>
          <w:tcPr>
            <w:tcW w:w="4640" w:type="dxa"/>
            <w:vAlign w:val="bottom"/>
            <w:tcBorders>
              <w:right w:val="single" w:sz="8" w:color="auto"/>
            </w:tcBorders>
          </w:tcPr>
          <w:p>
            <w:pPr>
              <w:ind w:left="60"/>
              <w:spacing w:after="0" w:line="155" w:lineRule="exact"/>
              <w:rPr>
                <w:sz w:val="20"/>
                <w:szCs w:val="20"/>
                <w:color w:val="auto"/>
              </w:rPr>
            </w:pPr>
            <w:r>
              <w:rPr>
                <w:rFonts w:ascii="Times New Roman" w:cs="Times New Roman" w:eastAsia="Times New Roman" w:hAnsi="Times New Roman"/>
                <w:sz w:val="14"/>
                <w:szCs w:val="14"/>
                <w:color w:val="auto"/>
              </w:rPr>
              <w:t>benefits (including Policy Proceeds and an Accelerated Death Benefit payment),</w:t>
            </w:r>
          </w:p>
        </w:tc>
      </w:tr>
      <w:tr>
        <w:trPr>
          <w:trHeight w:val="154"/>
        </w:trPr>
        <w:tc>
          <w:tcPr>
            <w:tcW w:w="1660" w:type="dxa"/>
            <w:vAlign w:val="bottom"/>
            <w:tcBorders>
              <w:left w:val="single" w:sz="8" w:color="auto"/>
              <w:right w:val="single" w:sz="8" w:color="auto"/>
            </w:tcBorders>
          </w:tcPr>
          <w:p>
            <w:pPr>
              <w:spacing w:after="0"/>
              <w:rPr>
                <w:sz w:val="13"/>
                <w:szCs w:val="13"/>
                <w:color w:val="auto"/>
              </w:rPr>
            </w:pPr>
          </w:p>
        </w:tc>
        <w:tc>
          <w:tcPr>
            <w:tcW w:w="4640" w:type="dxa"/>
            <w:vAlign w:val="bottom"/>
            <w:tcBorders>
              <w:right w:val="single" w:sz="8" w:color="auto"/>
            </w:tcBorders>
          </w:tcPr>
          <w:p>
            <w:pPr>
              <w:ind w:left="60"/>
              <w:spacing w:after="0" w:line="155" w:lineRule="exact"/>
              <w:rPr>
                <w:sz w:val="20"/>
                <w:szCs w:val="20"/>
                <w:color w:val="auto"/>
              </w:rPr>
            </w:pPr>
            <w:r>
              <w:rPr>
                <w:rFonts w:ascii="Times New Roman" w:cs="Times New Roman" w:eastAsia="Times New Roman" w:hAnsi="Times New Roman"/>
                <w:sz w:val="14"/>
                <w:szCs w:val="14"/>
                <w:color w:val="auto"/>
              </w:rPr>
              <w:t>loans (not including loans in connection with Distribution Payments under the</w:t>
            </w:r>
          </w:p>
        </w:tc>
      </w:tr>
      <w:tr>
        <w:trPr>
          <w:trHeight w:val="144"/>
        </w:trPr>
        <w:tc>
          <w:tcPr>
            <w:tcW w:w="1660" w:type="dxa"/>
            <w:vAlign w:val="bottom"/>
            <w:tcBorders>
              <w:left w:val="single" w:sz="8" w:color="auto"/>
              <w:right w:val="single" w:sz="8" w:color="auto"/>
            </w:tcBorders>
          </w:tcPr>
          <w:p>
            <w:pPr>
              <w:spacing w:after="0"/>
              <w:rPr>
                <w:sz w:val="12"/>
                <w:szCs w:val="12"/>
                <w:color w:val="auto"/>
              </w:rPr>
            </w:pPr>
          </w:p>
        </w:tc>
        <w:tc>
          <w:tcPr>
            <w:tcW w:w="4640" w:type="dxa"/>
            <w:vAlign w:val="bottom"/>
            <w:tcBorders>
              <w:right w:val="single" w:sz="8" w:color="auto"/>
            </w:tcBorders>
          </w:tcPr>
          <w:p>
            <w:pPr>
              <w:ind w:left="60"/>
              <w:spacing w:after="0" w:line="144" w:lineRule="exact"/>
              <w:rPr>
                <w:sz w:val="20"/>
                <w:szCs w:val="20"/>
                <w:color w:val="auto"/>
              </w:rPr>
            </w:pPr>
            <w:r>
              <w:rPr>
                <w:rFonts w:ascii="Times New Roman" w:cs="Times New Roman" w:eastAsia="Times New Roman" w:hAnsi="Times New Roman"/>
                <w:sz w:val="14"/>
                <w:szCs w:val="14"/>
                <w:color w:val="auto"/>
              </w:rPr>
              <w:t>GDR), transfers from Indexed Account Cash Value to the Fixed Account if you</w:t>
            </w:r>
          </w:p>
        </w:tc>
      </w:tr>
      <w:tr>
        <w:trPr>
          <w:trHeight w:val="154"/>
        </w:trPr>
        <w:tc>
          <w:tcPr>
            <w:tcW w:w="1660" w:type="dxa"/>
            <w:vAlign w:val="bottom"/>
            <w:tcBorders>
              <w:left w:val="single" w:sz="8" w:color="auto"/>
              <w:right w:val="single" w:sz="8" w:color="auto"/>
            </w:tcBorders>
          </w:tcPr>
          <w:p>
            <w:pPr>
              <w:spacing w:after="0"/>
              <w:rPr>
                <w:sz w:val="13"/>
                <w:szCs w:val="13"/>
                <w:color w:val="auto"/>
              </w:rPr>
            </w:pPr>
          </w:p>
        </w:tc>
        <w:tc>
          <w:tcPr>
            <w:tcW w:w="4640" w:type="dxa"/>
            <w:vAlign w:val="bottom"/>
            <w:tcBorders>
              <w:right w:val="single" w:sz="8" w:color="auto"/>
            </w:tcBorders>
          </w:tcPr>
          <w:p>
            <w:pPr>
              <w:ind w:left="60"/>
              <w:spacing w:after="0" w:line="155" w:lineRule="exact"/>
              <w:rPr>
                <w:sz w:val="20"/>
                <w:szCs w:val="20"/>
                <w:color w:val="auto"/>
              </w:rPr>
            </w:pPr>
            <w:r>
              <w:rPr>
                <w:rFonts w:ascii="Times New Roman" w:cs="Times New Roman" w:eastAsia="Times New Roman" w:hAnsi="Times New Roman"/>
                <w:sz w:val="14"/>
                <w:szCs w:val="14"/>
                <w:color w:val="auto"/>
              </w:rPr>
              <w:t>choose to start (or restart) Distribution Payments under the GDR, and</w:t>
            </w:r>
          </w:p>
        </w:tc>
      </w:tr>
      <w:tr>
        <w:trPr>
          <w:trHeight w:val="154"/>
        </w:trPr>
        <w:tc>
          <w:tcPr>
            <w:tcW w:w="1660" w:type="dxa"/>
            <w:vAlign w:val="bottom"/>
            <w:tcBorders>
              <w:left w:val="single" w:sz="8" w:color="auto"/>
              <w:right w:val="single" w:sz="8" w:color="auto"/>
            </w:tcBorders>
          </w:tcPr>
          <w:p>
            <w:pPr>
              <w:spacing w:after="0"/>
              <w:rPr>
                <w:sz w:val="13"/>
                <w:szCs w:val="13"/>
                <w:color w:val="auto"/>
              </w:rPr>
            </w:pPr>
          </w:p>
        </w:tc>
        <w:tc>
          <w:tcPr>
            <w:tcW w:w="4640" w:type="dxa"/>
            <w:vAlign w:val="bottom"/>
            <w:tcBorders>
              <w:right w:val="single" w:sz="8" w:color="auto"/>
            </w:tcBorders>
          </w:tcPr>
          <w:p>
            <w:pPr>
              <w:ind w:left="60"/>
              <w:spacing w:after="0" w:line="155" w:lineRule="exact"/>
              <w:rPr>
                <w:sz w:val="20"/>
                <w:szCs w:val="20"/>
                <w:color w:val="auto"/>
              </w:rPr>
            </w:pPr>
            <w:r>
              <w:rPr>
                <w:rFonts w:ascii="Times New Roman" w:cs="Times New Roman" w:eastAsia="Times New Roman" w:hAnsi="Times New Roman"/>
                <w:sz w:val="14"/>
                <w:szCs w:val="14"/>
                <w:color w:val="auto"/>
              </w:rPr>
              <w:t>Surrenders (including Surrenders in connection with the Free Look Period), if</w:t>
            </w:r>
          </w:p>
        </w:tc>
      </w:tr>
      <w:tr>
        <w:trPr>
          <w:trHeight w:val="144"/>
        </w:trPr>
        <w:tc>
          <w:tcPr>
            <w:tcW w:w="1660" w:type="dxa"/>
            <w:vAlign w:val="bottom"/>
            <w:tcBorders>
              <w:left w:val="single" w:sz="8" w:color="auto"/>
              <w:right w:val="single" w:sz="8" w:color="auto"/>
            </w:tcBorders>
          </w:tcPr>
          <w:p>
            <w:pPr>
              <w:spacing w:after="0"/>
              <w:rPr>
                <w:sz w:val="12"/>
                <w:szCs w:val="12"/>
                <w:color w:val="auto"/>
              </w:rPr>
            </w:pPr>
          </w:p>
        </w:tc>
        <w:tc>
          <w:tcPr>
            <w:tcW w:w="4640" w:type="dxa"/>
            <w:vAlign w:val="bottom"/>
            <w:tcBorders>
              <w:right w:val="single" w:sz="8" w:color="auto"/>
            </w:tcBorders>
          </w:tcPr>
          <w:p>
            <w:pPr>
              <w:ind w:left="60"/>
              <w:spacing w:after="0" w:line="144" w:lineRule="exact"/>
              <w:rPr>
                <w:sz w:val="20"/>
                <w:szCs w:val="20"/>
                <w:color w:val="auto"/>
              </w:rPr>
            </w:pPr>
            <w:r>
              <w:rPr>
                <w:rFonts w:ascii="Times New Roman" w:cs="Times New Roman" w:eastAsia="Times New Roman" w:hAnsi="Times New Roman"/>
                <w:sz w:val="14"/>
                <w:szCs w:val="14"/>
                <w:color w:val="auto"/>
              </w:rPr>
              <w:t>these transactions occur on any day other than the Segment Maturity Date. An</w:t>
            </w:r>
          </w:p>
        </w:tc>
      </w:tr>
      <w:tr>
        <w:trPr>
          <w:trHeight w:val="154"/>
        </w:trPr>
        <w:tc>
          <w:tcPr>
            <w:tcW w:w="1660" w:type="dxa"/>
            <w:vAlign w:val="bottom"/>
            <w:tcBorders>
              <w:left w:val="single" w:sz="8" w:color="auto"/>
              <w:right w:val="single" w:sz="8" w:color="auto"/>
            </w:tcBorders>
          </w:tcPr>
          <w:p>
            <w:pPr>
              <w:spacing w:after="0"/>
              <w:rPr>
                <w:sz w:val="13"/>
                <w:szCs w:val="13"/>
                <w:color w:val="auto"/>
              </w:rPr>
            </w:pPr>
          </w:p>
        </w:tc>
        <w:tc>
          <w:tcPr>
            <w:tcW w:w="4640" w:type="dxa"/>
            <w:vAlign w:val="bottom"/>
            <w:tcBorders>
              <w:right w:val="single" w:sz="8" w:color="auto"/>
            </w:tcBorders>
          </w:tcPr>
          <w:p>
            <w:pPr>
              <w:ind w:left="60"/>
              <w:spacing w:after="0" w:line="155" w:lineRule="exact"/>
              <w:rPr>
                <w:sz w:val="20"/>
                <w:szCs w:val="20"/>
                <w:color w:val="auto"/>
              </w:rPr>
            </w:pPr>
            <w:r>
              <w:rPr>
                <w:rFonts w:ascii="Times New Roman" w:cs="Times New Roman" w:eastAsia="Times New Roman" w:hAnsi="Times New Roman"/>
                <w:sz w:val="14"/>
                <w:szCs w:val="14"/>
                <w:color w:val="auto"/>
              </w:rPr>
              <w:t>Accelerated Death Benefit payment and a loan that is not a Distribution</w:t>
            </w:r>
          </w:p>
        </w:tc>
      </w:tr>
      <w:tr>
        <w:trPr>
          <w:trHeight w:val="154"/>
        </w:trPr>
        <w:tc>
          <w:tcPr>
            <w:tcW w:w="1660" w:type="dxa"/>
            <w:vAlign w:val="bottom"/>
            <w:tcBorders>
              <w:left w:val="single" w:sz="8" w:color="auto"/>
              <w:right w:val="single" w:sz="8" w:color="auto"/>
            </w:tcBorders>
          </w:tcPr>
          <w:p>
            <w:pPr>
              <w:spacing w:after="0"/>
              <w:rPr>
                <w:sz w:val="13"/>
                <w:szCs w:val="13"/>
                <w:color w:val="auto"/>
              </w:rPr>
            </w:pPr>
          </w:p>
        </w:tc>
        <w:tc>
          <w:tcPr>
            <w:tcW w:w="4640" w:type="dxa"/>
            <w:vAlign w:val="bottom"/>
            <w:tcBorders>
              <w:right w:val="single" w:sz="8" w:color="auto"/>
            </w:tcBorders>
          </w:tcPr>
          <w:p>
            <w:pPr>
              <w:ind w:left="60"/>
              <w:spacing w:after="0" w:line="155" w:lineRule="exact"/>
              <w:rPr>
                <w:sz w:val="20"/>
                <w:szCs w:val="20"/>
                <w:color w:val="auto"/>
              </w:rPr>
            </w:pPr>
            <w:r>
              <w:rPr>
                <w:rFonts w:ascii="Times New Roman" w:cs="Times New Roman" w:eastAsia="Times New Roman" w:hAnsi="Times New Roman"/>
                <w:sz w:val="14"/>
                <w:szCs w:val="14"/>
                <w:color w:val="auto"/>
              </w:rPr>
              <w:t>Payment will reduce the Interim Segment Value by the dollar amount of the</w:t>
            </w:r>
          </w:p>
        </w:tc>
      </w:tr>
      <w:tr>
        <w:trPr>
          <w:trHeight w:val="144"/>
        </w:trPr>
        <w:tc>
          <w:tcPr>
            <w:tcW w:w="1660" w:type="dxa"/>
            <w:vAlign w:val="bottom"/>
            <w:tcBorders>
              <w:left w:val="single" w:sz="8" w:color="auto"/>
              <w:right w:val="single" w:sz="8" w:color="auto"/>
            </w:tcBorders>
          </w:tcPr>
          <w:p>
            <w:pPr>
              <w:spacing w:after="0"/>
              <w:rPr>
                <w:sz w:val="12"/>
                <w:szCs w:val="12"/>
                <w:color w:val="auto"/>
              </w:rPr>
            </w:pPr>
          </w:p>
        </w:tc>
        <w:tc>
          <w:tcPr>
            <w:tcW w:w="4640" w:type="dxa"/>
            <w:vAlign w:val="bottom"/>
            <w:tcBorders>
              <w:right w:val="single" w:sz="8" w:color="auto"/>
            </w:tcBorders>
          </w:tcPr>
          <w:p>
            <w:pPr>
              <w:ind w:left="60"/>
              <w:spacing w:after="0" w:line="144" w:lineRule="exact"/>
              <w:rPr>
                <w:sz w:val="20"/>
                <w:szCs w:val="20"/>
                <w:color w:val="auto"/>
              </w:rPr>
            </w:pPr>
            <w:r>
              <w:rPr>
                <w:rFonts w:ascii="Times New Roman" w:cs="Times New Roman" w:eastAsia="Times New Roman" w:hAnsi="Times New Roman"/>
                <w:sz w:val="14"/>
                <w:szCs w:val="14"/>
                <w:color w:val="auto"/>
              </w:rPr>
              <w:t>transaction.</w:t>
            </w:r>
          </w:p>
        </w:tc>
      </w:tr>
      <w:tr>
        <w:trPr>
          <w:trHeight w:val="154"/>
        </w:trPr>
        <w:tc>
          <w:tcPr>
            <w:tcW w:w="1660" w:type="dxa"/>
            <w:vAlign w:val="bottom"/>
            <w:tcBorders>
              <w:left w:val="single" w:sz="8" w:color="auto"/>
              <w:right w:val="single" w:sz="8" w:color="auto"/>
            </w:tcBorders>
          </w:tcPr>
          <w:p>
            <w:pPr>
              <w:spacing w:after="0"/>
              <w:rPr>
                <w:sz w:val="13"/>
                <w:szCs w:val="13"/>
                <w:color w:val="auto"/>
              </w:rPr>
            </w:pPr>
          </w:p>
        </w:tc>
        <w:tc>
          <w:tcPr>
            <w:tcW w:w="4640" w:type="dxa"/>
            <w:vAlign w:val="bottom"/>
            <w:tcBorders>
              <w:right w:val="single" w:sz="8" w:color="auto"/>
            </w:tcBorders>
          </w:tcPr>
          <w:p>
            <w:pPr>
              <w:ind w:left="60"/>
              <w:spacing w:after="0" w:line="155" w:lineRule="exact"/>
              <w:rPr>
                <w:sz w:val="20"/>
                <w:szCs w:val="20"/>
                <w:color w:val="auto"/>
              </w:rPr>
            </w:pPr>
            <w:r>
              <w:rPr>
                <w:rFonts w:ascii="Times New Roman" w:cs="Times New Roman" w:eastAsia="Times New Roman" w:hAnsi="Times New Roman"/>
                <w:sz w:val="14"/>
                <w:szCs w:val="14"/>
                <w:color w:val="auto"/>
              </w:rPr>
              <w:t>The Interim Segment Value of an Indexed Account is equal to the current</w:t>
            </w:r>
          </w:p>
        </w:tc>
      </w:tr>
      <w:tr>
        <w:trPr>
          <w:trHeight w:val="144"/>
        </w:trPr>
        <w:tc>
          <w:tcPr>
            <w:tcW w:w="1660" w:type="dxa"/>
            <w:vAlign w:val="bottom"/>
            <w:tcBorders>
              <w:left w:val="single" w:sz="8" w:color="auto"/>
              <w:right w:val="single" w:sz="8" w:color="auto"/>
            </w:tcBorders>
          </w:tcPr>
          <w:p>
            <w:pPr>
              <w:spacing w:after="0"/>
              <w:rPr>
                <w:sz w:val="12"/>
                <w:szCs w:val="12"/>
                <w:color w:val="auto"/>
              </w:rPr>
            </w:pPr>
          </w:p>
        </w:tc>
        <w:tc>
          <w:tcPr>
            <w:tcW w:w="4640" w:type="dxa"/>
            <w:vAlign w:val="bottom"/>
            <w:tcBorders>
              <w:right w:val="single" w:sz="8" w:color="auto"/>
            </w:tcBorders>
          </w:tcPr>
          <w:p>
            <w:pPr>
              <w:ind w:left="60"/>
              <w:spacing w:after="0" w:line="144" w:lineRule="exact"/>
              <w:rPr>
                <w:sz w:val="20"/>
                <w:szCs w:val="20"/>
                <w:color w:val="auto"/>
              </w:rPr>
            </w:pPr>
            <w:r>
              <w:rPr>
                <w:rFonts w:ascii="Times New Roman" w:cs="Times New Roman" w:eastAsia="Times New Roman" w:hAnsi="Times New Roman"/>
                <w:sz w:val="14"/>
                <w:szCs w:val="14"/>
                <w:color w:val="auto"/>
              </w:rPr>
              <w:t>Segment Value in the Indexed Account plus Accrued Index Return. Accrued</w:t>
            </w:r>
          </w:p>
        </w:tc>
      </w:tr>
      <w:tr>
        <w:trPr>
          <w:trHeight w:val="154"/>
        </w:trPr>
        <w:tc>
          <w:tcPr>
            <w:tcW w:w="1660" w:type="dxa"/>
            <w:vAlign w:val="bottom"/>
            <w:tcBorders>
              <w:left w:val="single" w:sz="8" w:color="auto"/>
              <w:right w:val="single" w:sz="8" w:color="auto"/>
            </w:tcBorders>
          </w:tcPr>
          <w:p>
            <w:pPr>
              <w:spacing w:after="0"/>
              <w:rPr>
                <w:sz w:val="13"/>
                <w:szCs w:val="13"/>
                <w:color w:val="auto"/>
              </w:rPr>
            </w:pPr>
          </w:p>
        </w:tc>
        <w:tc>
          <w:tcPr>
            <w:tcW w:w="4640" w:type="dxa"/>
            <w:vAlign w:val="bottom"/>
            <w:tcBorders>
              <w:right w:val="single" w:sz="8" w:color="auto"/>
            </w:tcBorders>
          </w:tcPr>
          <w:p>
            <w:pPr>
              <w:ind w:left="60"/>
              <w:spacing w:after="0" w:line="155" w:lineRule="exact"/>
              <w:rPr>
                <w:sz w:val="20"/>
                <w:szCs w:val="20"/>
                <w:color w:val="auto"/>
              </w:rPr>
            </w:pPr>
            <w:r>
              <w:rPr>
                <w:rFonts w:ascii="Times New Roman" w:cs="Times New Roman" w:eastAsia="Times New Roman" w:hAnsi="Times New Roman"/>
                <w:sz w:val="14"/>
                <w:szCs w:val="14"/>
                <w:color w:val="auto"/>
              </w:rPr>
              <w:t>Index Return is determined using the Accrued Buffer Rate, which is less than</w:t>
            </w:r>
          </w:p>
        </w:tc>
      </w:tr>
      <w:tr>
        <w:trPr>
          <w:trHeight w:val="154"/>
        </w:trPr>
        <w:tc>
          <w:tcPr>
            <w:tcW w:w="1660" w:type="dxa"/>
            <w:vAlign w:val="bottom"/>
            <w:tcBorders>
              <w:left w:val="single" w:sz="8" w:color="auto"/>
              <w:right w:val="single" w:sz="8" w:color="auto"/>
            </w:tcBorders>
          </w:tcPr>
          <w:p>
            <w:pPr>
              <w:spacing w:after="0"/>
              <w:rPr>
                <w:sz w:val="13"/>
                <w:szCs w:val="13"/>
                <w:color w:val="auto"/>
              </w:rPr>
            </w:pPr>
          </w:p>
        </w:tc>
        <w:tc>
          <w:tcPr>
            <w:tcW w:w="4640" w:type="dxa"/>
            <w:vAlign w:val="bottom"/>
            <w:tcBorders>
              <w:right w:val="single" w:sz="8" w:color="auto"/>
            </w:tcBorders>
          </w:tcPr>
          <w:p>
            <w:pPr>
              <w:ind w:left="60"/>
              <w:spacing w:after="0" w:line="155" w:lineRule="exact"/>
              <w:rPr>
                <w:sz w:val="20"/>
                <w:szCs w:val="20"/>
                <w:color w:val="auto"/>
              </w:rPr>
            </w:pPr>
            <w:r>
              <w:rPr>
                <w:rFonts w:ascii="Times New Roman" w:cs="Times New Roman" w:eastAsia="Times New Roman" w:hAnsi="Times New Roman"/>
                <w:sz w:val="14"/>
                <w:szCs w:val="14"/>
                <w:color w:val="auto"/>
                <w:w w:val="99"/>
              </w:rPr>
              <w:t>the full Buffer Rate (except for the Buffer 100, the Accrued Buffer Rate is always</w:t>
            </w:r>
          </w:p>
        </w:tc>
      </w:tr>
      <w:tr>
        <w:trPr>
          <w:trHeight w:val="144"/>
        </w:trPr>
        <w:tc>
          <w:tcPr>
            <w:tcW w:w="1660" w:type="dxa"/>
            <w:vAlign w:val="bottom"/>
            <w:tcBorders>
              <w:left w:val="single" w:sz="8" w:color="auto"/>
              <w:right w:val="single" w:sz="8" w:color="auto"/>
            </w:tcBorders>
          </w:tcPr>
          <w:p>
            <w:pPr>
              <w:spacing w:after="0"/>
              <w:rPr>
                <w:sz w:val="12"/>
                <w:szCs w:val="12"/>
                <w:color w:val="auto"/>
              </w:rPr>
            </w:pPr>
          </w:p>
        </w:tc>
        <w:tc>
          <w:tcPr>
            <w:tcW w:w="4640" w:type="dxa"/>
            <w:vAlign w:val="bottom"/>
            <w:tcBorders>
              <w:right w:val="single" w:sz="8" w:color="auto"/>
            </w:tcBorders>
          </w:tcPr>
          <w:p>
            <w:pPr>
              <w:ind w:left="60"/>
              <w:spacing w:after="0" w:line="144" w:lineRule="exact"/>
              <w:rPr>
                <w:sz w:val="20"/>
                <w:szCs w:val="20"/>
                <w:color w:val="auto"/>
              </w:rPr>
            </w:pPr>
            <w:r>
              <w:rPr>
                <w:rFonts w:ascii="Times New Roman" w:cs="Times New Roman" w:eastAsia="Times New Roman" w:hAnsi="Times New Roman"/>
                <w:sz w:val="14"/>
                <w:szCs w:val="14"/>
                <w:color w:val="auto"/>
              </w:rPr>
              <w:t>100%), and the Accrued Cap Rate, which is less than the full Cap Rate. This</w:t>
            </w:r>
          </w:p>
        </w:tc>
      </w:tr>
      <w:tr>
        <w:trPr>
          <w:trHeight w:val="154"/>
        </w:trPr>
        <w:tc>
          <w:tcPr>
            <w:tcW w:w="1660" w:type="dxa"/>
            <w:vAlign w:val="bottom"/>
            <w:tcBorders>
              <w:left w:val="single" w:sz="8" w:color="auto"/>
              <w:right w:val="single" w:sz="8" w:color="auto"/>
            </w:tcBorders>
          </w:tcPr>
          <w:p>
            <w:pPr>
              <w:spacing w:after="0"/>
              <w:rPr>
                <w:sz w:val="13"/>
                <w:szCs w:val="13"/>
                <w:color w:val="auto"/>
              </w:rPr>
            </w:pPr>
          </w:p>
        </w:tc>
        <w:tc>
          <w:tcPr>
            <w:tcW w:w="4640" w:type="dxa"/>
            <w:vAlign w:val="bottom"/>
            <w:tcBorders>
              <w:right w:val="single" w:sz="8" w:color="auto"/>
            </w:tcBorders>
          </w:tcPr>
          <w:p>
            <w:pPr>
              <w:ind w:left="60"/>
              <w:spacing w:after="0" w:line="155" w:lineRule="exact"/>
              <w:rPr>
                <w:sz w:val="20"/>
                <w:szCs w:val="20"/>
                <w:color w:val="auto"/>
              </w:rPr>
            </w:pPr>
            <w:r>
              <w:rPr>
                <w:rFonts w:ascii="Times New Roman" w:cs="Times New Roman" w:eastAsia="Times New Roman" w:hAnsi="Times New Roman"/>
                <w:sz w:val="14"/>
                <w:szCs w:val="14"/>
                <w:color w:val="auto"/>
              </w:rPr>
              <w:t>means any negative interest we use to calculate the Interim Segment Value</w:t>
            </w:r>
          </w:p>
        </w:tc>
      </w:tr>
      <w:tr>
        <w:trPr>
          <w:trHeight w:val="154"/>
        </w:trPr>
        <w:tc>
          <w:tcPr>
            <w:tcW w:w="1660" w:type="dxa"/>
            <w:vAlign w:val="bottom"/>
            <w:tcBorders>
              <w:left w:val="single" w:sz="8" w:color="auto"/>
              <w:right w:val="single" w:sz="8" w:color="auto"/>
            </w:tcBorders>
          </w:tcPr>
          <w:p>
            <w:pPr>
              <w:spacing w:after="0"/>
              <w:rPr>
                <w:sz w:val="13"/>
                <w:szCs w:val="13"/>
                <w:color w:val="auto"/>
              </w:rPr>
            </w:pPr>
          </w:p>
        </w:tc>
        <w:tc>
          <w:tcPr>
            <w:tcW w:w="4640" w:type="dxa"/>
            <w:vAlign w:val="bottom"/>
            <w:tcBorders>
              <w:right w:val="single" w:sz="8" w:color="auto"/>
            </w:tcBorders>
          </w:tcPr>
          <w:p>
            <w:pPr>
              <w:ind w:left="60"/>
              <w:spacing w:after="0" w:line="155" w:lineRule="exact"/>
              <w:rPr>
                <w:sz w:val="20"/>
                <w:szCs w:val="20"/>
                <w:color w:val="auto"/>
              </w:rPr>
            </w:pPr>
            <w:r>
              <w:rPr>
                <w:rFonts w:ascii="Times New Roman" w:cs="Times New Roman" w:eastAsia="Times New Roman" w:hAnsi="Times New Roman"/>
                <w:sz w:val="14"/>
                <w:szCs w:val="14"/>
                <w:color w:val="auto"/>
              </w:rPr>
              <w:t>may be greater than it would be on the Segment Maturity Date, and any</w:t>
            </w:r>
          </w:p>
        </w:tc>
      </w:tr>
      <w:tr>
        <w:trPr>
          <w:trHeight w:val="144"/>
        </w:trPr>
        <w:tc>
          <w:tcPr>
            <w:tcW w:w="1660" w:type="dxa"/>
            <w:vAlign w:val="bottom"/>
            <w:tcBorders>
              <w:left w:val="single" w:sz="8" w:color="auto"/>
              <w:right w:val="single" w:sz="8" w:color="auto"/>
            </w:tcBorders>
          </w:tcPr>
          <w:p>
            <w:pPr>
              <w:spacing w:after="0"/>
              <w:rPr>
                <w:sz w:val="12"/>
                <w:szCs w:val="12"/>
                <w:color w:val="auto"/>
              </w:rPr>
            </w:pPr>
          </w:p>
        </w:tc>
        <w:tc>
          <w:tcPr>
            <w:tcW w:w="4640" w:type="dxa"/>
            <w:vAlign w:val="bottom"/>
            <w:tcBorders>
              <w:right w:val="single" w:sz="8" w:color="auto"/>
            </w:tcBorders>
          </w:tcPr>
          <w:p>
            <w:pPr>
              <w:ind w:left="60"/>
              <w:spacing w:after="0" w:line="144" w:lineRule="exact"/>
              <w:rPr>
                <w:sz w:val="20"/>
                <w:szCs w:val="20"/>
                <w:color w:val="auto"/>
              </w:rPr>
            </w:pPr>
            <w:r>
              <w:rPr>
                <w:rFonts w:ascii="Times New Roman" w:cs="Times New Roman" w:eastAsia="Times New Roman" w:hAnsi="Times New Roman"/>
                <w:sz w:val="14"/>
                <w:szCs w:val="14"/>
                <w:color w:val="auto"/>
              </w:rPr>
              <w:t>positive interest we credit may be less than it would be on the Segment</w:t>
            </w:r>
          </w:p>
        </w:tc>
      </w:tr>
      <w:tr>
        <w:trPr>
          <w:trHeight w:val="154"/>
        </w:trPr>
        <w:tc>
          <w:tcPr>
            <w:tcW w:w="1660" w:type="dxa"/>
            <w:vAlign w:val="bottom"/>
            <w:tcBorders>
              <w:left w:val="single" w:sz="8" w:color="auto"/>
              <w:right w:val="single" w:sz="8" w:color="auto"/>
            </w:tcBorders>
          </w:tcPr>
          <w:p>
            <w:pPr>
              <w:spacing w:after="0"/>
              <w:rPr>
                <w:sz w:val="13"/>
                <w:szCs w:val="13"/>
                <w:color w:val="auto"/>
              </w:rPr>
            </w:pPr>
          </w:p>
        </w:tc>
        <w:tc>
          <w:tcPr>
            <w:tcW w:w="4640" w:type="dxa"/>
            <w:vAlign w:val="bottom"/>
            <w:tcBorders>
              <w:right w:val="single" w:sz="8" w:color="auto"/>
            </w:tcBorders>
          </w:tcPr>
          <w:p>
            <w:pPr>
              <w:ind w:left="60"/>
              <w:spacing w:after="0" w:line="155" w:lineRule="exact"/>
              <w:rPr>
                <w:sz w:val="20"/>
                <w:szCs w:val="20"/>
                <w:color w:val="auto"/>
              </w:rPr>
            </w:pPr>
            <w:r>
              <w:rPr>
                <w:rFonts w:ascii="Times New Roman" w:cs="Times New Roman" w:eastAsia="Times New Roman" w:hAnsi="Times New Roman"/>
                <w:sz w:val="14"/>
                <w:szCs w:val="14"/>
                <w:color w:val="auto"/>
              </w:rPr>
              <w:t>Maturity Date. See “INTERIM SEGMENT VALUE CALCULATION.”</w:t>
            </w:r>
          </w:p>
        </w:tc>
      </w:tr>
      <w:tr>
        <w:trPr>
          <w:trHeight w:val="154"/>
        </w:trPr>
        <w:tc>
          <w:tcPr>
            <w:tcW w:w="1660" w:type="dxa"/>
            <w:vAlign w:val="bottom"/>
            <w:tcBorders>
              <w:left w:val="single" w:sz="8" w:color="auto"/>
              <w:right w:val="single" w:sz="8" w:color="auto"/>
            </w:tcBorders>
          </w:tcPr>
          <w:p>
            <w:pPr>
              <w:spacing w:after="0"/>
              <w:rPr>
                <w:sz w:val="13"/>
                <w:szCs w:val="13"/>
                <w:color w:val="auto"/>
              </w:rPr>
            </w:pPr>
          </w:p>
        </w:tc>
        <w:tc>
          <w:tcPr>
            <w:tcW w:w="4640" w:type="dxa"/>
            <w:vAlign w:val="bottom"/>
            <w:tcBorders>
              <w:right w:val="single" w:sz="8" w:color="auto"/>
            </w:tcBorders>
          </w:tcPr>
          <w:p>
            <w:pPr>
              <w:ind w:left="60"/>
              <w:spacing w:after="0" w:line="155" w:lineRule="exact"/>
              <w:rPr>
                <w:sz w:val="20"/>
                <w:szCs w:val="20"/>
                <w:color w:val="auto"/>
              </w:rPr>
            </w:pPr>
            <w:r>
              <w:rPr>
                <w:rFonts w:ascii="Times New Roman" w:cs="Times New Roman" w:eastAsia="Times New Roman" w:hAnsi="Times New Roman"/>
                <w:sz w:val="14"/>
                <w:szCs w:val="14"/>
                <w:color w:val="auto"/>
              </w:rPr>
              <w:t>You may obtain your Interim Segment Value on any Business Day by calling us</w:t>
            </w:r>
          </w:p>
        </w:tc>
      </w:tr>
      <w:tr>
        <w:trPr>
          <w:trHeight w:val="144"/>
        </w:trPr>
        <w:tc>
          <w:tcPr>
            <w:tcW w:w="1660" w:type="dxa"/>
            <w:vAlign w:val="bottom"/>
            <w:tcBorders>
              <w:left w:val="single" w:sz="8" w:color="auto"/>
              <w:right w:val="single" w:sz="8" w:color="auto"/>
            </w:tcBorders>
          </w:tcPr>
          <w:p>
            <w:pPr>
              <w:spacing w:after="0"/>
              <w:rPr>
                <w:sz w:val="12"/>
                <w:szCs w:val="12"/>
                <w:color w:val="auto"/>
              </w:rPr>
            </w:pPr>
          </w:p>
        </w:tc>
        <w:tc>
          <w:tcPr>
            <w:tcW w:w="4640" w:type="dxa"/>
            <w:vAlign w:val="bottom"/>
            <w:tcBorders>
              <w:right w:val="single" w:sz="8" w:color="auto"/>
            </w:tcBorders>
          </w:tcPr>
          <w:p>
            <w:pPr>
              <w:ind w:left="60"/>
              <w:spacing w:after="0" w:line="144" w:lineRule="exact"/>
              <w:rPr>
                <w:sz w:val="20"/>
                <w:szCs w:val="20"/>
                <w:color w:val="auto"/>
              </w:rPr>
            </w:pPr>
            <w:r>
              <w:rPr>
                <w:rFonts w:ascii="Times New Roman" w:cs="Times New Roman" w:eastAsia="Times New Roman" w:hAnsi="Times New Roman"/>
                <w:sz w:val="14"/>
                <w:szCs w:val="14"/>
                <w:color w:val="auto"/>
              </w:rPr>
              <w:t>at 1-800-882-1292 or by accessing our website at</w:t>
            </w:r>
          </w:p>
        </w:tc>
      </w:tr>
      <w:tr>
        <w:trPr>
          <w:trHeight w:val="176"/>
        </w:trPr>
        <w:tc>
          <w:tcPr>
            <w:tcW w:w="1660" w:type="dxa"/>
            <w:vAlign w:val="bottom"/>
            <w:tcBorders>
              <w:left w:val="single" w:sz="8" w:color="auto"/>
              <w:right w:val="single" w:sz="8" w:color="auto"/>
            </w:tcBorders>
          </w:tcPr>
          <w:p>
            <w:pPr>
              <w:spacing w:after="0"/>
              <w:rPr>
                <w:sz w:val="15"/>
                <w:szCs w:val="15"/>
                <w:color w:val="auto"/>
              </w:rPr>
            </w:pPr>
          </w:p>
        </w:tc>
        <w:tc>
          <w:tcPr>
            <w:tcW w:w="46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www.brighthousefinancial.com.</w:t>
            </w:r>
          </w:p>
        </w:tc>
      </w:tr>
      <w:tr>
        <w:trPr>
          <w:trHeight w:val="79"/>
        </w:trPr>
        <w:tc>
          <w:tcPr>
            <w:tcW w:w="1660" w:type="dxa"/>
            <w:vAlign w:val="bottom"/>
            <w:tcBorders>
              <w:left w:val="single" w:sz="8" w:color="auto"/>
              <w:bottom w:val="single" w:sz="8" w:color="auto"/>
              <w:right w:val="single" w:sz="8" w:color="auto"/>
            </w:tcBorders>
          </w:tcPr>
          <w:p>
            <w:pPr>
              <w:spacing w:after="0"/>
              <w:rPr>
                <w:sz w:val="6"/>
                <w:szCs w:val="6"/>
                <w:color w:val="auto"/>
              </w:rPr>
            </w:pPr>
          </w:p>
        </w:tc>
        <w:tc>
          <w:tcPr>
            <w:tcW w:w="4640" w:type="dxa"/>
            <w:vAlign w:val="bottom"/>
            <w:tcBorders>
              <w:bottom w:val="single" w:sz="8" w:color="auto"/>
              <w:right w:val="single" w:sz="8" w:color="auto"/>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179070</wp:posOffset>
            </wp:positionH>
            <wp:positionV relativeFrom="page">
              <wp:posOffset>422275</wp:posOffset>
            </wp:positionV>
            <wp:extent cx="719010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90105" cy="3873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-4718050</wp:posOffset>
            </wp:positionV>
            <wp:extent cx="3983990" cy="17049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983990" cy="170497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-2562860</wp:posOffset>
            </wp:positionV>
            <wp:extent cx="3983990" cy="25539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983990" cy="2553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9219"/>
          </w:cols>
          <w:pgMar w:left="1240" w:top="1071" w:right="1440" w:bottom="1440" w:gutter="0" w:footer="0" w:header="0"/>
        </w:sectPr>
      </w:pPr>
    </w:p>
    <w:bookmarkStart w:id="16" w:name="page17"/>
    <w:bookmarkEnd w:id="16"/>
    <w:p>
      <w:pPr>
        <w:ind w:left="1660" w:right="3159" w:hanging="1583"/>
        <w:spacing w:after="0" w:line="249" w:lineRule="auto"/>
        <w:tabs>
          <w:tab w:leader="none" w:pos="1640" w:val="left"/>
        </w:tabs>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422275</wp:posOffset>
            </wp:positionV>
            <wp:extent cx="7190105" cy="5462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90105" cy="5462905"/>
                    </a:xfrm>
                    <a:prstGeom prst="rect">
                      <a:avLst/>
                    </a:prstGeom>
                    <a:noFill/>
                  </pic:spPr>
                </pic:pic>
              </a:graphicData>
            </a:graphic>
          </wp:anchor>
        </w:drawing>
        <w:t>Allocations and Transfers</w:t>
        <w:tab/>
        <w:t>You may allocate Net Premiums among the Fixed Account and the Indexed Accounts. The initial Net Premium will be allocated according to the allocations you chose at the time you apply for the Policy. Future Net Premiums are allocated as follows:</w:t>
      </w:r>
    </w:p>
    <w:p>
      <w:pPr>
        <w:spacing w:after="0" w:line="2" w:lineRule="exact"/>
        <w:rPr>
          <w:sz w:val="20"/>
          <w:szCs w:val="20"/>
          <w:color w:val="auto"/>
        </w:rPr>
      </w:pPr>
    </w:p>
    <w:p>
      <w:pPr>
        <w:ind w:left="1940" w:right="3159" w:hanging="145"/>
        <w:spacing w:after="0" w:line="245" w:lineRule="auto"/>
        <w:tabs>
          <w:tab w:leader="none" w:pos="2022"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Future Net Premium to the Fixed Account will always go directly into the Fixed Account.</w:t>
      </w:r>
    </w:p>
    <w:p>
      <w:pPr>
        <w:ind w:left="1940" w:right="3079" w:hanging="145"/>
        <w:spacing w:after="0" w:line="245" w:lineRule="auto"/>
        <w:tabs>
          <w:tab w:leader="none" w:pos="2022"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Future Net Premium to Indexed Accounts received within the Transfer Period, which is the 21 day period following any Policy Anniversary, will be treated as if it had been received on the Policy Anniversary, and we will apply the Net Premium directly to the Indexed Accounts.</w:t>
      </w:r>
    </w:p>
    <w:p>
      <w:pPr>
        <w:ind w:left="1940" w:right="3079" w:hanging="145"/>
        <w:spacing w:after="0" w:line="245" w:lineRule="auto"/>
        <w:tabs>
          <w:tab w:leader="none" w:pos="2022"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Future Net Premium received after the Transfer Period will remain in the associated Holding Account until the next Policy Anniversary. On the Policy Anniversary, we will transfer amounts in the Holding Account to its associated Indexed Account according to your latest instructions on file</w:t>
      </w:r>
    </w:p>
    <w:p>
      <w:pPr>
        <w:spacing w:after="0" w:line="1"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4"/>
          <w:szCs w:val="14"/>
          <w:color w:val="auto"/>
        </w:rPr>
        <w:t>with us unless you provide us different allocation instructions before the</w:t>
      </w:r>
    </w:p>
    <w:p>
      <w:pPr>
        <w:spacing w:after="0" w:line="4"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4"/>
          <w:szCs w:val="14"/>
          <w:color w:val="auto"/>
        </w:rPr>
        <w:t>end of the Transfer Period or have elected the automatic Cash Value</w:t>
      </w:r>
    </w:p>
    <w:p>
      <w:pPr>
        <w:spacing w:after="0" w:line="4"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4"/>
          <w:szCs w:val="14"/>
          <w:color w:val="auto"/>
        </w:rPr>
        <w:t>rebalancing program.</w:t>
      </w:r>
    </w:p>
    <w:p>
      <w:pPr>
        <w:spacing w:after="0" w:line="4"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In connection with any Segment Maturity Date, the Segment Value allocated to</w:t>
      </w:r>
    </w:p>
    <w:p>
      <w:pPr>
        <w:spacing w:after="0" w:line="4"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the maturing Indexed Account will automatically be renewed into the same</w:t>
      </w:r>
    </w:p>
    <w:p>
      <w:pPr>
        <w:spacing w:after="0" w:line="4"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Indexed Account unless you instruct us to transfer such amount into a different</w:t>
      </w:r>
    </w:p>
    <w:p>
      <w:pPr>
        <w:spacing w:after="0" w:line="4"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Indexed Account(s) or the Fixed Account or have elected the automatic Cash</w:t>
      </w:r>
    </w:p>
    <w:p>
      <w:pPr>
        <w:spacing w:after="0" w:line="4"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Value rebalancing program. If the same Segment is not available, the Segment</w:t>
      </w:r>
    </w:p>
    <w:p>
      <w:pPr>
        <w:spacing w:after="0" w:line="4"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Value will be transferred to the Fixed Account.</w:t>
      </w:r>
    </w:p>
    <w:p>
      <w:pPr>
        <w:spacing w:after="0" w:line="4"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Under our current administrative procedures, you have the Transfer Period to</w:t>
      </w:r>
    </w:p>
    <w:p>
      <w:pPr>
        <w:spacing w:after="0" w:line="4"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notify us that you want to transfer some or all of your Segment Value to a new</w:t>
      </w:r>
    </w:p>
    <w:p>
      <w:pPr>
        <w:spacing w:after="0" w:line="4"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Indexed Account(s) or the Fixed Account. The request to transfer must be</w:t>
      </w:r>
    </w:p>
    <w:p>
      <w:pPr>
        <w:spacing w:after="0" w:line="4"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received at our Administrative Office. See “REQUESTS AND ELECTIONS.”</w:t>
      </w:r>
    </w:p>
    <w:p>
      <w:pPr>
        <w:spacing w:after="0" w:line="4"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Transfers out of an Indexed Account before Segment Maturity Date are not</w:t>
      </w:r>
    </w:p>
    <w:p>
      <w:pPr>
        <w:spacing w:after="0" w:line="4"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permitted. See “TRANSFERS.”</w:t>
      </w:r>
    </w:p>
    <w:p>
      <w:pPr>
        <w:spacing w:after="0" w:line="4" w:lineRule="exact"/>
        <w:rPr>
          <w:sz w:val="20"/>
          <w:szCs w:val="20"/>
          <w:color w:val="auto"/>
        </w:rPr>
      </w:pPr>
    </w:p>
    <w:p>
      <w:pPr>
        <w:ind w:left="1660" w:right="2899"/>
        <w:spacing w:after="0" w:line="245" w:lineRule="auto"/>
        <w:rPr>
          <w:sz w:val="20"/>
          <w:szCs w:val="20"/>
          <w:color w:val="auto"/>
        </w:rPr>
      </w:pPr>
      <w:r>
        <w:rPr>
          <w:rFonts w:ascii="Times New Roman" w:cs="Times New Roman" w:eastAsia="Times New Roman" w:hAnsi="Times New Roman"/>
          <w:sz w:val="14"/>
          <w:szCs w:val="14"/>
          <w:color w:val="auto"/>
        </w:rPr>
        <w:t>In addition, you may transfer any unloaned Cash Value among the Fixed Account and Indexed Accounts on a Policy Anniversary. Unloaned Cash Value is the total of the values in the Fixed Account, Holding Accounts, and Indexed Accounts. Under our current administrative procedures, we will allow you to make transfers during the Transfer Period, and we will treat the transfer as if it occurred on the Policy Anniversary. See “TRANSFERS” and “AUTOMATIC CASH VALUE REBALANCING.”</w:t>
      </w:r>
    </w:p>
    <w:p>
      <w:pPr>
        <w:spacing w:after="0" w:line="2"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If you have started Distribution Payments under the GDR, all of your unloaned</w:t>
      </w:r>
    </w:p>
    <w:p>
      <w:pPr>
        <w:spacing w:after="0" w:line="4"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Cash Value will have been transferred to the Fixed Account, and you may not</w:t>
      </w:r>
    </w:p>
    <w:p>
      <w:pPr>
        <w:spacing w:after="0" w:line="4"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transfer to the Indexed Accounts while receiving Distribution Payments.</w:t>
      </w:r>
    </w:p>
    <w:p>
      <w:pPr>
        <w:spacing w:after="0" w:line="4"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When you start Distribution Payments, even though you are no longer allocated</w:t>
      </w:r>
    </w:p>
    <w:p>
      <w:pPr>
        <w:spacing w:after="0" w:line="4"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to any Indexed Account, we will not refund any portion of your Annual Indexed</w:t>
      </w:r>
    </w:p>
    <w:p>
      <w:pPr>
        <w:spacing w:after="0" w:line="4"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Account Charge. Your Annual Deduction will not include an Annual Indexed</w:t>
      </w:r>
    </w:p>
    <w:p>
      <w:pPr>
        <w:spacing w:after="0" w:line="4"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Account Charge if all your unloaned Cash Value is in the Fixed Account. If you</w:t>
      </w:r>
    </w:p>
    <w:p>
      <w:pPr>
        <w:spacing w:after="0" w:line="4"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stop receiving Distribution Payments and instruct us to transfer amounts from</w:t>
      </w:r>
    </w:p>
    <w:p>
      <w:pPr>
        <w:spacing w:after="0" w:line="4"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the Fixed Account to one or more Indexed Accounts, the transfer will take effect</w:t>
      </w:r>
    </w:p>
    <w:p>
      <w:pPr>
        <w:spacing w:after="0" w:line="4"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on the next Policy Anniversary, and you will be assessed an Annual Indexed</w:t>
      </w:r>
    </w:p>
    <w:p>
      <w:pPr>
        <w:spacing w:after="0" w:line="4"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Account Charge as part of the Annual Deduction. See “Annual Deduction” under</w:t>
      </w:r>
    </w:p>
    <w:p>
      <w:pPr>
        <w:spacing w:after="0" w:line="4"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“CHARGES.”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280" w:type="dxa"/>
            <w:vAlign w:val="bottom"/>
            <w:shd w:val="clear" w:color="auto" w:fill="F0FFFF"/>
          </w:tcPr>
          <w:p>
            <w:pPr>
              <w:ind w:left="80"/>
              <w:spacing w:after="0"/>
              <w:rPr>
                <w:sz w:val="20"/>
                <w:szCs w:val="20"/>
                <w:color w:val="auto"/>
              </w:rPr>
            </w:pPr>
            <w:r>
              <w:rPr>
                <w:rFonts w:ascii="Times New Roman" w:cs="Times New Roman" w:eastAsia="Times New Roman" w:hAnsi="Times New Roman"/>
                <w:sz w:val="14"/>
                <w:szCs w:val="14"/>
                <w:color w:val="auto"/>
              </w:rPr>
              <w:t>Fixed Account</w:t>
            </w:r>
          </w:p>
        </w:tc>
        <w:tc>
          <w:tcPr>
            <w:tcW w:w="5120" w:type="dxa"/>
            <w:vAlign w:val="bottom"/>
            <w:shd w:val="clear" w:color="auto" w:fill="F0FFFF"/>
          </w:tcPr>
          <w:p>
            <w:pPr>
              <w:ind w:left="380"/>
              <w:spacing w:after="0"/>
              <w:rPr>
                <w:sz w:val="20"/>
                <w:szCs w:val="20"/>
                <w:color w:val="auto"/>
              </w:rPr>
            </w:pPr>
            <w:r>
              <w:rPr>
                <w:rFonts w:ascii="Times New Roman" w:cs="Times New Roman" w:eastAsia="Times New Roman" w:hAnsi="Times New Roman"/>
                <w:sz w:val="14"/>
                <w:szCs w:val="14"/>
                <w:color w:val="auto"/>
              </w:rPr>
              <w:t>We offer a Fixed Account. See Appendix C.</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9219"/>
          </w:cols>
          <w:pgMar w:left="1240" w:top="1114" w:right="1440" w:bottom="1440" w:gutter="0" w:footer="0" w:header="0"/>
        </w:sectPr>
      </w:pPr>
    </w:p>
    <w:bookmarkStart w:id="17" w:name="page18"/>
    <w:bookmarkEnd w:id="17"/>
    <w:tbl>
      <w:tblPr>
        <w:tblLayout w:type="fixed"/>
        <w:tblInd w:w="10" w:type="dxa"/>
        <w:tblCellMar>
          <w:top w:w="0" w:type="dxa"/>
          <w:left w:w="0" w:type="dxa"/>
          <w:bottom w:w="0" w:type="dxa"/>
          <w:right w:w="0" w:type="dxa"/>
        </w:tblCellMar>
      </w:tblPr>
      <w:tr>
        <w:trPr>
          <w:trHeight w:val="183"/>
        </w:trPr>
        <w:tc>
          <w:tcPr>
            <w:tcW w:w="168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Access to Your Money</w:t>
            </w:r>
          </w:p>
        </w:tc>
        <w:tc>
          <w:tcPr>
            <w:tcW w:w="4640" w:type="dxa"/>
            <w:vAlign w:val="bottom"/>
            <w:tcBorders>
              <w:top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color w:val="auto"/>
              </w:rPr>
              <w:t>You may borrow money from your Policy by taking a loan. A loan reduces the</w:t>
            </w:r>
          </w:p>
        </w:tc>
      </w:tr>
      <w:tr>
        <w:trPr>
          <w:trHeight w:val="165"/>
        </w:trPr>
        <w:tc>
          <w:tcPr>
            <w:tcW w:w="1680" w:type="dxa"/>
            <w:vAlign w:val="bottom"/>
            <w:tcBorders>
              <w:left w:val="single" w:sz="8" w:color="auto"/>
              <w:right w:val="single" w:sz="8" w:color="auto"/>
            </w:tcBorders>
          </w:tcPr>
          <w:p>
            <w:pPr>
              <w:spacing w:after="0"/>
              <w:rPr>
                <w:sz w:val="14"/>
                <w:szCs w:val="14"/>
                <w:color w:val="auto"/>
              </w:rPr>
            </w:pPr>
          </w:p>
        </w:tc>
        <w:tc>
          <w:tcPr>
            <w:tcW w:w="464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color w:val="auto"/>
              </w:rPr>
              <w:t>Policy’s Cash Value in the Indexed Accounts, Holding Accounts, and the Fixed</w:t>
            </w:r>
          </w:p>
        </w:tc>
      </w:tr>
      <w:tr>
        <w:trPr>
          <w:trHeight w:val="165"/>
        </w:trPr>
        <w:tc>
          <w:tcPr>
            <w:tcW w:w="1680" w:type="dxa"/>
            <w:vAlign w:val="bottom"/>
            <w:tcBorders>
              <w:left w:val="single" w:sz="8" w:color="auto"/>
              <w:right w:val="single" w:sz="8" w:color="auto"/>
            </w:tcBorders>
          </w:tcPr>
          <w:p>
            <w:pPr>
              <w:spacing w:after="0"/>
              <w:rPr>
                <w:sz w:val="14"/>
                <w:szCs w:val="14"/>
                <w:color w:val="auto"/>
              </w:rPr>
            </w:pPr>
          </w:p>
        </w:tc>
        <w:tc>
          <w:tcPr>
            <w:tcW w:w="464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color w:val="auto"/>
                <w:w w:val="99"/>
              </w:rPr>
              <w:t>Account and may increase your risk of Policy lapse. Policy Proceeds will also be</w:t>
            </w:r>
          </w:p>
        </w:tc>
      </w:tr>
      <w:tr>
        <w:trPr>
          <w:trHeight w:val="165"/>
        </w:trPr>
        <w:tc>
          <w:tcPr>
            <w:tcW w:w="1680" w:type="dxa"/>
            <w:vAlign w:val="bottom"/>
            <w:tcBorders>
              <w:left w:val="single" w:sz="8" w:color="auto"/>
              <w:right w:val="single" w:sz="8" w:color="auto"/>
            </w:tcBorders>
          </w:tcPr>
          <w:p>
            <w:pPr>
              <w:spacing w:after="0"/>
              <w:rPr>
                <w:sz w:val="14"/>
                <w:szCs w:val="14"/>
                <w:color w:val="auto"/>
              </w:rPr>
            </w:pPr>
          </w:p>
        </w:tc>
        <w:tc>
          <w:tcPr>
            <w:tcW w:w="464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color w:val="auto"/>
              </w:rPr>
              <w:t>reduced by the Policy Loan Balance. Loans may have tax consequences.</w:t>
            </w:r>
          </w:p>
        </w:tc>
      </w:tr>
      <w:tr>
        <w:trPr>
          <w:trHeight w:val="165"/>
        </w:trPr>
        <w:tc>
          <w:tcPr>
            <w:tcW w:w="1680" w:type="dxa"/>
            <w:vAlign w:val="bottom"/>
            <w:tcBorders>
              <w:left w:val="single" w:sz="8" w:color="auto"/>
              <w:right w:val="single" w:sz="8" w:color="auto"/>
            </w:tcBorders>
          </w:tcPr>
          <w:p>
            <w:pPr>
              <w:spacing w:after="0"/>
              <w:rPr>
                <w:sz w:val="14"/>
                <w:szCs w:val="14"/>
                <w:color w:val="auto"/>
              </w:rPr>
            </w:pPr>
          </w:p>
        </w:tc>
        <w:tc>
          <w:tcPr>
            <w:tcW w:w="464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color w:val="auto"/>
                <w:w w:val="99"/>
              </w:rPr>
              <w:t>There are two ways to take a loan: (1) by borrowing some portion of the Policy’s</w:t>
            </w:r>
          </w:p>
        </w:tc>
      </w:tr>
      <w:tr>
        <w:trPr>
          <w:trHeight w:val="165"/>
        </w:trPr>
        <w:tc>
          <w:tcPr>
            <w:tcW w:w="1680" w:type="dxa"/>
            <w:vAlign w:val="bottom"/>
            <w:tcBorders>
              <w:left w:val="single" w:sz="8" w:color="auto"/>
              <w:right w:val="single" w:sz="8" w:color="auto"/>
            </w:tcBorders>
          </w:tcPr>
          <w:p>
            <w:pPr>
              <w:spacing w:after="0"/>
              <w:rPr>
                <w:sz w:val="14"/>
                <w:szCs w:val="14"/>
                <w:color w:val="auto"/>
              </w:rPr>
            </w:pPr>
          </w:p>
        </w:tc>
        <w:tc>
          <w:tcPr>
            <w:tcW w:w="464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color w:val="auto"/>
              </w:rPr>
              <w:t>unloaned Cash Value, if available. We will calculate the maximum amount you</w:t>
            </w:r>
          </w:p>
        </w:tc>
      </w:tr>
      <w:tr>
        <w:trPr>
          <w:trHeight w:val="165"/>
        </w:trPr>
        <w:tc>
          <w:tcPr>
            <w:tcW w:w="1680" w:type="dxa"/>
            <w:vAlign w:val="bottom"/>
            <w:tcBorders>
              <w:left w:val="single" w:sz="8" w:color="auto"/>
              <w:right w:val="single" w:sz="8" w:color="auto"/>
            </w:tcBorders>
          </w:tcPr>
          <w:p>
            <w:pPr>
              <w:spacing w:after="0"/>
              <w:rPr>
                <w:sz w:val="14"/>
                <w:szCs w:val="14"/>
                <w:color w:val="auto"/>
              </w:rPr>
            </w:pPr>
          </w:p>
        </w:tc>
        <w:tc>
          <w:tcPr>
            <w:tcW w:w="464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color w:val="auto"/>
              </w:rPr>
              <w:t>may borrow, as of the date the loan is requested; and (2) by taking a</w:t>
            </w:r>
          </w:p>
        </w:tc>
      </w:tr>
      <w:tr>
        <w:trPr>
          <w:trHeight w:val="165"/>
        </w:trPr>
        <w:tc>
          <w:tcPr>
            <w:tcW w:w="1680" w:type="dxa"/>
            <w:vAlign w:val="bottom"/>
            <w:tcBorders>
              <w:left w:val="single" w:sz="8" w:color="auto"/>
              <w:right w:val="single" w:sz="8" w:color="auto"/>
            </w:tcBorders>
          </w:tcPr>
          <w:p>
            <w:pPr>
              <w:spacing w:after="0"/>
              <w:rPr>
                <w:sz w:val="14"/>
                <w:szCs w:val="14"/>
                <w:color w:val="auto"/>
              </w:rPr>
            </w:pPr>
          </w:p>
        </w:tc>
        <w:tc>
          <w:tcPr>
            <w:tcW w:w="464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color w:val="auto"/>
              </w:rPr>
              <w:t>Distribution Payment or the One-time Payment, which is available through the</w:t>
            </w:r>
          </w:p>
        </w:tc>
      </w:tr>
      <w:tr>
        <w:trPr>
          <w:trHeight w:val="165"/>
        </w:trPr>
        <w:tc>
          <w:tcPr>
            <w:tcW w:w="1680" w:type="dxa"/>
            <w:vAlign w:val="bottom"/>
            <w:tcBorders>
              <w:left w:val="single" w:sz="8" w:color="auto"/>
              <w:right w:val="single" w:sz="8" w:color="auto"/>
            </w:tcBorders>
          </w:tcPr>
          <w:p>
            <w:pPr>
              <w:spacing w:after="0"/>
              <w:rPr>
                <w:sz w:val="14"/>
                <w:szCs w:val="14"/>
                <w:color w:val="auto"/>
              </w:rPr>
            </w:pPr>
          </w:p>
        </w:tc>
        <w:tc>
          <w:tcPr>
            <w:tcW w:w="464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color w:val="auto"/>
              </w:rPr>
              <w:t>GDR. The maximum One-time Payment is the lesser of:</w:t>
            </w:r>
          </w:p>
        </w:tc>
      </w:tr>
      <w:tr>
        <w:trPr>
          <w:trHeight w:val="165"/>
        </w:trPr>
        <w:tc>
          <w:tcPr>
            <w:tcW w:w="1680" w:type="dxa"/>
            <w:vAlign w:val="bottom"/>
            <w:tcBorders>
              <w:left w:val="single" w:sz="8" w:color="auto"/>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44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   The difference between the cumulative Maximum Distribution Payments</w:t>
            </w:r>
          </w:p>
        </w:tc>
      </w:tr>
      <w:tr>
        <w:trPr>
          <w:trHeight w:val="165"/>
        </w:trPr>
        <w:tc>
          <w:tcPr>
            <w:tcW w:w="1680" w:type="dxa"/>
            <w:vAlign w:val="bottom"/>
            <w:tcBorders>
              <w:left w:val="single" w:sz="8" w:color="auto"/>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44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available to you based on your chosen Distribution Payment Duration and</w:t>
            </w:r>
          </w:p>
        </w:tc>
      </w:tr>
      <w:tr>
        <w:trPr>
          <w:trHeight w:val="165"/>
        </w:trPr>
        <w:tc>
          <w:tcPr>
            <w:tcW w:w="1680" w:type="dxa"/>
            <w:vAlign w:val="bottom"/>
            <w:tcBorders>
              <w:left w:val="single" w:sz="8" w:color="auto"/>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44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Distribution Payment Frequency and the total Distribution Payments you</w:t>
            </w:r>
          </w:p>
        </w:tc>
      </w:tr>
      <w:tr>
        <w:trPr>
          <w:trHeight w:val="165"/>
        </w:trPr>
        <w:tc>
          <w:tcPr>
            <w:tcW w:w="1680" w:type="dxa"/>
            <w:vAlign w:val="bottom"/>
            <w:tcBorders>
              <w:left w:val="single" w:sz="8" w:color="auto"/>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44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have received since the Distribution Start Date; or,</w:t>
            </w:r>
          </w:p>
        </w:tc>
      </w:tr>
      <w:tr>
        <w:trPr>
          <w:trHeight w:val="165"/>
        </w:trPr>
        <w:tc>
          <w:tcPr>
            <w:tcW w:w="1680" w:type="dxa"/>
            <w:vAlign w:val="bottom"/>
            <w:tcBorders>
              <w:left w:val="single" w:sz="8" w:color="auto"/>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44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   The lesser of: three times the Maximum Distribution Payment or $150,000</w:t>
            </w:r>
          </w:p>
        </w:tc>
      </w:tr>
      <w:tr>
        <w:trPr>
          <w:trHeight w:val="165"/>
        </w:trPr>
        <w:tc>
          <w:tcPr>
            <w:tcW w:w="1680" w:type="dxa"/>
            <w:vAlign w:val="bottom"/>
            <w:tcBorders>
              <w:left w:val="single" w:sz="8" w:color="auto"/>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44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(which is referred to as the One-time Payment Limit and is shown in the</w:t>
            </w:r>
          </w:p>
        </w:tc>
      </w:tr>
      <w:tr>
        <w:trPr>
          <w:trHeight w:val="165"/>
        </w:trPr>
        <w:tc>
          <w:tcPr>
            <w:tcW w:w="1680" w:type="dxa"/>
            <w:vAlign w:val="bottom"/>
            <w:tcBorders>
              <w:left w:val="single" w:sz="8" w:color="auto"/>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44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GDR).</w:t>
            </w:r>
          </w:p>
        </w:tc>
      </w:tr>
      <w:tr>
        <w:trPr>
          <w:trHeight w:val="165"/>
        </w:trPr>
        <w:tc>
          <w:tcPr>
            <w:tcW w:w="1680" w:type="dxa"/>
            <w:vAlign w:val="bottom"/>
            <w:tcBorders>
              <w:left w:val="single" w:sz="8" w:color="auto"/>
              <w:right w:val="single" w:sz="8" w:color="auto"/>
            </w:tcBorders>
          </w:tcPr>
          <w:p>
            <w:pPr>
              <w:spacing w:after="0"/>
              <w:rPr>
                <w:sz w:val="14"/>
                <w:szCs w:val="14"/>
                <w:color w:val="auto"/>
              </w:rPr>
            </w:pPr>
          </w:p>
        </w:tc>
        <w:tc>
          <w:tcPr>
            <w:tcW w:w="464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color w:val="auto"/>
              </w:rPr>
              <w:t>See Appendix D for examples of the One-time Payment.</w:t>
            </w:r>
          </w:p>
        </w:tc>
      </w:tr>
      <w:tr>
        <w:trPr>
          <w:trHeight w:val="165"/>
        </w:trPr>
        <w:tc>
          <w:tcPr>
            <w:tcW w:w="1680" w:type="dxa"/>
            <w:vAlign w:val="bottom"/>
            <w:tcBorders>
              <w:left w:val="single" w:sz="8" w:color="auto"/>
              <w:right w:val="single" w:sz="8" w:color="auto"/>
            </w:tcBorders>
          </w:tcPr>
          <w:p>
            <w:pPr>
              <w:spacing w:after="0"/>
              <w:rPr>
                <w:sz w:val="14"/>
                <w:szCs w:val="14"/>
                <w:color w:val="auto"/>
              </w:rPr>
            </w:pPr>
          </w:p>
        </w:tc>
        <w:tc>
          <w:tcPr>
            <w:tcW w:w="464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color w:val="auto"/>
              </w:rPr>
              <w:t>Please note that while Distribution Payments and the One-time Payment are</w:t>
            </w:r>
          </w:p>
        </w:tc>
      </w:tr>
      <w:tr>
        <w:trPr>
          <w:trHeight w:val="165"/>
        </w:trPr>
        <w:tc>
          <w:tcPr>
            <w:tcW w:w="1680" w:type="dxa"/>
            <w:vAlign w:val="bottom"/>
            <w:tcBorders>
              <w:left w:val="single" w:sz="8" w:color="auto"/>
              <w:right w:val="single" w:sz="8" w:color="auto"/>
            </w:tcBorders>
          </w:tcPr>
          <w:p>
            <w:pPr>
              <w:spacing w:after="0"/>
              <w:rPr>
                <w:sz w:val="14"/>
                <w:szCs w:val="14"/>
                <w:color w:val="auto"/>
              </w:rPr>
            </w:pPr>
          </w:p>
        </w:tc>
        <w:tc>
          <w:tcPr>
            <w:tcW w:w="464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color w:val="auto"/>
              </w:rPr>
              <w:t>loans, the terms, conditions, and limitations are not the same as loans not</w:t>
            </w:r>
          </w:p>
        </w:tc>
      </w:tr>
      <w:tr>
        <w:trPr>
          <w:trHeight w:val="165"/>
        </w:trPr>
        <w:tc>
          <w:tcPr>
            <w:tcW w:w="1680" w:type="dxa"/>
            <w:vAlign w:val="bottom"/>
            <w:tcBorders>
              <w:left w:val="single" w:sz="8" w:color="auto"/>
              <w:right w:val="single" w:sz="8" w:color="auto"/>
            </w:tcBorders>
          </w:tcPr>
          <w:p>
            <w:pPr>
              <w:spacing w:after="0"/>
              <w:rPr>
                <w:sz w:val="14"/>
                <w:szCs w:val="14"/>
                <w:color w:val="auto"/>
              </w:rPr>
            </w:pPr>
          </w:p>
        </w:tc>
        <w:tc>
          <w:tcPr>
            <w:tcW w:w="464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color w:val="auto"/>
              </w:rPr>
              <w:t>covered by the GDR. For a complete understanding of the differences, see</w:t>
            </w:r>
          </w:p>
        </w:tc>
      </w:tr>
      <w:tr>
        <w:trPr>
          <w:trHeight w:val="165"/>
        </w:trPr>
        <w:tc>
          <w:tcPr>
            <w:tcW w:w="1680" w:type="dxa"/>
            <w:vAlign w:val="bottom"/>
            <w:tcBorders>
              <w:left w:val="single" w:sz="8" w:color="auto"/>
              <w:right w:val="single" w:sz="8" w:color="auto"/>
            </w:tcBorders>
          </w:tcPr>
          <w:p>
            <w:pPr>
              <w:spacing w:after="0"/>
              <w:rPr>
                <w:sz w:val="14"/>
                <w:szCs w:val="14"/>
                <w:color w:val="auto"/>
              </w:rPr>
            </w:pPr>
          </w:p>
        </w:tc>
        <w:tc>
          <w:tcPr>
            <w:tcW w:w="464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color w:val="auto"/>
              </w:rPr>
              <w:t>“LOANS” and “GUARANTEED DISTRIBUTION RIDER.”</w:t>
            </w:r>
          </w:p>
        </w:tc>
      </w:tr>
      <w:tr>
        <w:trPr>
          <w:trHeight w:val="165"/>
        </w:trPr>
        <w:tc>
          <w:tcPr>
            <w:tcW w:w="1680" w:type="dxa"/>
            <w:vAlign w:val="bottom"/>
            <w:tcBorders>
              <w:left w:val="single" w:sz="8" w:color="auto"/>
              <w:right w:val="single" w:sz="8" w:color="auto"/>
            </w:tcBorders>
          </w:tcPr>
          <w:p>
            <w:pPr>
              <w:spacing w:after="0"/>
              <w:rPr>
                <w:sz w:val="14"/>
                <w:szCs w:val="14"/>
                <w:color w:val="auto"/>
              </w:rPr>
            </w:pPr>
          </w:p>
        </w:tc>
        <w:tc>
          <w:tcPr>
            <w:tcW w:w="464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color w:val="auto"/>
              </w:rPr>
              <w:t>Additionally, you may Surrender the Policy for its Cash Surrender Value during</w:t>
            </w:r>
          </w:p>
        </w:tc>
      </w:tr>
      <w:tr>
        <w:trPr>
          <w:trHeight w:val="165"/>
        </w:trPr>
        <w:tc>
          <w:tcPr>
            <w:tcW w:w="1680" w:type="dxa"/>
            <w:vAlign w:val="bottom"/>
            <w:tcBorders>
              <w:left w:val="single" w:sz="8" w:color="auto"/>
              <w:right w:val="single" w:sz="8" w:color="auto"/>
            </w:tcBorders>
          </w:tcPr>
          <w:p>
            <w:pPr>
              <w:spacing w:after="0"/>
              <w:rPr>
                <w:sz w:val="14"/>
                <w:szCs w:val="14"/>
                <w:color w:val="auto"/>
              </w:rPr>
            </w:pPr>
          </w:p>
        </w:tc>
        <w:tc>
          <w:tcPr>
            <w:tcW w:w="464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color w:val="auto"/>
              </w:rPr>
              <w:t>the lifetime of the Insured at any time. Surrenders could result in surrender</w:t>
            </w:r>
          </w:p>
        </w:tc>
      </w:tr>
      <w:tr>
        <w:trPr>
          <w:trHeight w:val="165"/>
        </w:trPr>
        <w:tc>
          <w:tcPr>
            <w:tcW w:w="1680" w:type="dxa"/>
            <w:vAlign w:val="bottom"/>
            <w:tcBorders>
              <w:left w:val="single" w:sz="8" w:color="auto"/>
              <w:right w:val="single" w:sz="8" w:color="auto"/>
            </w:tcBorders>
          </w:tcPr>
          <w:p>
            <w:pPr>
              <w:spacing w:after="0"/>
              <w:rPr>
                <w:sz w:val="14"/>
                <w:szCs w:val="14"/>
                <w:color w:val="auto"/>
              </w:rPr>
            </w:pPr>
          </w:p>
        </w:tc>
        <w:tc>
          <w:tcPr>
            <w:tcW w:w="464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color w:val="auto"/>
              </w:rPr>
              <w:t>charges and taxes. Surrenders and loans, if taken from the Indexed Accounts</w:t>
            </w:r>
          </w:p>
        </w:tc>
      </w:tr>
      <w:tr>
        <w:trPr>
          <w:trHeight w:val="165"/>
        </w:trPr>
        <w:tc>
          <w:tcPr>
            <w:tcW w:w="1680" w:type="dxa"/>
            <w:vAlign w:val="bottom"/>
            <w:tcBorders>
              <w:left w:val="single" w:sz="8" w:color="auto"/>
              <w:right w:val="single" w:sz="8" w:color="auto"/>
            </w:tcBorders>
          </w:tcPr>
          <w:p>
            <w:pPr>
              <w:spacing w:after="0"/>
              <w:rPr>
                <w:sz w:val="14"/>
                <w:szCs w:val="14"/>
                <w:color w:val="auto"/>
              </w:rPr>
            </w:pPr>
          </w:p>
        </w:tc>
        <w:tc>
          <w:tcPr>
            <w:tcW w:w="464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color w:val="auto"/>
              </w:rPr>
              <w:t>before the end of a Segment Term, will be based on an Interim Segment Value</w:t>
            </w:r>
          </w:p>
        </w:tc>
      </w:tr>
      <w:tr>
        <w:trPr>
          <w:trHeight w:val="165"/>
        </w:trPr>
        <w:tc>
          <w:tcPr>
            <w:tcW w:w="1680" w:type="dxa"/>
            <w:vAlign w:val="bottom"/>
            <w:tcBorders>
              <w:left w:val="single" w:sz="8" w:color="auto"/>
              <w:right w:val="single" w:sz="8" w:color="auto"/>
            </w:tcBorders>
          </w:tcPr>
          <w:p>
            <w:pPr>
              <w:spacing w:after="0"/>
              <w:rPr>
                <w:sz w:val="14"/>
                <w:szCs w:val="14"/>
                <w:color w:val="auto"/>
              </w:rPr>
            </w:pPr>
          </w:p>
        </w:tc>
        <w:tc>
          <w:tcPr>
            <w:tcW w:w="464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color w:val="auto"/>
              </w:rPr>
              <w:t>calculation. In extreme circumstances, you could lose all or a significant portion</w:t>
            </w:r>
          </w:p>
        </w:tc>
      </w:tr>
      <w:tr>
        <w:trPr>
          <w:trHeight w:val="165"/>
        </w:trPr>
        <w:tc>
          <w:tcPr>
            <w:tcW w:w="1680" w:type="dxa"/>
            <w:vAlign w:val="bottom"/>
            <w:tcBorders>
              <w:left w:val="single" w:sz="8" w:color="auto"/>
              <w:right w:val="single" w:sz="8" w:color="auto"/>
            </w:tcBorders>
          </w:tcPr>
          <w:p>
            <w:pPr>
              <w:spacing w:after="0"/>
              <w:rPr>
                <w:sz w:val="14"/>
                <w:szCs w:val="14"/>
                <w:color w:val="auto"/>
              </w:rPr>
            </w:pPr>
          </w:p>
        </w:tc>
        <w:tc>
          <w:tcPr>
            <w:tcW w:w="464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color w:val="auto"/>
              </w:rPr>
              <w:t>of the value of an Indexed Account if you Surrender or take a loan from the</w:t>
            </w:r>
          </w:p>
        </w:tc>
      </w:tr>
      <w:tr>
        <w:trPr>
          <w:trHeight w:val="165"/>
        </w:trPr>
        <w:tc>
          <w:tcPr>
            <w:tcW w:w="1680" w:type="dxa"/>
            <w:vAlign w:val="bottom"/>
            <w:tcBorders>
              <w:left w:val="single" w:sz="8" w:color="auto"/>
              <w:right w:val="single" w:sz="8" w:color="auto"/>
            </w:tcBorders>
          </w:tcPr>
          <w:p>
            <w:pPr>
              <w:spacing w:after="0"/>
              <w:rPr>
                <w:sz w:val="14"/>
                <w:szCs w:val="14"/>
                <w:color w:val="auto"/>
              </w:rPr>
            </w:pPr>
          </w:p>
        </w:tc>
        <w:tc>
          <w:tcPr>
            <w:tcW w:w="464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color w:val="auto"/>
              </w:rPr>
              <w:t>Indexed Account before the Segment Maturity Date. Partial withdrawals are not</w:t>
            </w:r>
          </w:p>
        </w:tc>
      </w:tr>
      <w:tr>
        <w:trPr>
          <w:trHeight w:val="176"/>
        </w:trPr>
        <w:tc>
          <w:tcPr>
            <w:tcW w:w="1680" w:type="dxa"/>
            <w:vAlign w:val="bottom"/>
            <w:tcBorders>
              <w:left w:val="single" w:sz="8" w:color="auto"/>
              <w:right w:val="single" w:sz="8" w:color="auto"/>
            </w:tcBorders>
          </w:tcPr>
          <w:p>
            <w:pPr>
              <w:spacing w:after="0"/>
              <w:rPr>
                <w:sz w:val="15"/>
                <w:szCs w:val="15"/>
                <w:color w:val="auto"/>
              </w:rPr>
            </w:pPr>
          </w:p>
        </w:tc>
        <w:tc>
          <w:tcPr>
            <w:tcW w:w="464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color w:val="auto"/>
              </w:rPr>
              <w:t>permitted under the Policy. See “SURRENDERS.”</w:t>
            </w:r>
          </w:p>
        </w:tc>
      </w:tr>
      <w:tr>
        <w:trPr>
          <w:trHeight w:val="22"/>
        </w:trPr>
        <w:tc>
          <w:tcPr>
            <w:tcW w:w="16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640" w:type="dxa"/>
            <w:vAlign w:val="bottom"/>
            <w:tcBorders>
              <w:bottom w:val="single" w:sz="8" w:color="auto"/>
              <w:right w:val="single" w:sz="8" w:color="auto"/>
            </w:tcBorders>
            <w:gridSpan w:val="2"/>
          </w:tcPr>
          <w:p>
            <w:pPr>
              <w:spacing w:after="0" w:line="20" w:lineRule="exact"/>
              <w:rPr>
                <w:sz w:val="1"/>
                <w:szCs w:val="1"/>
                <w:color w:val="auto"/>
              </w:rPr>
            </w:pPr>
          </w:p>
        </w:tc>
      </w:tr>
      <w:tr>
        <w:trPr>
          <w:trHeight w:val="142"/>
        </w:trPr>
        <w:tc>
          <w:tcPr>
            <w:tcW w:w="1680" w:type="dxa"/>
            <w:vAlign w:val="bottom"/>
            <w:tcBorders>
              <w:left w:val="single" w:sz="8" w:color="auto"/>
              <w:right w:val="single" w:sz="8" w:color="auto"/>
            </w:tcBorders>
            <w:shd w:val="clear" w:color="auto" w:fill="F0FFFF"/>
          </w:tcPr>
          <w:p>
            <w:pPr>
              <w:ind w:left="80"/>
              <w:spacing w:after="0" w:line="142" w:lineRule="exact"/>
              <w:rPr>
                <w:sz w:val="20"/>
                <w:szCs w:val="20"/>
                <w:color w:val="auto"/>
              </w:rPr>
            </w:pPr>
            <w:r>
              <w:rPr>
                <w:rFonts w:ascii="Times New Roman" w:cs="Times New Roman" w:eastAsia="Times New Roman" w:hAnsi="Times New Roman"/>
                <w:sz w:val="14"/>
                <w:szCs w:val="14"/>
                <w:color w:val="auto"/>
              </w:rPr>
              <w:t>Surrender Charge</w:t>
            </w:r>
          </w:p>
        </w:tc>
        <w:tc>
          <w:tcPr>
            <w:tcW w:w="4640" w:type="dxa"/>
            <w:vAlign w:val="bottom"/>
            <w:tcBorders>
              <w:right w:val="single" w:sz="8" w:color="auto"/>
            </w:tcBorders>
            <w:gridSpan w:val="2"/>
            <w:shd w:val="clear" w:color="auto" w:fill="F0FFFF"/>
          </w:tcPr>
          <w:p>
            <w:pPr>
              <w:ind w:left="80"/>
              <w:spacing w:after="0" w:line="142" w:lineRule="exact"/>
              <w:rPr>
                <w:sz w:val="20"/>
                <w:szCs w:val="20"/>
                <w:color w:val="auto"/>
              </w:rPr>
            </w:pPr>
            <w:r>
              <w:rPr>
                <w:rFonts w:ascii="Times New Roman" w:cs="Times New Roman" w:eastAsia="Times New Roman" w:hAnsi="Times New Roman"/>
                <w:sz w:val="14"/>
                <w:szCs w:val="14"/>
                <w:color w:val="auto"/>
              </w:rPr>
              <w:t>During the first ten Policy Years, if you Surrender or lapse your Policy, then we</w:t>
            </w:r>
          </w:p>
        </w:tc>
      </w:tr>
      <w:tr>
        <w:trPr>
          <w:trHeight w:val="144"/>
        </w:trPr>
        <w:tc>
          <w:tcPr>
            <w:tcW w:w="1680" w:type="dxa"/>
            <w:vAlign w:val="bottom"/>
            <w:tcBorders>
              <w:left w:val="single" w:sz="8" w:color="auto"/>
              <w:right w:val="single" w:sz="8" w:color="auto"/>
            </w:tcBorders>
            <w:shd w:val="clear" w:color="auto" w:fill="F0FFFF"/>
          </w:tcPr>
          <w:p>
            <w:pPr>
              <w:spacing w:after="0"/>
              <w:rPr>
                <w:sz w:val="12"/>
                <w:szCs w:val="12"/>
                <w:color w:val="auto"/>
              </w:rPr>
            </w:pPr>
          </w:p>
        </w:tc>
        <w:tc>
          <w:tcPr>
            <w:tcW w:w="4640" w:type="dxa"/>
            <w:vAlign w:val="bottom"/>
            <w:tcBorders>
              <w:right w:val="single" w:sz="8" w:color="auto"/>
            </w:tcBorders>
            <w:gridSpan w:val="2"/>
            <w:shd w:val="clear" w:color="auto" w:fill="F0FFFF"/>
          </w:tcPr>
          <w:p>
            <w:pPr>
              <w:ind w:left="80"/>
              <w:spacing w:after="0" w:line="144" w:lineRule="exact"/>
              <w:rPr>
                <w:sz w:val="20"/>
                <w:szCs w:val="20"/>
                <w:color w:val="auto"/>
              </w:rPr>
            </w:pPr>
            <w:r>
              <w:rPr>
                <w:rFonts w:ascii="Times New Roman" w:cs="Times New Roman" w:eastAsia="Times New Roman" w:hAnsi="Times New Roman"/>
                <w:sz w:val="14"/>
                <w:szCs w:val="14"/>
                <w:color w:val="auto"/>
              </w:rPr>
              <w:t>will deduct a Surrender charge from the Cash Value. We deduct the Surrender</w:t>
            </w:r>
          </w:p>
        </w:tc>
      </w:tr>
      <w:tr>
        <w:trPr>
          <w:trHeight w:val="154"/>
        </w:trPr>
        <w:tc>
          <w:tcPr>
            <w:tcW w:w="1680" w:type="dxa"/>
            <w:vAlign w:val="bottom"/>
            <w:tcBorders>
              <w:left w:val="single" w:sz="8" w:color="auto"/>
              <w:right w:val="single" w:sz="8" w:color="auto"/>
            </w:tcBorders>
            <w:shd w:val="clear" w:color="auto" w:fill="F0FFFF"/>
          </w:tcPr>
          <w:p>
            <w:pPr>
              <w:spacing w:after="0"/>
              <w:rPr>
                <w:sz w:val="13"/>
                <w:szCs w:val="13"/>
                <w:color w:val="auto"/>
              </w:rPr>
            </w:pPr>
          </w:p>
        </w:tc>
        <w:tc>
          <w:tcPr>
            <w:tcW w:w="4640" w:type="dxa"/>
            <w:vAlign w:val="bottom"/>
            <w:tcBorders>
              <w:right w:val="single" w:sz="8" w:color="auto"/>
            </w:tcBorders>
            <w:gridSpan w:val="2"/>
            <w:shd w:val="clear" w:color="auto" w:fill="F0FFFF"/>
          </w:tcPr>
          <w:p>
            <w:pPr>
              <w:ind w:left="80"/>
              <w:spacing w:after="0" w:line="155" w:lineRule="exact"/>
              <w:rPr>
                <w:sz w:val="20"/>
                <w:szCs w:val="20"/>
                <w:color w:val="auto"/>
              </w:rPr>
            </w:pPr>
            <w:r>
              <w:rPr>
                <w:rFonts w:ascii="Times New Roman" w:cs="Times New Roman" w:eastAsia="Times New Roman" w:hAnsi="Times New Roman"/>
                <w:sz w:val="14"/>
                <w:szCs w:val="14"/>
                <w:color w:val="auto"/>
              </w:rPr>
              <w:t>charge using the Policy Deduction Method. The maximum Surrender charge per</w:t>
            </w:r>
          </w:p>
        </w:tc>
      </w:tr>
      <w:tr>
        <w:trPr>
          <w:trHeight w:val="154"/>
        </w:trPr>
        <w:tc>
          <w:tcPr>
            <w:tcW w:w="1680" w:type="dxa"/>
            <w:vAlign w:val="bottom"/>
            <w:tcBorders>
              <w:left w:val="single" w:sz="8" w:color="auto"/>
              <w:right w:val="single" w:sz="8" w:color="auto"/>
            </w:tcBorders>
            <w:shd w:val="clear" w:color="auto" w:fill="F0FFFF"/>
          </w:tcPr>
          <w:p>
            <w:pPr>
              <w:spacing w:after="0"/>
              <w:rPr>
                <w:sz w:val="13"/>
                <w:szCs w:val="13"/>
                <w:color w:val="auto"/>
              </w:rPr>
            </w:pPr>
          </w:p>
        </w:tc>
        <w:tc>
          <w:tcPr>
            <w:tcW w:w="4640" w:type="dxa"/>
            <w:vAlign w:val="bottom"/>
            <w:tcBorders>
              <w:right w:val="single" w:sz="8" w:color="auto"/>
            </w:tcBorders>
            <w:gridSpan w:val="2"/>
            <w:shd w:val="clear" w:color="auto" w:fill="F0FFFF"/>
          </w:tcPr>
          <w:p>
            <w:pPr>
              <w:ind w:left="80"/>
              <w:spacing w:after="0" w:line="155" w:lineRule="exact"/>
              <w:rPr>
                <w:sz w:val="20"/>
                <w:szCs w:val="20"/>
                <w:color w:val="auto"/>
              </w:rPr>
            </w:pPr>
            <w:r>
              <w:rPr>
                <w:rFonts w:ascii="Times New Roman" w:cs="Times New Roman" w:eastAsia="Times New Roman" w:hAnsi="Times New Roman"/>
                <w:sz w:val="14"/>
                <w:szCs w:val="14"/>
                <w:color w:val="auto"/>
              </w:rPr>
              <w:t>$1,000 of Face Amount that could apply under any Policy is $45 (in Policy Year</w:t>
            </w:r>
          </w:p>
        </w:tc>
      </w:tr>
      <w:tr>
        <w:trPr>
          <w:trHeight w:val="183"/>
        </w:trPr>
        <w:tc>
          <w:tcPr>
            <w:tcW w:w="1680" w:type="dxa"/>
            <w:vAlign w:val="bottom"/>
            <w:tcBorders>
              <w:left w:val="single" w:sz="8" w:color="auto"/>
              <w:bottom w:val="single" w:sz="8" w:color="auto"/>
              <w:right w:val="single" w:sz="8" w:color="auto"/>
            </w:tcBorders>
            <w:shd w:val="clear" w:color="auto" w:fill="F0FFFF"/>
          </w:tcPr>
          <w:p>
            <w:pPr>
              <w:spacing w:after="0"/>
              <w:rPr>
                <w:sz w:val="15"/>
                <w:szCs w:val="15"/>
                <w:color w:val="auto"/>
              </w:rPr>
            </w:pPr>
          </w:p>
        </w:tc>
        <w:tc>
          <w:tcPr>
            <w:tcW w:w="4640" w:type="dxa"/>
            <w:vAlign w:val="bottom"/>
            <w:tcBorders>
              <w:bottom w:val="single" w:sz="8" w:color="auto"/>
              <w:right w:val="single" w:sz="8" w:color="auto"/>
            </w:tcBorders>
            <w:gridSpan w:val="2"/>
            <w:shd w:val="clear" w:color="auto" w:fill="F0FFFF"/>
          </w:tcPr>
          <w:p>
            <w:pPr>
              <w:ind w:left="80"/>
              <w:spacing w:after="0"/>
              <w:rPr>
                <w:sz w:val="20"/>
                <w:szCs w:val="20"/>
                <w:color w:val="auto"/>
              </w:rPr>
            </w:pPr>
            <w:r>
              <w:rPr>
                <w:rFonts w:ascii="Times New Roman" w:cs="Times New Roman" w:eastAsia="Times New Roman" w:hAnsi="Times New Roman"/>
                <w:sz w:val="14"/>
                <w:szCs w:val="14"/>
                <w:color w:val="auto"/>
              </w:rPr>
              <w:t>1), which reduces to $0 in Policy Year 11 and later. See “SURRENDERS.”</w:t>
            </w:r>
          </w:p>
        </w:tc>
      </w:tr>
      <w:tr>
        <w:trPr>
          <w:trHeight w:val="168"/>
        </w:trPr>
        <w:tc>
          <w:tcPr>
            <w:tcW w:w="16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Death Benefit</w:t>
            </w:r>
          </w:p>
        </w:tc>
        <w:tc>
          <w:tcPr>
            <w:tcW w:w="46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The death benefit is determined as of the date of the Insured’s death. We must</w:t>
            </w:r>
          </w:p>
        </w:tc>
      </w:tr>
      <w:tr>
        <w:trPr>
          <w:trHeight w:val="165"/>
        </w:trPr>
        <w:tc>
          <w:tcPr>
            <w:tcW w:w="1680" w:type="dxa"/>
            <w:vAlign w:val="bottom"/>
            <w:tcBorders>
              <w:left w:val="single" w:sz="8" w:color="auto"/>
              <w:right w:val="single" w:sz="8" w:color="auto"/>
            </w:tcBorders>
          </w:tcPr>
          <w:p>
            <w:pPr>
              <w:spacing w:after="0"/>
              <w:rPr>
                <w:sz w:val="14"/>
                <w:szCs w:val="14"/>
                <w:color w:val="auto"/>
              </w:rPr>
            </w:pPr>
          </w:p>
        </w:tc>
        <w:tc>
          <w:tcPr>
            <w:tcW w:w="46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receive Notice of due proof of death. The amount we pay to the beneficiary (or</w:t>
            </w:r>
          </w:p>
        </w:tc>
      </w:tr>
      <w:tr>
        <w:trPr>
          <w:trHeight w:val="165"/>
        </w:trPr>
        <w:tc>
          <w:tcPr>
            <w:tcW w:w="1680" w:type="dxa"/>
            <w:vAlign w:val="bottom"/>
            <w:tcBorders>
              <w:left w:val="single" w:sz="8" w:color="auto"/>
              <w:right w:val="single" w:sz="8" w:color="auto"/>
            </w:tcBorders>
          </w:tcPr>
          <w:p>
            <w:pPr>
              <w:spacing w:after="0"/>
              <w:rPr>
                <w:sz w:val="14"/>
                <w:szCs w:val="14"/>
                <w:color w:val="auto"/>
              </w:rPr>
            </w:pPr>
          </w:p>
        </w:tc>
        <w:tc>
          <w:tcPr>
            <w:tcW w:w="46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beneficiaries) is referred to as the Policy Proceeds. The Policy Proceeds are</w:t>
            </w:r>
          </w:p>
        </w:tc>
      </w:tr>
      <w:tr>
        <w:trPr>
          <w:trHeight w:val="165"/>
        </w:trPr>
        <w:tc>
          <w:tcPr>
            <w:tcW w:w="1680" w:type="dxa"/>
            <w:vAlign w:val="bottom"/>
            <w:tcBorders>
              <w:left w:val="single" w:sz="8" w:color="auto"/>
              <w:right w:val="single" w:sz="8" w:color="auto"/>
            </w:tcBorders>
          </w:tcPr>
          <w:p>
            <w:pPr>
              <w:spacing w:after="0"/>
              <w:rPr>
                <w:sz w:val="14"/>
                <w:szCs w:val="14"/>
                <w:color w:val="auto"/>
              </w:rPr>
            </w:pPr>
          </w:p>
        </w:tc>
        <w:tc>
          <w:tcPr>
            <w:tcW w:w="46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generally equal to the greater of Policy’s Face Amount and the Cash Value (plus</w:t>
            </w:r>
          </w:p>
        </w:tc>
      </w:tr>
      <w:tr>
        <w:trPr>
          <w:trHeight w:val="165"/>
        </w:trPr>
        <w:tc>
          <w:tcPr>
            <w:tcW w:w="1680" w:type="dxa"/>
            <w:vAlign w:val="bottom"/>
            <w:tcBorders>
              <w:left w:val="single" w:sz="8" w:color="auto"/>
              <w:right w:val="single" w:sz="8" w:color="auto"/>
            </w:tcBorders>
          </w:tcPr>
          <w:p>
            <w:pPr>
              <w:spacing w:after="0"/>
              <w:rPr>
                <w:sz w:val="14"/>
                <w:szCs w:val="14"/>
                <w:color w:val="auto"/>
              </w:rPr>
            </w:pPr>
          </w:p>
        </w:tc>
        <w:tc>
          <w:tcPr>
            <w:tcW w:w="46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any applicable refund of a portion of annual charges) multiplied by a certain</w:t>
            </w:r>
          </w:p>
        </w:tc>
      </w:tr>
      <w:tr>
        <w:trPr>
          <w:trHeight w:val="165"/>
        </w:trPr>
        <w:tc>
          <w:tcPr>
            <w:tcW w:w="1680" w:type="dxa"/>
            <w:vAlign w:val="bottom"/>
            <w:tcBorders>
              <w:left w:val="single" w:sz="8" w:color="auto"/>
              <w:right w:val="single" w:sz="8" w:color="auto"/>
            </w:tcBorders>
          </w:tcPr>
          <w:p>
            <w:pPr>
              <w:spacing w:after="0"/>
              <w:rPr>
                <w:sz w:val="14"/>
                <w:szCs w:val="14"/>
                <w:color w:val="auto"/>
              </w:rPr>
            </w:pPr>
          </w:p>
        </w:tc>
        <w:tc>
          <w:tcPr>
            <w:tcW w:w="46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w w:val="98"/>
              </w:rPr>
              <w:t>factor specific to the Insured and provided in the Policy. See “DEATH BENEFIT.”</w:t>
            </w:r>
          </w:p>
        </w:tc>
      </w:tr>
      <w:tr>
        <w:trPr>
          <w:trHeight w:val="165"/>
        </w:trPr>
        <w:tc>
          <w:tcPr>
            <w:tcW w:w="1680" w:type="dxa"/>
            <w:vAlign w:val="bottom"/>
            <w:tcBorders>
              <w:left w:val="single" w:sz="8" w:color="auto"/>
              <w:right w:val="single" w:sz="8" w:color="auto"/>
            </w:tcBorders>
          </w:tcPr>
          <w:p>
            <w:pPr>
              <w:spacing w:after="0"/>
              <w:rPr>
                <w:sz w:val="14"/>
                <w:szCs w:val="14"/>
                <w:color w:val="auto"/>
              </w:rPr>
            </w:pPr>
          </w:p>
        </w:tc>
        <w:tc>
          <w:tcPr>
            <w:tcW w:w="46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All Distribution Payments taken under the GDR reduce the death benefit amount</w:t>
            </w:r>
          </w:p>
        </w:tc>
      </w:tr>
      <w:tr>
        <w:trPr>
          <w:trHeight w:val="165"/>
        </w:trPr>
        <w:tc>
          <w:tcPr>
            <w:tcW w:w="1680" w:type="dxa"/>
            <w:vAlign w:val="bottom"/>
            <w:tcBorders>
              <w:left w:val="single" w:sz="8" w:color="auto"/>
              <w:right w:val="single" w:sz="8" w:color="auto"/>
            </w:tcBorders>
          </w:tcPr>
          <w:p>
            <w:pPr>
              <w:spacing w:after="0"/>
              <w:rPr>
                <w:sz w:val="14"/>
                <w:szCs w:val="14"/>
                <w:color w:val="auto"/>
              </w:rPr>
            </w:pPr>
          </w:p>
        </w:tc>
        <w:tc>
          <w:tcPr>
            <w:tcW w:w="46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on a dollar for dollar basis, and such reductions could be significant. The GDR</w:t>
            </w:r>
          </w:p>
        </w:tc>
      </w:tr>
      <w:tr>
        <w:trPr>
          <w:trHeight w:val="165"/>
        </w:trPr>
        <w:tc>
          <w:tcPr>
            <w:tcW w:w="1680" w:type="dxa"/>
            <w:vAlign w:val="bottom"/>
            <w:tcBorders>
              <w:left w:val="single" w:sz="8" w:color="auto"/>
              <w:right w:val="single" w:sz="8" w:color="auto"/>
            </w:tcBorders>
          </w:tcPr>
          <w:p>
            <w:pPr>
              <w:spacing w:after="0"/>
              <w:rPr>
                <w:sz w:val="14"/>
                <w:szCs w:val="14"/>
                <w:color w:val="auto"/>
              </w:rPr>
            </w:pPr>
          </w:p>
        </w:tc>
        <w:tc>
          <w:tcPr>
            <w:tcW w:w="46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guarantees a minimum amount of Policy Proceeds ($10,000). See “Impact of</w:t>
            </w:r>
          </w:p>
        </w:tc>
      </w:tr>
      <w:tr>
        <w:trPr>
          <w:trHeight w:val="165"/>
        </w:trPr>
        <w:tc>
          <w:tcPr>
            <w:tcW w:w="1680" w:type="dxa"/>
            <w:vAlign w:val="bottom"/>
            <w:tcBorders>
              <w:left w:val="single" w:sz="8" w:color="auto"/>
              <w:right w:val="single" w:sz="8" w:color="auto"/>
            </w:tcBorders>
          </w:tcPr>
          <w:p>
            <w:pPr>
              <w:spacing w:after="0"/>
              <w:rPr>
                <w:sz w:val="14"/>
                <w:szCs w:val="14"/>
                <w:color w:val="auto"/>
              </w:rPr>
            </w:pPr>
          </w:p>
        </w:tc>
        <w:tc>
          <w:tcPr>
            <w:tcW w:w="46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w w:val="99"/>
              </w:rPr>
              <w:t>Distribution Payments on Your Policy” under “GUARANTEED DISTRIBUTION</w:t>
            </w:r>
          </w:p>
        </w:tc>
      </w:tr>
      <w:tr>
        <w:trPr>
          <w:trHeight w:val="176"/>
        </w:trPr>
        <w:tc>
          <w:tcPr>
            <w:tcW w:w="1680" w:type="dxa"/>
            <w:vAlign w:val="bottom"/>
            <w:tcBorders>
              <w:left w:val="single" w:sz="8" w:color="auto"/>
              <w:right w:val="single" w:sz="8" w:color="auto"/>
            </w:tcBorders>
          </w:tcPr>
          <w:p>
            <w:pPr>
              <w:spacing w:after="0"/>
              <w:rPr>
                <w:sz w:val="15"/>
                <w:szCs w:val="15"/>
                <w:color w:val="auto"/>
              </w:rPr>
            </w:pPr>
          </w:p>
        </w:tc>
        <w:tc>
          <w:tcPr>
            <w:tcW w:w="46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RIDER.”</w:t>
            </w:r>
          </w:p>
        </w:tc>
      </w:tr>
      <w:tr>
        <w:trPr>
          <w:trHeight w:val="22"/>
        </w:trPr>
        <w:tc>
          <w:tcPr>
            <w:tcW w:w="16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640" w:type="dxa"/>
            <w:vAlign w:val="bottom"/>
            <w:tcBorders>
              <w:bottom w:val="single" w:sz="8" w:color="auto"/>
              <w:right w:val="single" w:sz="8" w:color="auto"/>
            </w:tcBorders>
            <w:gridSpan w:val="2"/>
          </w:tcPr>
          <w:p>
            <w:pPr>
              <w:spacing w:after="0" w:line="20" w:lineRule="exact"/>
              <w:rPr>
                <w:sz w:val="1"/>
                <w:szCs w:val="1"/>
                <w:color w:val="auto"/>
              </w:rPr>
            </w:pPr>
          </w:p>
        </w:tc>
      </w:tr>
      <w:tr>
        <w:trPr>
          <w:trHeight w:val="142"/>
        </w:trPr>
        <w:tc>
          <w:tcPr>
            <w:tcW w:w="1680" w:type="dxa"/>
            <w:vAlign w:val="bottom"/>
            <w:tcBorders>
              <w:left w:val="single" w:sz="8" w:color="auto"/>
              <w:right w:val="single" w:sz="8" w:color="auto"/>
            </w:tcBorders>
            <w:shd w:val="clear" w:color="auto" w:fill="F0FFFF"/>
          </w:tcPr>
          <w:p>
            <w:pPr>
              <w:ind w:left="80"/>
              <w:spacing w:after="0" w:line="142" w:lineRule="exact"/>
              <w:rPr>
                <w:sz w:val="20"/>
                <w:szCs w:val="20"/>
                <w:color w:val="auto"/>
              </w:rPr>
            </w:pPr>
            <w:r>
              <w:rPr>
                <w:rFonts w:ascii="Times New Roman" w:cs="Times New Roman" w:eastAsia="Times New Roman" w:hAnsi="Times New Roman"/>
                <w:sz w:val="14"/>
                <w:szCs w:val="14"/>
                <w:color w:val="auto"/>
              </w:rPr>
              <w:t>Charges and Expenses</w:t>
            </w:r>
          </w:p>
        </w:tc>
        <w:tc>
          <w:tcPr>
            <w:tcW w:w="4640" w:type="dxa"/>
            <w:vAlign w:val="bottom"/>
            <w:tcBorders>
              <w:right w:val="single" w:sz="8" w:color="auto"/>
            </w:tcBorders>
            <w:gridSpan w:val="2"/>
            <w:shd w:val="clear" w:color="auto" w:fill="F0FFFF"/>
          </w:tcPr>
          <w:p>
            <w:pPr>
              <w:spacing w:after="0" w:line="142" w:lineRule="exact"/>
              <w:rPr>
                <w:sz w:val="20"/>
                <w:szCs w:val="20"/>
                <w:color w:val="auto"/>
              </w:rPr>
            </w:pPr>
            <w:r>
              <w:rPr>
                <w:rFonts w:ascii="Times New Roman" w:cs="Times New Roman" w:eastAsia="Times New Roman" w:hAnsi="Times New Roman"/>
                <w:sz w:val="14"/>
                <w:szCs w:val="14"/>
                <w:color w:val="auto"/>
              </w:rPr>
              <w:t>You will bear the following charges and expenses:</w:t>
            </w:r>
          </w:p>
        </w:tc>
      </w:tr>
      <w:tr>
        <w:trPr>
          <w:trHeight w:val="144"/>
        </w:trPr>
        <w:tc>
          <w:tcPr>
            <w:tcW w:w="1680" w:type="dxa"/>
            <w:vAlign w:val="bottom"/>
            <w:tcBorders>
              <w:left w:val="single" w:sz="8" w:color="auto"/>
              <w:right w:val="single" w:sz="8" w:color="auto"/>
            </w:tcBorders>
            <w:shd w:val="clear" w:color="auto" w:fill="F0FFFF"/>
          </w:tcPr>
          <w:p>
            <w:pPr>
              <w:spacing w:after="0"/>
              <w:rPr>
                <w:sz w:val="12"/>
                <w:szCs w:val="12"/>
                <w:color w:val="auto"/>
              </w:rPr>
            </w:pPr>
          </w:p>
        </w:tc>
        <w:tc>
          <w:tcPr>
            <w:tcW w:w="4640" w:type="dxa"/>
            <w:vAlign w:val="bottom"/>
            <w:tcBorders>
              <w:right w:val="single" w:sz="8" w:color="auto"/>
            </w:tcBorders>
            <w:gridSpan w:val="2"/>
            <w:shd w:val="clear" w:color="auto" w:fill="F0FFFF"/>
          </w:tcPr>
          <w:p>
            <w:pPr>
              <w:spacing w:after="0" w:line="144" w:lineRule="exact"/>
              <w:rPr>
                <w:sz w:val="20"/>
                <w:szCs w:val="20"/>
                <w:color w:val="auto"/>
              </w:rPr>
            </w:pPr>
            <w:r>
              <w:rPr>
                <w:rFonts w:ascii="Times New Roman" w:cs="Times New Roman" w:eastAsia="Times New Roman" w:hAnsi="Times New Roman"/>
                <w:sz w:val="14"/>
                <w:szCs w:val="14"/>
                <w:color w:val="auto"/>
              </w:rPr>
              <w:t>(i)  Annual Indexed Account Charge;</w:t>
            </w:r>
          </w:p>
        </w:tc>
      </w:tr>
      <w:tr>
        <w:trPr>
          <w:trHeight w:val="154"/>
        </w:trPr>
        <w:tc>
          <w:tcPr>
            <w:tcW w:w="1680" w:type="dxa"/>
            <w:vAlign w:val="bottom"/>
            <w:tcBorders>
              <w:left w:val="single" w:sz="8" w:color="auto"/>
              <w:right w:val="single" w:sz="8" w:color="auto"/>
            </w:tcBorders>
            <w:shd w:val="clear" w:color="auto" w:fill="F0FFFF"/>
          </w:tcPr>
          <w:p>
            <w:pPr>
              <w:spacing w:after="0"/>
              <w:rPr>
                <w:sz w:val="13"/>
                <w:szCs w:val="13"/>
                <w:color w:val="auto"/>
              </w:rPr>
            </w:pPr>
          </w:p>
        </w:tc>
        <w:tc>
          <w:tcPr>
            <w:tcW w:w="200" w:type="dxa"/>
            <w:vAlign w:val="bottom"/>
            <w:shd w:val="clear" w:color="auto" w:fill="F0FFFF"/>
          </w:tcPr>
          <w:p>
            <w:pPr>
              <w:spacing w:after="0" w:line="155" w:lineRule="exact"/>
              <w:rPr>
                <w:sz w:val="20"/>
                <w:szCs w:val="20"/>
                <w:color w:val="auto"/>
              </w:rPr>
            </w:pPr>
            <w:r>
              <w:rPr>
                <w:rFonts w:ascii="Times New Roman" w:cs="Times New Roman" w:eastAsia="Times New Roman" w:hAnsi="Times New Roman"/>
                <w:sz w:val="14"/>
                <w:szCs w:val="14"/>
                <w:color w:val="auto"/>
              </w:rPr>
              <w:t>(ii)</w:t>
            </w:r>
          </w:p>
        </w:tc>
        <w:tc>
          <w:tcPr>
            <w:tcW w:w="4440" w:type="dxa"/>
            <w:vAlign w:val="bottom"/>
            <w:tcBorders>
              <w:right w:val="single" w:sz="8" w:color="auto"/>
            </w:tcBorders>
            <w:shd w:val="clear" w:color="auto" w:fill="F0FFFF"/>
          </w:tcPr>
          <w:p>
            <w:pPr>
              <w:ind w:left="80"/>
              <w:spacing w:after="0" w:line="155" w:lineRule="exact"/>
              <w:rPr>
                <w:sz w:val="20"/>
                <w:szCs w:val="20"/>
                <w:color w:val="auto"/>
              </w:rPr>
            </w:pPr>
            <w:r>
              <w:rPr>
                <w:rFonts w:ascii="Times New Roman" w:cs="Times New Roman" w:eastAsia="Times New Roman" w:hAnsi="Times New Roman"/>
                <w:sz w:val="14"/>
                <w:szCs w:val="14"/>
                <w:color w:val="auto"/>
              </w:rPr>
              <w:t>Annual Administrative Charge;</w:t>
            </w:r>
          </w:p>
        </w:tc>
      </w:tr>
      <w:tr>
        <w:trPr>
          <w:trHeight w:val="154"/>
        </w:trPr>
        <w:tc>
          <w:tcPr>
            <w:tcW w:w="1680" w:type="dxa"/>
            <w:vAlign w:val="bottom"/>
            <w:tcBorders>
              <w:left w:val="single" w:sz="8" w:color="auto"/>
              <w:right w:val="single" w:sz="8" w:color="auto"/>
            </w:tcBorders>
            <w:shd w:val="clear" w:color="auto" w:fill="F0FFFF"/>
          </w:tcPr>
          <w:p>
            <w:pPr>
              <w:spacing w:after="0"/>
              <w:rPr>
                <w:sz w:val="13"/>
                <w:szCs w:val="13"/>
                <w:color w:val="auto"/>
              </w:rPr>
            </w:pPr>
          </w:p>
        </w:tc>
        <w:tc>
          <w:tcPr>
            <w:tcW w:w="4640" w:type="dxa"/>
            <w:vAlign w:val="bottom"/>
            <w:tcBorders>
              <w:right w:val="single" w:sz="8" w:color="auto"/>
            </w:tcBorders>
            <w:gridSpan w:val="2"/>
            <w:shd w:val="clear" w:color="auto" w:fill="F0FFFF"/>
          </w:tcPr>
          <w:p>
            <w:pPr>
              <w:spacing w:after="0" w:line="155" w:lineRule="exact"/>
              <w:rPr>
                <w:sz w:val="20"/>
                <w:szCs w:val="20"/>
                <w:color w:val="auto"/>
              </w:rPr>
            </w:pPr>
            <w:r>
              <w:rPr>
                <w:rFonts w:ascii="Times New Roman" w:cs="Times New Roman" w:eastAsia="Times New Roman" w:hAnsi="Times New Roman"/>
                <w:sz w:val="14"/>
                <w:szCs w:val="14"/>
                <w:color w:val="auto"/>
              </w:rPr>
              <w:t>(iii)  Annual Cost of Insurance Charge;</w:t>
            </w:r>
          </w:p>
        </w:tc>
      </w:tr>
      <w:tr>
        <w:trPr>
          <w:trHeight w:val="144"/>
        </w:trPr>
        <w:tc>
          <w:tcPr>
            <w:tcW w:w="1680" w:type="dxa"/>
            <w:vAlign w:val="bottom"/>
            <w:tcBorders>
              <w:left w:val="single" w:sz="8" w:color="auto"/>
              <w:right w:val="single" w:sz="8" w:color="auto"/>
            </w:tcBorders>
            <w:shd w:val="clear" w:color="auto" w:fill="F0FFFF"/>
          </w:tcPr>
          <w:p>
            <w:pPr>
              <w:spacing w:after="0"/>
              <w:rPr>
                <w:sz w:val="12"/>
                <w:szCs w:val="12"/>
                <w:color w:val="auto"/>
              </w:rPr>
            </w:pPr>
          </w:p>
        </w:tc>
        <w:tc>
          <w:tcPr>
            <w:tcW w:w="200" w:type="dxa"/>
            <w:vAlign w:val="bottom"/>
            <w:shd w:val="clear" w:color="auto" w:fill="F0FFFF"/>
          </w:tcPr>
          <w:p>
            <w:pPr>
              <w:spacing w:after="0" w:line="144" w:lineRule="exact"/>
              <w:rPr>
                <w:sz w:val="20"/>
                <w:szCs w:val="20"/>
                <w:color w:val="auto"/>
              </w:rPr>
            </w:pPr>
            <w:r>
              <w:rPr>
                <w:rFonts w:ascii="Times New Roman" w:cs="Times New Roman" w:eastAsia="Times New Roman" w:hAnsi="Times New Roman"/>
                <w:sz w:val="14"/>
                <w:szCs w:val="14"/>
                <w:color w:val="auto"/>
                <w:w w:val="88"/>
              </w:rPr>
              <w:t>(iv)</w:t>
            </w:r>
          </w:p>
        </w:tc>
        <w:tc>
          <w:tcPr>
            <w:tcW w:w="4440" w:type="dxa"/>
            <w:vAlign w:val="bottom"/>
            <w:tcBorders>
              <w:right w:val="single" w:sz="8" w:color="auto"/>
            </w:tcBorders>
            <w:shd w:val="clear" w:color="auto" w:fill="F0FFFF"/>
          </w:tcPr>
          <w:p>
            <w:pPr>
              <w:ind w:left="80"/>
              <w:spacing w:after="0" w:line="144" w:lineRule="exact"/>
              <w:rPr>
                <w:sz w:val="20"/>
                <w:szCs w:val="20"/>
                <w:color w:val="auto"/>
              </w:rPr>
            </w:pPr>
            <w:r>
              <w:rPr>
                <w:rFonts w:ascii="Times New Roman" w:cs="Times New Roman" w:eastAsia="Times New Roman" w:hAnsi="Times New Roman"/>
                <w:sz w:val="14"/>
                <w:szCs w:val="14"/>
                <w:color w:val="auto"/>
              </w:rPr>
              <w:t>GDR Charge;</w:t>
            </w:r>
          </w:p>
        </w:tc>
      </w:tr>
      <w:tr>
        <w:trPr>
          <w:trHeight w:val="154"/>
        </w:trPr>
        <w:tc>
          <w:tcPr>
            <w:tcW w:w="1680" w:type="dxa"/>
            <w:vAlign w:val="bottom"/>
            <w:tcBorders>
              <w:left w:val="single" w:sz="8" w:color="auto"/>
              <w:right w:val="single" w:sz="8" w:color="auto"/>
            </w:tcBorders>
            <w:shd w:val="clear" w:color="auto" w:fill="F0FFFF"/>
          </w:tcPr>
          <w:p>
            <w:pPr>
              <w:spacing w:after="0"/>
              <w:rPr>
                <w:sz w:val="13"/>
                <w:szCs w:val="13"/>
                <w:color w:val="auto"/>
              </w:rPr>
            </w:pPr>
          </w:p>
        </w:tc>
        <w:tc>
          <w:tcPr>
            <w:tcW w:w="4640" w:type="dxa"/>
            <w:vAlign w:val="bottom"/>
            <w:tcBorders>
              <w:right w:val="single" w:sz="8" w:color="auto"/>
            </w:tcBorders>
            <w:gridSpan w:val="2"/>
            <w:shd w:val="clear" w:color="auto" w:fill="F0FFFF"/>
          </w:tcPr>
          <w:p>
            <w:pPr>
              <w:spacing w:after="0" w:line="155" w:lineRule="exact"/>
              <w:rPr>
                <w:sz w:val="20"/>
                <w:szCs w:val="20"/>
                <w:color w:val="auto"/>
              </w:rPr>
            </w:pPr>
            <w:r>
              <w:rPr>
                <w:rFonts w:ascii="Times New Roman" w:cs="Times New Roman" w:eastAsia="Times New Roman" w:hAnsi="Times New Roman"/>
                <w:sz w:val="14"/>
                <w:szCs w:val="14"/>
                <w:color w:val="auto"/>
              </w:rPr>
              <w:t>(v)  Percent of Premium Charge; and</w:t>
            </w:r>
          </w:p>
        </w:tc>
      </w:tr>
      <w:tr>
        <w:trPr>
          <w:trHeight w:val="154"/>
        </w:trPr>
        <w:tc>
          <w:tcPr>
            <w:tcW w:w="1680" w:type="dxa"/>
            <w:vAlign w:val="bottom"/>
            <w:tcBorders>
              <w:left w:val="single" w:sz="8" w:color="auto"/>
              <w:right w:val="single" w:sz="8" w:color="auto"/>
            </w:tcBorders>
            <w:shd w:val="clear" w:color="auto" w:fill="F0FFFF"/>
          </w:tcPr>
          <w:p>
            <w:pPr>
              <w:spacing w:after="0"/>
              <w:rPr>
                <w:sz w:val="13"/>
                <w:szCs w:val="13"/>
                <w:color w:val="auto"/>
              </w:rPr>
            </w:pPr>
          </w:p>
        </w:tc>
        <w:tc>
          <w:tcPr>
            <w:tcW w:w="4640" w:type="dxa"/>
            <w:vAlign w:val="bottom"/>
            <w:tcBorders>
              <w:right w:val="single" w:sz="8" w:color="auto"/>
            </w:tcBorders>
            <w:gridSpan w:val="2"/>
            <w:shd w:val="clear" w:color="auto" w:fill="F0FFFF"/>
          </w:tcPr>
          <w:p>
            <w:pPr>
              <w:spacing w:after="0" w:line="155" w:lineRule="exact"/>
              <w:rPr>
                <w:sz w:val="20"/>
                <w:szCs w:val="20"/>
                <w:color w:val="auto"/>
              </w:rPr>
            </w:pPr>
            <w:r>
              <w:rPr>
                <w:rFonts w:ascii="Times New Roman" w:cs="Times New Roman" w:eastAsia="Times New Roman" w:hAnsi="Times New Roman"/>
                <w:sz w:val="14"/>
                <w:szCs w:val="14"/>
                <w:color w:val="auto"/>
              </w:rPr>
              <w:t>(vi)  Surrender charge, if applicable.</w:t>
            </w:r>
          </w:p>
        </w:tc>
      </w:tr>
      <w:tr>
        <w:trPr>
          <w:trHeight w:val="144"/>
        </w:trPr>
        <w:tc>
          <w:tcPr>
            <w:tcW w:w="1680" w:type="dxa"/>
            <w:vAlign w:val="bottom"/>
            <w:tcBorders>
              <w:left w:val="single" w:sz="8" w:color="auto"/>
              <w:right w:val="single" w:sz="8" w:color="auto"/>
            </w:tcBorders>
            <w:shd w:val="clear" w:color="auto" w:fill="F0FFFF"/>
          </w:tcPr>
          <w:p>
            <w:pPr>
              <w:spacing w:after="0"/>
              <w:rPr>
                <w:sz w:val="12"/>
                <w:szCs w:val="12"/>
                <w:color w:val="auto"/>
              </w:rPr>
            </w:pPr>
          </w:p>
        </w:tc>
        <w:tc>
          <w:tcPr>
            <w:tcW w:w="4640" w:type="dxa"/>
            <w:vAlign w:val="bottom"/>
            <w:tcBorders>
              <w:right w:val="single" w:sz="8" w:color="auto"/>
            </w:tcBorders>
            <w:gridSpan w:val="2"/>
            <w:shd w:val="clear" w:color="auto" w:fill="F0FFFF"/>
          </w:tcPr>
          <w:p>
            <w:pPr>
              <w:spacing w:after="0" w:line="144" w:lineRule="exact"/>
              <w:rPr>
                <w:sz w:val="20"/>
                <w:szCs w:val="20"/>
                <w:color w:val="auto"/>
              </w:rPr>
            </w:pPr>
            <w:r>
              <w:rPr>
                <w:rFonts w:ascii="Times New Roman" w:cs="Times New Roman" w:eastAsia="Times New Roman" w:hAnsi="Times New Roman"/>
                <w:sz w:val="14"/>
                <w:szCs w:val="14"/>
                <w:color w:val="auto"/>
              </w:rPr>
              <w:t>The Annual Deduction is comprised of (i) through (iv).</w:t>
            </w:r>
          </w:p>
        </w:tc>
      </w:tr>
      <w:tr>
        <w:trPr>
          <w:trHeight w:val="176"/>
        </w:trPr>
        <w:tc>
          <w:tcPr>
            <w:tcW w:w="1680" w:type="dxa"/>
            <w:vAlign w:val="bottom"/>
            <w:tcBorders>
              <w:left w:val="single" w:sz="8" w:color="auto"/>
              <w:right w:val="single" w:sz="8" w:color="auto"/>
            </w:tcBorders>
            <w:shd w:val="clear" w:color="auto" w:fill="F0FFFF"/>
          </w:tcPr>
          <w:p>
            <w:pPr>
              <w:spacing w:after="0"/>
              <w:rPr>
                <w:sz w:val="15"/>
                <w:szCs w:val="15"/>
                <w:color w:val="auto"/>
              </w:rPr>
            </w:pPr>
          </w:p>
        </w:tc>
        <w:tc>
          <w:tcPr>
            <w:tcW w:w="4640" w:type="dxa"/>
            <w:vAlign w:val="bottom"/>
            <w:tcBorders>
              <w:right w:val="single" w:sz="8" w:color="auto"/>
            </w:tcBorders>
            <w:gridSpan w:val="2"/>
            <w:shd w:val="clear" w:color="auto" w:fill="F0FFFF"/>
          </w:tcPr>
          <w:p>
            <w:pPr>
              <w:spacing w:after="0"/>
              <w:rPr>
                <w:sz w:val="20"/>
                <w:szCs w:val="20"/>
                <w:color w:val="auto"/>
              </w:rPr>
            </w:pPr>
            <w:r>
              <w:rPr>
                <w:rFonts w:ascii="Times New Roman" w:cs="Times New Roman" w:eastAsia="Times New Roman" w:hAnsi="Times New Roman"/>
                <w:sz w:val="14"/>
                <w:szCs w:val="14"/>
                <w:color w:val="auto"/>
              </w:rPr>
              <w:t>See “FEE TABLES” below.</w:t>
            </w:r>
          </w:p>
        </w:tc>
      </w:tr>
      <w:tr>
        <w:trPr>
          <w:trHeight w:val="125"/>
        </w:trPr>
        <w:tc>
          <w:tcPr>
            <w:tcW w:w="1680" w:type="dxa"/>
            <w:vAlign w:val="bottom"/>
            <w:tcBorders>
              <w:left w:val="single" w:sz="8" w:color="auto"/>
              <w:bottom w:val="single" w:sz="8" w:color="auto"/>
              <w:right w:val="single" w:sz="8" w:color="auto"/>
            </w:tcBorders>
            <w:shd w:val="clear" w:color="auto" w:fill="F0FFFF"/>
          </w:tcPr>
          <w:p>
            <w:pPr>
              <w:spacing w:after="0"/>
              <w:rPr>
                <w:sz w:val="10"/>
                <w:szCs w:val="10"/>
                <w:color w:val="auto"/>
              </w:rPr>
            </w:pPr>
          </w:p>
        </w:tc>
        <w:tc>
          <w:tcPr>
            <w:tcW w:w="200" w:type="dxa"/>
            <w:vAlign w:val="bottom"/>
            <w:tcBorders>
              <w:bottom w:val="single" w:sz="8" w:color="auto"/>
            </w:tcBorders>
            <w:shd w:val="clear" w:color="auto" w:fill="F0FFFF"/>
          </w:tcPr>
          <w:p>
            <w:pPr>
              <w:spacing w:after="0"/>
              <w:rPr>
                <w:sz w:val="10"/>
                <w:szCs w:val="10"/>
                <w:color w:val="auto"/>
              </w:rPr>
            </w:pPr>
          </w:p>
        </w:tc>
        <w:tc>
          <w:tcPr>
            <w:tcW w:w="4440" w:type="dxa"/>
            <w:vAlign w:val="bottom"/>
            <w:tcBorders>
              <w:bottom w:val="single" w:sz="8" w:color="auto"/>
              <w:right w:val="single" w:sz="8" w:color="auto"/>
            </w:tcBorders>
            <w:shd w:val="clear" w:color="auto" w:fill="F0FFFF"/>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179070</wp:posOffset>
            </wp:positionH>
            <wp:positionV relativeFrom="page">
              <wp:posOffset>422275</wp:posOffset>
            </wp:positionV>
            <wp:extent cx="719010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90105" cy="3873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-2145030</wp:posOffset>
            </wp:positionV>
            <wp:extent cx="3983990" cy="11823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983990" cy="1182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4"/>
          <w:szCs w:val="14"/>
          <w:color w:val="auto"/>
        </w:rPr>
        <w:t>15</w:t>
      </w:r>
    </w:p>
    <w:p>
      <w:pPr>
        <w:sectPr>
          <w:pgSz w:w="11900" w:h="16838" w:orient="portrait"/>
          <w:cols w:equalWidth="0" w:num="1">
            <w:col w:w="9219"/>
          </w:cols>
          <w:pgMar w:left="1240" w:top="1076" w:right="1440" w:bottom="1440" w:gutter="0" w:footer="0" w:header="0"/>
        </w:sectPr>
      </w:pPr>
    </w:p>
    <w:bookmarkStart w:id="18" w:name="page19"/>
    <w:bookmarkEnd w:id="18"/>
    <w:p>
      <w:pPr>
        <w:jc w:val="center"/>
        <w:ind w:right="2934"/>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422275</wp:posOffset>
            </wp:positionV>
            <wp:extent cx="719010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90105" cy="38735"/>
                    </a:xfrm>
                    <a:prstGeom prst="rect">
                      <a:avLst/>
                    </a:prstGeom>
                    <a:noFill/>
                  </pic:spPr>
                </pic:pic>
              </a:graphicData>
            </a:graphic>
          </wp:anchor>
        </w:drawing>
        <w:t>FEE TABLES</w:t>
      </w:r>
    </w:p>
    <w:p>
      <w:pPr>
        <w:spacing w:after="0" w:line="86" w:lineRule="exact"/>
        <w:rPr>
          <w:sz w:val="20"/>
          <w:szCs w:val="20"/>
          <w:color w:val="auto"/>
        </w:rPr>
      </w:pPr>
    </w:p>
    <w:p>
      <w:pPr>
        <w:jc w:val="both"/>
        <w:ind w:left="5" w:right="2939" w:firstLine="274"/>
        <w:spacing w:after="0" w:line="259" w:lineRule="auto"/>
        <w:rPr>
          <w:sz w:val="20"/>
          <w:szCs w:val="20"/>
          <w:color w:val="auto"/>
        </w:rPr>
      </w:pPr>
      <w:r>
        <w:rPr>
          <w:rFonts w:ascii="Times New Roman" w:cs="Times New Roman" w:eastAsia="Times New Roman" w:hAnsi="Times New Roman"/>
          <w:sz w:val="14"/>
          <w:szCs w:val="14"/>
          <w:b w:val="1"/>
          <w:bCs w:val="1"/>
          <w:color w:val="auto"/>
        </w:rPr>
        <w:t>The following tables describe the fees and expenses that an Owner will pay when buying, owning and Surrendering the Policy. Please refer to your Policy specifications page for information about the specific fees you will pay each year.</w:t>
      </w:r>
    </w:p>
    <w:p>
      <w:pPr>
        <w:spacing w:after="0" w:line="55" w:lineRule="exact"/>
        <w:rPr>
          <w:sz w:val="20"/>
          <w:szCs w:val="20"/>
          <w:color w:val="auto"/>
        </w:rPr>
      </w:pPr>
    </w:p>
    <w:p>
      <w:pPr>
        <w:jc w:val="both"/>
        <w:ind w:left="5" w:right="2939" w:firstLine="274"/>
        <w:spacing w:after="0" w:line="273" w:lineRule="auto"/>
        <w:rPr>
          <w:sz w:val="20"/>
          <w:szCs w:val="20"/>
          <w:color w:val="auto"/>
        </w:rPr>
      </w:pPr>
      <w:r>
        <w:rPr>
          <w:rFonts w:ascii="Times New Roman" w:cs="Times New Roman" w:eastAsia="Times New Roman" w:hAnsi="Times New Roman"/>
          <w:sz w:val="14"/>
          <w:szCs w:val="14"/>
          <w:b w:val="1"/>
          <w:bCs w:val="1"/>
          <w:color w:val="auto"/>
        </w:rPr>
        <w:t>The first table describes the fees and expenses that you will pay at the time that you buy or Surrender the Policy.</w:t>
      </w:r>
    </w:p>
    <w:p>
      <w:pPr>
        <w:spacing w:after="0" w:line="127" w:lineRule="exact"/>
        <w:rPr>
          <w:sz w:val="20"/>
          <w:szCs w:val="20"/>
          <w:color w:val="auto"/>
        </w:rPr>
      </w:pPr>
    </w:p>
    <w:p>
      <w:pPr>
        <w:ind w:left="5"/>
        <w:spacing w:after="0"/>
        <w:rPr>
          <w:sz w:val="20"/>
          <w:szCs w:val="20"/>
          <w:color w:val="auto"/>
        </w:rPr>
      </w:pPr>
      <w:r>
        <w:rPr>
          <w:rFonts w:ascii="Times New Roman" w:cs="Times New Roman" w:eastAsia="Times New Roman" w:hAnsi="Times New Roman"/>
          <w:sz w:val="14"/>
          <w:szCs w:val="14"/>
          <w:b w:val="1"/>
          <w:bCs w:val="1"/>
          <w:color w:val="auto"/>
        </w:rPr>
        <w:t>Transaction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88265</wp:posOffset>
            </wp:positionV>
            <wp:extent cx="4101465" cy="20440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101465" cy="2044065"/>
                    </a:xfrm>
                    <a:prstGeom prst="rect">
                      <a:avLst/>
                    </a:prstGeom>
                    <a:noFill/>
                  </pic:spPr>
                </pic:pic>
              </a:graphicData>
            </a:graphic>
          </wp:anchor>
        </w:drawing>
      </w:r>
    </w:p>
    <w:p>
      <w:pPr>
        <w:spacing w:after="0" w:line="187" w:lineRule="exact"/>
        <w:rPr>
          <w:sz w:val="20"/>
          <w:szCs w:val="20"/>
          <w:color w:val="auto"/>
        </w:rPr>
      </w:pPr>
    </w:p>
    <w:tbl>
      <w:tblPr>
        <w:tblLayout w:type="fixed"/>
        <w:tblInd w:w="5" w:type="dxa"/>
        <w:tblCellMar>
          <w:top w:w="0" w:type="dxa"/>
          <w:left w:w="0" w:type="dxa"/>
          <w:bottom w:w="0" w:type="dxa"/>
          <w:right w:w="0" w:type="dxa"/>
        </w:tblCellMar>
      </w:tblPr>
      <w:tr>
        <w:trPr>
          <w:trHeight w:val="153"/>
        </w:trPr>
        <w:tc>
          <w:tcPr>
            <w:tcW w:w="206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1"/>
                <w:szCs w:val="11"/>
                <w:b w:val="1"/>
                <w:bCs w:val="1"/>
                <w:color w:val="auto"/>
              </w:rPr>
              <w:t>Charge</w:t>
            </w:r>
          </w:p>
        </w:tc>
        <w:tc>
          <w:tcPr>
            <w:tcW w:w="2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When Charge is Deducted</w:t>
            </w:r>
          </w:p>
        </w:tc>
        <w:tc>
          <w:tcPr>
            <w:tcW w:w="2280" w:type="dxa"/>
            <w:vAlign w:val="bottom"/>
            <w:tcBorders>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Amount Deducted</w:t>
            </w:r>
          </w:p>
        </w:tc>
        <w:tc>
          <w:tcPr>
            <w:tcW w:w="0" w:type="dxa"/>
            <w:vAlign w:val="bottom"/>
          </w:tcPr>
          <w:p>
            <w:pPr>
              <w:spacing w:after="0"/>
              <w:rPr>
                <w:sz w:val="1"/>
                <w:szCs w:val="1"/>
                <w:color w:val="auto"/>
              </w:rPr>
            </w:pPr>
          </w:p>
        </w:tc>
      </w:tr>
      <w:tr>
        <w:trPr>
          <w:trHeight w:val="216"/>
        </w:trPr>
        <w:tc>
          <w:tcPr>
            <w:tcW w:w="2060" w:type="dxa"/>
            <w:vAlign w:val="bottom"/>
            <w:tcBorders>
              <w:bottom w:val="single" w:sz="8" w:color="F0FFFF"/>
            </w:tcBorders>
            <w:shd w:val="clear" w:color="auto" w:fill="F0FFFF"/>
          </w:tcPr>
          <w:p>
            <w:pPr>
              <w:ind w:left="80"/>
              <w:spacing w:after="0"/>
              <w:rPr>
                <w:sz w:val="20"/>
                <w:szCs w:val="20"/>
                <w:color w:val="auto"/>
              </w:rPr>
            </w:pPr>
            <w:r>
              <w:rPr>
                <w:rFonts w:ascii="Times New Roman" w:cs="Times New Roman" w:eastAsia="Times New Roman" w:hAnsi="Times New Roman"/>
                <w:sz w:val="14"/>
                <w:szCs w:val="14"/>
                <w:color w:val="auto"/>
              </w:rPr>
              <w:t>Percent of Premium Charge</w:t>
            </w:r>
          </w:p>
        </w:tc>
        <w:tc>
          <w:tcPr>
            <w:tcW w:w="2120" w:type="dxa"/>
            <w:vAlign w:val="bottom"/>
            <w:tcBorders>
              <w:bottom w:val="single" w:sz="8" w:color="F0FFFF"/>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color w:val="auto"/>
                <w:w w:val="97"/>
              </w:rPr>
              <w:t>On payment of premium</w:t>
            </w:r>
          </w:p>
        </w:tc>
        <w:tc>
          <w:tcPr>
            <w:tcW w:w="2260" w:type="dxa"/>
            <w:vAlign w:val="bottom"/>
            <w:tcBorders>
              <w:bottom w:val="single" w:sz="8" w:color="F0FFFF"/>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color w:val="auto"/>
                <w:w w:val="96"/>
              </w:rPr>
              <w:t>10% of each premium</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60" w:type="dxa"/>
            <w:vAlign w:val="bottom"/>
            <w:tcBorders>
              <w:top w:val="single" w:sz="8" w:color="auto"/>
            </w:tcBorders>
            <w:vMerge w:val="restart"/>
          </w:tcPr>
          <w:p>
            <w:pPr>
              <w:ind w:left="80"/>
              <w:spacing w:after="0"/>
              <w:rPr>
                <w:sz w:val="20"/>
                <w:szCs w:val="20"/>
                <w:color w:val="auto"/>
              </w:rPr>
            </w:pPr>
            <w:r>
              <w:rPr>
                <w:rFonts w:ascii="Times New Roman" w:cs="Times New Roman" w:eastAsia="Times New Roman" w:hAnsi="Times New Roman"/>
                <w:sz w:val="14"/>
                <w:szCs w:val="14"/>
                <w:color w:val="auto"/>
              </w:rPr>
              <w:t>Surrender Charge</w:t>
            </w:r>
            <w:r>
              <w:rPr>
                <w:rFonts w:ascii="Times New Roman" w:cs="Times New Roman" w:eastAsia="Times New Roman" w:hAnsi="Times New Roman"/>
                <w:sz w:val="17"/>
                <w:szCs w:val="17"/>
                <w:color w:val="auto"/>
                <w:vertAlign w:val="superscript"/>
              </w:rPr>
              <w:t>1</w:t>
            </w:r>
          </w:p>
        </w:tc>
        <w:tc>
          <w:tcPr>
            <w:tcW w:w="2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Upon Surrender or lapse in the first</w:t>
            </w:r>
          </w:p>
        </w:tc>
        <w:tc>
          <w:tcPr>
            <w:tcW w:w="22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2060" w:type="dxa"/>
            <w:vAlign w:val="bottom"/>
            <w:tcBorders>
              <w:bottom w:val="single" w:sz="8" w:color="auto"/>
            </w:tcBorders>
            <w:vMerge w:val="continue"/>
          </w:tcPr>
          <w:p>
            <w:pPr>
              <w:spacing w:after="0"/>
              <w:rPr>
                <w:sz w:val="18"/>
                <w:szCs w:val="18"/>
                <w:color w:val="auto"/>
              </w:rPr>
            </w:pPr>
          </w:p>
        </w:tc>
        <w:tc>
          <w:tcPr>
            <w:tcW w:w="2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ten Policy Years</w:t>
            </w:r>
          </w:p>
        </w:tc>
        <w:tc>
          <w:tcPr>
            <w:tcW w:w="22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60" w:type="dxa"/>
            <w:vAlign w:val="bottom"/>
            <w:shd w:val="clear" w:color="auto" w:fill="F0FFFF"/>
          </w:tcPr>
          <w:p>
            <w:pPr>
              <w:spacing w:after="0"/>
              <w:rPr>
                <w:sz w:val="15"/>
                <w:szCs w:val="15"/>
                <w:color w:val="auto"/>
              </w:rPr>
            </w:pPr>
          </w:p>
        </w:tc>
        <w:tc>
          <w:tcPr>
            <w:tcW w:w="2120" w:type="dxa"/>
            <w:vAlign w:val="bottom"/>
            <w:shd w:val="clear" w:color="auto" w:fill="F0FFFF"/>
          </w:tcPr>
          <w:p>
            <w:pPr>
              <w:spacing w:after="0"/>
              <w:rPr>
                <w:sz w:val="15"/>
                <w:szCs w:val="15"/>
                <w:color w:val="auto"/>
              </w:rPr>
            </w:pPr>
          </w:p>
        </w:tc>
        <w:tc>
          <w:tcPr>
            <w:tcW w:w="2260" w:type="dxa"/>
            <w:vAlign w:val="bottom"/>
            <w:shd w:val="clear" w:color="auto" w:fill="F0FFFF"/>
          </w:tcPr>
          <w:p>
            <w:pPr>
              <w:jc w:val="center"/>
              <w:spacing w:after="0"/>
              <w:rPr>
                <w:sz w:val="20"/>
                <w:szCs w:val="20"/>
                <w:color w:val="auto"/>
              </w:rPr>
            </w:pPr>
            <w:r>
              <w:rPr>
                <w:rFonts w:ascii="Times New Roman" w:cs="Times New Roman" w:eastAsia="Times New Roman" w:hAnsi="Times New Roman"/>
                <w:sz w:val="14"/>
                <w:szCs w:val="14"/>
                <w:color w:val="auto"/>
                <w:w w:val="98"/>
              </w:rPr>
              <w:t>In Policy year 1, $45 per $1,000 of</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2060" w:type="dxa"/>
            <w:vAlign w:val="bottom"/>
            <w:tcBorders>
              <w:bottom w:val="single" w:sz="8" w:color="F0FFFF"/>
            </w:tcBorders>
            <w:shd w:val="clear" w:color="auto" w:fill="F0FFFF"/>
          </w:tcPr>
          <w:p>
            <w:pPr>
              <w:ind w:left="220"/>
              <w:spacing w:after="0"/>
              <w:rPr>
                <w:sz w:val="20"/>
                <w:szCs w:val="20"/>
                <w:color w:val="auto"/>
              </w:rPr>
            </w:pPr>
            <w:r>
              <w:rPr>
                <w:rFonts w:ascii="Times New Roman" w:cs="Times New Roman" w:eastAsia="Times New Roman" w:hAnsi="Times New Roman"/>
                <w:sz w:val="14"/>
                <w:szCs w:val="14"/>
                <w:i w:val="1"/>
                <w:iCs w:val="1"/>
                <w:color w:val="auto"/>
              </w:rPr>
              <w:t>Maximum</w:t>
            </w:r>
          </w:p>
        </w:tc>
        <w:tc>
          <w:tcPr>
            <w:tcW w:w="2120" w:type="dxa"/>
            <w:vAlign w:val="bottom"/>
            <w:tcBorders>
              <w:bottom w:val="single" w:sz="8" w:color="F0FFFF"/>
            </w:tcBorders>
            <w:shd w:val="clear" w:color="auto" w:fill="F0FFFF"/>
          </w:tcPr>
          <w:p>
            <w:pPr>
              <w:spacing w:after="0"/>
              <w:rPr>
                <w:sz w:val="18"/>
                <w:szCs w:val="18"/>
                <w:color w:val="auto"/>
              </w:rPr>
            </w:pPr>
          </w:p>
        </w:tc>
        <w:tc>
          <w:tcPr>
            <w:tcW w:w="2260" w:type="dxa"/>
            <w:vAlign w:val="bottom"/>
            <w:tcBorders>
              <w:bottom w:val="single" w:sz="8" w:color="F0FFFF"/>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color w:val="auto"/>
                <w:w w:val="97"/>
              </w:rPr>
              <w:t>Face Amount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60" w:type="dxa"/>
            <w:vAlign w:val="bottom"/>
            <w:tcBorders>
              <w:top w:val="single" w:sz="8" w:color="auto"/>
            </w:tcBorders>
          </w:tcPr>
          <w:p>
            <w:pPr>
              <w:spacing w:after="0"/>
              <w:rPr>
                <w:sz w:val="15"/>
                <w:szCs w:val="15"/>
                <w:color w:val="auto"/>
              </w:rPr>
            </w:pPr>
          </w:p>
        </w:tc>
        <w:tc>
          <w:tcPr>
            <w:tcW w:w="2120" w:type="dxa"/>
            <w:vAlign w:val="bottom"/>
            <w:tcBorders>
              <w:top w:val="single" w:sz="8" w:color="auto"/>
            </w:tcBorders>
          </w:tcPr>
          <w:p>
            <w:pPr>
              <w:spacing w:after="0"/>
              <w:rPr>
                <w:sz w:val="15"/>
                <w:szCs w:val="15"/>
                <w:color w:val="auto"/>
              </w:rPr>
            </w:pPr>
          </w:p>
        </w:tc>
        <w:tc>
          <w:tcPr>
            <w:tcW w:w="228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w w:val="97"/>
              </w:rPr>
              <w:t>In Policy year 1, $14.48 per $1,000 of</w:t>
            </w:r>
          </w:p>
        </w:tc>
        <w:tc>
          <w:tcPr>
            <w:tcW w:w="0" w:type="dxa"/>
            <w:vAlign w:val="bottom"/>
          </w:tcPr>
          <w:p>
            <w:pPr>
              <w:spacing w:after="0"/>
              <w:rPr>
                <w:sz w:val="1"/>
                <w:szCs w:val="1"/>
                <w:color w:val="auto"/>
              </w:rPr>
            </w:pPr>
          </w:p>
        </w:tc>
      </w:tr>
      <w:tr>
        <w:trPr>
          <w:trHeight w:val="186"/>
        </w:trPr>
        <w:tc>
          <w:tcPr>
            <w:tcW w:w="2060" w:type="dxa"/>
            <w:vAlign w:val="bottom"/>
          </w:tcPr>
          <w:p>
            <w:pPr>
              <w:ind w:left="220"/>
              <w:spacing w:after="0"/>
              <w:rPr>
                <w:sz w:val="20"/>
                <w:szCs w:val="20"/>
                <w:color w:val="auto"/>
              </w:rPr>
            </w:pPr>
            <w:r>
              <w:rPr>
                <w:rFonts w:ascii="Times New Roman" w:cs="Times New Roman" w:eastAsia="Times New Roman" w:hAnsi="Times New Roman"/>
                <w:sz w:val="14"/>
                <w:szCs w:val="14"/>
                <w:i w:val="1"/>
                <w:iCs w:val="1"/>
                <w:color w:val="auto"/>
              </w:rPr>
              <w:t>Minimum</w:t>
            </w:r>
          </w:p>
        </w:tc>
        <w:tc>
          <w:tcPr>
            <w:tcW w:w="2120" w:type="dxa"/>
            <w:vAlign w:val="bottom"/>
          </w:tcPr>
          <w:p>
            <w:pPr>
              <w:spacing w:after="0"/>
              <w:rPr>
                <w:sz w:val="16"/>
                <w:szCs w:val="16"/>
                <w:color w:val="auto"/>
              </w:rPr>
            </w:pPr>
          </w:p>
        </w:tc>
        <w:tc>
          <w:tcPr>
            <w:tcW w:w="228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color w:val="auto"/>
                <w:w w:val="97"/>
              </w:rPr>
              <w:t>Face Amount</w:t>
            </w:r>
          </w:p>
        </w:tc>
        <w:tc>
          <w:tcPr>
            <w:tcW w:w="0" w:type="dxa"/>
            <w:vAlign w:val="bottom"/>
          </w:tcPr>
          <w:p>
            <w:pPr>
              <w:spacing w:after="0"/>
              <w:rPr>
                <w:sz w:val="1"/>
                <w:szCs w:val="1"/>
                <w:color w:val="auto"/>
              </w:rPr>
            </w:pPr>
          </w:p>
        </w:tc>
      </w:tr>
      <w:tr>
        <w:trPr>
          <w:trHeight w:val="22"/>
        </w:trPr>
        <w:tc>
          <w:tcPr>
            <w:tcW w:w="206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2060" w:type="dxa"/>
            <w:vAlign w:val="bottom"/>
            <w:shd w:val="clear" w:color="auto" w:fill="F0FFFF"/>
          </w:tcPr>
          <w:p>
            <w:pPr>
              <w:ind w:left="220"/>
              <w:spacing w:after="0"/>
              <w:rPr>
                <w:sz w:val="20"/>
                <w:szCs w:val="20"/>
                <w:color w:val="auto"/>
              </w:rPr>
            </w:pPr>
            <w:r>
              <w:rPr>
                <w:rFonts w:ascii="Times New Roman" w:cs="Times New Roman" w:eastAsia="Times New Roman" w:hAnsi="Times New Roman"/>
                <w:sz w:val="14"/>
                <w:szCs w:val="14"/>
                <w:i w:val="1"/>
                <w:iCs w:val="1"/>
                <w:color w:val="auto"/>
              </w:rPr>
              <w:t>Charge for a Representative</w:t>
            </w:r>
          </w:p>
        </w:tc>
        <w:tc>
          <w:tcPr>
            <w:tcW w:w="2120" w:type="dxa"/>
            <w:vAlign w:val="bottom"/>
            <w:shd w:val="clear" w:color="auto" w:fill="F0FFFF"/>
          </w:tcPr>
          <w:p>
            <w:pPr>
              <w:spacing w:after="0"/>
              <w:rPr>
                <w:sz w:val="15"/>
                <w:szCs w:val="15"/>
                <w:color w:val="auto"/>
              </w:rPr>
            </w:pPr>
          </w:p>
        </w:tc>
        <w:tc>
          <w:tcPr>
            <w:tcW w:w="2260" w:type="dxa"/>
            <w:vAlign w:val="bottom"/>
            <w:shd w:val="clear" w:color="auto" w:fill="F0FF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60" w:type="dxa"/>
            <w:vAlign w:val="bottom"/>
            <w:shd w:val="clear" w:color="auto" w:fill="F0FFFF"/>
          </w:tcPr>
          <w:p>
            <w:pPr>
              <w:ind w:left="220"/>
              <w:spacing w:after="0"/>
              <w:rPr>
                <w:sz w:val="20"/>
                <w:szCs w:val="20"/>
                <w:color w:val="auto"/>
              </w:rPr>
            </w:pPr>
            <w:r>
              <w:rPr>
                <w:rFonts w:ascii="Times New Roman" w:cs="Times New Roman" w:eastAsia="Times New Roman" w:hAnsi="Times New Roman"/>
                <w:sz w:val="14"/>
                <w:szCs w:val="14"/>
                <w:i w:val="1"/>
                <w:iCs w:val="1"/>
                <w:color w:val="auto"/>
              </w:rPr>
              <w:t>Insured</w:t>
            </w:r>
          </w:p>
        </w:tc>
        <w:tc>
          <w:tcPr>
            <w:tcW w:w="2120" w:type="dxa"/>
            <w:vAlign w:val="bottom"/>
            <w:shd w:val="clear" w:color="auto" w:fill="F0FFFF"/>
          </w:tcPr>
          <w:p>
            <w:pPr>
              <w:spacing w:after="0"/>
              <w:rPr>
                <w:sz w:val="15"/>
                <w:szCs w:val="15"/>
                <w:color w:val="auto"/>
              </w:rPr>
            </w:pPr>
          </w:p>
        </w:tc>
        <w:tc>
          <w:tcPr>
            <w:tcW w:w="2260" w:type="dxa"/>
            <w:vAlign w:val="bottom"/>
            <w:shd w:val="clear" w:color="auto" w:fill="F0FF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60" w:type="dxa"/>
            <w:vAlign w:val="bottom"/>
            <w:shd w:val="clear" w:color="auto" w:fill="F0FFFF"/>
          </w:tcPr>
          <w:p>
            <w:pPr>
              <w:ind w:left="220"/>
              <w:spacing w:after="0"/>
              <w:rPr>
                <w:sz w:val="20"/>
                <w:szCs w:val="20"/>
                <w:color w:val="auto"/>
              </w:rPr>
            </w:pPr>
            <w:r>
              <w:rPr>
                <w:rFonts w:ascii="Times New Roman" w:cs="Times New Roman" w:eastAsia="Times New Roman" w:hAnsi="Times New Roman"/>
                <w:sz w:val="14"/>
                <w:szCs w:val="14"/>
                <w:i w:val="1"/>
                <w:iCs w:val="1"/>
                <w:color w:val="auto"/>
                <w:w w:val="99"/>
              </w:rPr>
              <w:t>(The Representative Insured is a</w:t>
            </w:r>
          </w:p>
        </w:tc>
        <w:tc>
          <w:tcPr>
            <w:tcW w:w="2120" w:type="dxa"/>
            <w:vAlign w:val="bottom"/>
            <w:shd w:val="clear" w:color="auto" w:fill="F0FFFF"/>
          </w:tcPr>
          <w:p>
            <w:pPr>
              <w:spacing w:after="0"/>
              <w:rPr>
                <w:sz w:val="15"/>
                <w:szCs w:val="15"/>
                <w:color w:val="auto"/>
              </w:rPr>
            </w:pPr>
          </w:p>
        </w:tc>
        <w:tc>
          <w:tcPr>
            <w:tcW w:w="2260" w:type="dxa"/>
            <w:vAlign w:val="bottom"/>
            <w:shd w:val="clear" w:color="auto" w:fill="F0FF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60" w:type="dxa"/>
            <w:vAlign w:val="bottom"/>
            <w:shd w:val="clear" w:color="auto" w:fill="F0FFFF"/>
          </w:tcPr>
          <w:p>
            <w:pPr>
              <w:ind w:left="220"/>
              <w:spacing w:after="0"/>
              <w:rPr>
                <w:sz w:val="20"/>
                <w:szCs w:val="20"/>
                <w:color w:val="auto"/>
              </w:rPr>
            </w:pPr>
            <w:r>
              <w:rPr>
                <w:rFonts w:ascii="Times New Roman" w:cs="Times New Roman" w:eastAsia="Times New Roman" w:hAnsi="Times New Roman"/>
                <w:sz w:val="14"/>
                <w:szCs w:val="14"/>
                <w:i w:val="1"/>
                <w:iCs w:val="1"/>
                <w:color w:val="auto"/>
              </w:rPr>
              <w:t>male, age 50, in the nonsmoker</w:t>
            </w:r>
          </w:p>
        </w:tc>
        <w:tc>
          <w:tcPr>
            <w:tcW w:w="2120" w:type="dxa"/>
            <w:vAlign w:val="bottom"/>
            <w:shd w:val="clear" w:color="auto" w:fill="F0FFFF"/>
          </w:tcPr>
          <w:p>
            <w:pPr>
              <w:spacing w:after="0"/>
              <w:rPr>
                <w:sz w:val="15"/>
                <w:szCs w:val="15"/>
                <w:color w:val="auto"/>
              </w:rPr>
            </w:pPr>
          </w:p>
        </w:tc>
        <w:tc>
          <w:tcPr>
            <w:tcW w:w="2260" w:type="dxa"/>
            <w:vAlign w:val="bottom"/>
            <w:shd w:val="clear" w:color="auto" w:fill="F0FF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60" w:type="dxa"/>
            <w:vAlign w:val="bottom"/>
            <w:shd w:val="clear" w:color="auto" w:fill="F0FFFF"/>
          </w:tcPr>
          <w:p>
            <w:pPr>
              <w:ind w:left="220"/>
              <w:spacing w:after="0"/>
              <w:rPr>
                <w:sz w:val="20"/>
                <w:szCs w:val="20"/>
                <w:color w:val="auto"/>
              </w:rPr>
            </w:pPr>
            <w:r>
              <w:rPr>
                <w:rFonts w:ascii="Times New Roman" w:cs="Times New Roman" w:eastAsia="Times New Roman" w:hAnsi="Times New Roman"/>
                <w:sz w:val="14"/>
                <w:szCs w:val="14"/>
                <w:i w:val="1"/>
                <w:iCs w:val="1"/>
                <w:color w:val="auto"/>
              </w:rPr>
              <w:t>risk class under a Policy with a</w:t>
            </w:r>
          </w:p>
        </w:tc>
        <w:tc>
          <w:tcPr>
            <w:tcW w:w="2120" w:type="dxa"/>
            <w:vAlign w:val="bottom"/>
            <w:shd w:val="clear" w:color="auto" w:fill="F0FFFF"/>
          </w:tcPr>
          <w:p>
            <w:pPr>
              <w:spacing w:after="0"/>
              <w:rPr>
                <w:sz w:val="15"/>
                <w:szCs w:val="15"/>
                <w:color w:val="auto"/>
              </w:rPr>
            </w:pPr>
          </w:p>
        </w:tc>
        <w:tc>
          <w:tcPr>
            <w:tcW w:w="2260" w:type="dxa"/>
            <w:vAlign w:val="bottom"/>
            <w:shd w:val="clear" w:color="auto" w:fill="F0FFFF"/>
          </w:tcPr>
          <w:p>
            <w:pPr>
              <w:jc w:val="center"/>
              <w:spacing w:after="0"/>
              <w:rPr>
                <w:sz w:val="20"/>
                <w:szCs w:val="20"/>
                <w:color w:val="auto"/>
              </w:rPr>
            </w:pPr>
            <w:r>
              <w:rPr>
                <w:rFonts w:ascii="Times New Roman" w:cs="Times New Roman" w:eastAsia="Times New Roman" w:hAnsi="Times New Roman"/>
                <w:sz w:val="14"/>
                <w:szCs w:val="14"/>
                <w:color w:val="auto"/>
                <w:w w:val="97"/>
              </w:rPr>
              <w:t>In Policy year 1, $22.83 per $1,000 of</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2060" w:type="dxa"/>
            <w:vAlign w:val="bottom"/>
            <w:tcBorders>
              <w:bottom w:val="single" w:sz="8" w:color="F0FFFF"/>
            </w:tcBorders>
            <w:shd w:val="clear" w:color="auto" w:fill="F0FFFF"/>
          </w:tcPr>
          <w:p>
            <w:pPr>
              <w:ind w:left="220"/>
              <w:spacing w:after="0"/>
              <w:rPr>
                <w:sz w:val="20"/>
                <w:szCs w:val="20"/>
                <w:color w:val="auto"/>
              </w:rPr>
            </w:pPr>
            <w:r>
              <w:rPr>
                <w:rFonts w:ascii="Times New Roman" w:cs="Times New Roman" w:eastAsia="Times New Roman" w:hAnsi="Times New Roman"/>
                <w:sz w:val="14"/>
                <w:szCs w:val="14"/>
                <w:i w:val="1"/>
                <w:iCs w:val="1"/>
                <w:color w:val="auto"/>
              </w:rPr>
              <w:t>Face Amount of $200,000)</w:t>
            </w:r>
          </w:p>
        </w:tc>
        <w:tc>
          <w:tcPr>
            <w:tcW w:w="2120" w:type="dxa"/>
            <w:vAlign w:val="bottom"/>
            <w:tcBorders>
              <w:bottom w:val="single" w:sz="8" w:color="F0FFFF"/>
            </w:tcBorders>
            <w:shd w:val="clear" w:color="auto" w:fill="F0FFFF"/>
          </w:tcPr>
          <w:p>
            <w:pPr>
              <w:spacing w:after="0"/>
              <w:rPr>
                <w:sz w:val="18"/>
                <w:szCs w:val="18"/>
                <w:color w:val="auto"/>
              </w:rPr>
            </w:pPr>
          </w:p>
        </w:tc>
        <w:tc>
          <w:tcPr>
            <w:tcW w:w="2260" w:type="dxa"/>
            <w:vAlign w:val="bottom"/>
            <w:tcBorders>
              <w:bottom w:val="single" w:sz="8" w:color="F0FFFF"/>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color w:val="auto"/>
                <w:w w:val="97"/>
              </w:rPr>
              <w:t>Face Amount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060" w:type="dxa"/>
            <w:vAlign w:val="bottom"/>
            <w:tcBorders>
              <w:top w:val="single" w:sz="8" w:color="auto"/>
            </w:tcBorders>
          </w:tcPr>
          <w:p>
            <w:pPr>
              <w:spacing w:after="0"/>
              <w:rPr>
                <w:sz w:val="14"/>
                <w:szCs w:val="14"/>
                <w:color w:val="auto"/>
              </w:rPr>
            </w:pPr>
          </w:p>
        </w:tc>
        <w:tc>
          <w:tcPr>
            <w:tcW w:w="2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On provision of each illustration in</w:t>
            </w:r>
          </w:p>
        </w:tc>
        <w:tc>
          <w:tcPr>
            <w:tcW w:w="228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w w:val="97"/>
              </w:rPr>
              <w:t>$25 per illustration</w:t>
            </w:r>
          </w:p>
        </w:tc>
        <w:tc>
          <w:tcPr>
            <w:tcW w:w="0" w:type="dxa"/>
            <w:vAlign w:val="bottom"/>
          </w:tcPr>
          <w:p>
            <w:pPr>
              <w:spacing w:after="0"/>
              <w:rPr>
                <w:sz w:val="1"/>
                <w:szCs w:val="1"/>
                <w:color w:val="auto"/>
              </w:rPr>
            </w:pPr>
          </w:p>
        </w:tc>
      </w:tr>
      <w:tr>
        <w:trPr>
          <w:trHeight w:val="176"/>
        </w:trPr>
        <w:tc>
          <w:tcPr>
            <w:tcW w:w="20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Illustration of Benefits Charge</w:t>
            </w:r>
          </w:p>
        </w:tc>
        <w:tc>
          <w:tcPr>
            <w:tcW w:w="2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excess of one per year</w:t>
            </w:r>
          </w:p>
        </w:tc>
        <w:tc>
          <w:tcPr>
            <w:tcW w:w="228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6"/>
              </w:rPr>
              <w:t>(Not currently charged)</w:t>
            </w:r>
          </w:p>
        </w:tc>
        <w:tc>
          <w:tcPr>
            <w:tcW w:w="0" w:type="dxa"/>
            <w:vAlign w:val="bottom"/>
          </w:tcPr>
          <w:p>
            <w:pPr>
              <w:spacing w:after="0"/>
              <w:rPr>
                <w:sz w:val="1"/>
                <w:szCs w:val="1"/>
                <w:color w:val="auto"/>
              </w:rPr>
            </w:pPr>
          </w:p>
        </w:tc>
      </w:tr>
    </w:tbl>
    <w:p>
      <w:pPr>
        <w:spacing w:after="0" w:line="71" w:lineRule="exact"/>
        <w:rPr>
          <w:sz w:val="20"/>
          <w:szCs w:val="20"/>
          <w:color w:val="auto"/>
        </w:rPr>
      </w:pPr>
    </w:p>
    <w:p>
      <w:pPr>
        <w:jc w:val="both"/>
        <w:ind w:left="265" w:right="2999" w:hanging="265"/>
        <w:spacing w:after="0" w:line="220" w:lineRule="auto"/>
        <w:tabs>
          <w:tab w:leader="none" w:pos="265" w:val="left"/>
        </w:tabs>
        <w:numPr>
          <w:ilvl w:val="0"/>
          <w:numId w:val="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Surrender charge varies based on individual characteristics, including the Policy’s duration and the Insured’s issue age, risk class, sex (except for unisex Policies). The Surrender charge may not be representative of the charge that a particular Policy Owner would pay. You can obtain more information about the Surrender charge that would apply for a particular insured by contacting your financial professional.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3085"/>
        <w:spacing w:after="0"/>
        <w:rPr>
          <w:sz w:val="20"/>
          <w:szCs w:val="20"/>
          <w:color w:val="auto"/>
        </w:rPr>
      </w:pPr>
      <w:r>
        <w:rPr>
          <w:rFonts w:ascii="Times New Roman" w:cs="Times New Roman" w:eastAsia="Times New Roman" w:hAnsi="Times New Roman"/>
          <w:sz w:val="14"/>
          <w:szCs w:val="14"/>
          <w:color w:val="auto"/>
        </w:rPr>
        <w:t>16</w:t>
      </w:r>
    </w:p>
    <w:p>
      <w:pPr>
        <w:sectPr>
          <w:pgSz w:w="11900" w:h="16838" w:orient="portrait"/>
          <w:cols w:equalWidth="0" w:num="1">
            <w:col w:w="9224"/>
          </w:cols>
          <w:pgMar w:left="1235" w:top="1079" w:right="1440" w:bottom="1440" w:gutter="0" w:footer="0" w:header="0"/>
        </w:sectPr>
      </w:pPr>
    </w:p>
    <w:bookmarkStart w:id="19" w:name="page20"/>
    <w:bookmarkEnd w:id="19"/>
    <w:p>
      <w:pPr>
        <w:ind w:left="265" w:right="3139"/>
        <w:spacing w:after="0" w:line="273" w:lineRule="auto"/>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422275</wp:posOffset>
            </wp:positionV>
            <wp:extent cx="719010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90105" cy="38735"/>
                    </a:xfrm>
                    <a:prstGeom prst="rect">
                      <a:avLst/>
                    </a:prstGeom>
                    <a:noFill/>
                  </pic:spPr>
                </pic:pic>
              </a:graphicData>
            </a:graphic>
          </wp:anchor>
        </w:drawing>
        <w:t>The next table describes the charges that you will pay periodically during the time that you own the Policy.</w:t>
      </w:r>
    </w:p>
    <w:p>
      <w:pPr>
        <w:spacing w:after="0" w:line="127" w:lineRule="exact"/>
        <w:rPr>
          <w:sz w:val="20"/>
          <w:szCs w:val="20"/>
          <w:color w:val="auto"/>
        </w:rPr>
      </w:pPr>
    </w:p>
    <w:p>
      <w:pPr>
        <w:ind w:left="5"/>
        <w:spacing w:after="0"/>
        <w:rPr>
          <w:sz w:val="20"/>
          <w:szCs w:val="20"/>
          <w:color w:val="auto"/>
        </w:rPr>
      </w:pPr>
      <w:r>
        <w:rPr>
          <w:rFonts w:ascii="Times New Roman" w:cs="Times New Roman" w:eastAsia="Times New Roman" w:hAnsi="Times New Roman"/>
          <w:sz w:val="14"/>
          <w:szCs w:val="14"/>
          <w:b w:val="1"/>
          <w:bCs w:val="1"/>
          <w:color w:val="auto"/>
        </w:rPr>
        <w:t>Periodic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88265</wp:posOffset>
            </wp:positionV>
            <wp:extent cx="4310380" cy="56756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310380" cy="5675630"/>
                    </a:xfrm>
                    <a:prstGeom prst="rect">
                      <a:avLst/>
                    </a:prstGeom>
                    <a:noFill/>
                  </pic:spPr>
                </pic:pic>
              </a:graphicData>
            </a:graphic>
          </wp:anchor>
        </w:drawing>
      </w:r>
    </w:p>
    <w:p>
      <w:pPr>
        <w:spacing w:after="0" w:line="99" w:lineRule="exact"/>
        <w:rPr>
          <w:sz w:val="20"/>
          <w:szCs w:val="20"/>
          <w:color w:val="auto"/>
        </w:rPr>
      </w:pPr>
    </w:p>
    <w:tbl>
      <w:tblPr>
        <w:tblLayout w:type="fixed"/>
        <w:tblInd w:w="5" w:type="dxa"/>
        <w:tblCellMar>
          <w:top w:w="0" w:type="dxa"/>
          <w:left w:w="0" w:type="dxa"/>
          <w:bottom w:w="0" w:type="dxa"/>
          <w:right w:w="0" w:type="dxa"/>
        </w:tblCellMar>
      </w:tblPr>
      <w:tr>
        <w:trPr>
          <w:trHeight w:val="221"/>
        </w:trPr>
        <w:tc>
          <w:tcPr>
            <w:tcW w:w="2280" w:type="dxa"/>
            <w:vAlign w:val="bottom"/>
            <w:tcBorders>
              <w:top w:val="single" w:sz="8" w:color="auto"/>
              <w:bottom w:val="single" w:sz="8" w:color="auto"/>
              <w:right w:val="single" w:sz="8" w:color="auto"/>
            </w:tcBorders>
          </w:tcPr>
          <w:p>
            <w:pPr>
              <w:ind w:left="960"/>
              <w:spacing w:after="0"/>
              <w:rPr>
                <w:sz w:val="20"/>
                <w:szCs w:val="20"/>
                <w:color w:val="auto"/>
              </w:rPr>
            </w:pPr>
            <w:r>
              <w:rPr>
                <w:rFonts w:ascii="Times New Roman" w:cs="Times New Roman" w:eastAsia="Times New Roman" w:hAnsi="Times New Roman"/>
                <w:sz w:val="11"/>
                <w:szCs w:val="11"/>
                <w:b w:val="1"/>
                <w:bCs w:val="1"/>
                <w:color w:val="auto"/>
              </w:rPr>
              <w:t>Charge</w:t>
            </w:r>
          </w:p>
        </w:tc>
        <w:tc>
          <w:tcPr>
            <w:tcW w:w="60" w:type="dxa"/>
            <w:vAlign w:val="bottom"/>
            <w:tcBorders>
              <w:top w:val="single" w:sz="8" w:color="auto"/>
              <w:bottom w:val="single" w:sz="8" w:color="auto"/>
            </w:tcBorders>
          </w:tcPr>
          <w:p>
            <w:pPr>
              <w:spacing w:after="0"/>
              <w:rPr>
                <w:sz w:val="19"/>
                <w:szCs w:val="19"/>
                <w:color w:val="auto"/>
              </w:rPr>
            </w:pPr>
          </w:p>
        </w:tc>
        <w:tc>
          <w:tcPr>
            <w:tcW w:w="2160" w:type="dxa"/>
            <w:vAlign w:val="bottom"/>
            <w:tcBorders>
              <w:top w:val="single" w:sz="8" w:color="auto"/>
              <w:bottom w:val="single" w:sz="8" w:color="auto"/>
              <w:right w:val="single" w:sz="8" w:color="auto"/>
            </w:tcBorders>
          </w:tcPr>
          <w:p>
            <w:pPr>
              <w:jc w:val="center"/>
              <w:ind w:right="33"/>
              <w:spacing w:after="0"/>
              <w:rPr>
                <w:sz w:val="20"/>
                <w:szCs w:val="20"/>
                <w:color w:val="auto"/>
              </w:rPr>
            </w:pPr>
            <w:r>
              <w:rPr>
                <w:rFonts w:ascii="Times New Roman" w:cs="Times New Roman" w:eastAsia="Times New Roman" w:hAnsi="Times New Roman"/>
                <w:sz w:val="11"/>
                <w:szCs w:val="11"/>
                <w:b w:val="1"/>
                <w:bCs w:val="1"/>
                <w:color w:val="auto"/>
                <w:w w:val="99"/>
              </w:rPr>
              <w:t>When Charge is Deducted</w:t>
            </w:r>
          </w:p>
        </w:tc>
        <w:tc>
          <w:tcPr>
            <w:tcW w:w="2280" w:type="dxa"/>
            <w:vAlign w:val="bottom"/>
            <w:tcBorders>
              <w:top w:val="single" w:sz="8" w:color="auto"/>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Amount Deducted</w:t>
            </w:r>
          </w:p>
        </w:tc>
        <w:tc>
          <w:tcPr>
            <w:tcW w:w="0" w:type="dxa"/>
            <w:vAlign w:val="bottom"/>
          </w:tcPr>
          <w:p>
            <w:pPr>
              <w:spacing w:after="0"/>
              <w:rPr>
                <w:sz w:val="1"/>
                <w:szCs w:val="1"/>
                <w:color w:val="auto"/>
              </w:rPr>
            </w:pPr>
          </w:p>
        </w:tc>
      </w:tr>
      <w:tr>
        <w:trPr>
          <w:trHeight w:val="216"/>
        </w:trPr>
        <w:tc>
          <w:tcPr>
            <w:tcW w:w="2340" w:type="dxa"/>
            <w:vAlign w:val="bottom"/>
            <w:tcBorders>
              <w:bottom w:val="single" w:sz="8" w:color="F0FFFF"/>
            </w:tcBorders>
            <w:gridSpan w:val="2"/>
            <w:shd w:val="clear" w:color="auto" w:fill="F0FFFF"/>
          </w:tcPr>
          <w:p>
            <w:pPr>
              <w:ind w:left="80"/>
              <w:spacing w:after="0"/>
              <w:rPr>
                <w:sz w:val="20"/>
                <w:szCs w:val="20"/>
                <w:color w:val="auto"/>
              </w:rPr>
            </w:pPr>
            <w:r>
              <w:rPr>
                <w:rFonts w:ascii="Times New Roman" w:cs="Times New Roman" w:eastAsia="Times New Roman" w:hAnsi="Times New Roman"/>
                <w:sz w:val="14"/>
                <w:szCs w:val="14"/>
                <w:b w:val="1"/>
                <w:bCs w:val="1"/>
                <w:color w:val="auto"/>
              </w:rPr>
              <w:t>Base Policy Charges</w:t>
            </w:r>
          </w:p>
        </w:tc>
        <w:tc>
          <w:tcPr>
            <w:tcW w:w="2160" w:type="dxa"/>
            <w:vAlign w:val="bottom"/>
            <w:tcBorders>
              <w:bottom w:val="single" w:sz="8" w:color="F0FFFF"/>
              <w:right w:val="single" w:sz="8" w:color="F0FFFF"/>
            </w:tcBorders>
            <w:shd w:val="clear" w:color="auto" w:fill="F0FFFF"/>
          </w:tcPr>
          <w:p>
            <w:pPr>
              <w:spacing w:after="0"/>
              <w:rPr>
                <w:sz w:val="18"/>
                <w:szCs w:val="18"/>
                <w:color w:val="auto"/>
              </w:rPr>
            </w:pPr>
          </w:p>
        </w:tc>
        <w:tc>
          <w:tcPr>
            <w:tcW w:w="2260" w:type="dxa"/>
            <w:vAlign w:val="bottom"/>
            <w:tcBorders>
              <w:bottom w:val="single" w:sz="8" w:color="F0FFFF"/>
            </w:tcBorders>
            <w:shd w:val="clear" w:color="auto" w:fill="F0FF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280" w:type="dxa"/>
            <w:vAlign w:val="bottom"/>
            <w:tcBorders>
              <w:top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4"/>
                <w:szCs w:val="14"/>
                <w:color w:val="auto"/>
              </w:rPr>
              <w:t>Annual Cost of Insurance Charge</w:t>
            </w:r>
            <w:r>
              <w:rPr>
                <w:rFonts w:ascii="Times New Roman" w:cs="Times New Roman" w:eastAsia="Times New Roman" w:hAnsi="Times New Roman"/>
                <w:sz w:val="17"/>
                <w:szCs w:val="17"/>
                <w:color w:val="auto"/>
                <w:vertAlign w:val="superscript"/>
              </w:rPr>
              <w:t>1</w:t>
            </w:r>
          </w:p>
        </w:tc>
        <w:tc>
          <w:tcPr>
            <w:tcW w:w="60" w:type="dxa"/>
            <w:vAlign w:val="bottom"/>
            <w:tcBorders>
              <w:top w:val="single" w:sz="8" w:color="auto"/>
            </w:tcBorders>
          </w:tcPr>
          <w:p>
            <w:pPr>
              <w:spacing w:after="0"/>
              <w:rPr>
                <w:sz w:val="15"/>
                <w:szCs w:val="15"/>
                <w:color w:val="auto"/>
              </w:rPr>
            </w:pPr>
          </w:p>
        </w:tc>
        <w:tc>
          <w:tcPr>
            <w:tcW w:w="2160" w:type="dxa"/>
            <w:vAlign w:val="bottom"/>
            <w:tcBorders>
              <w:top w:val="single" w:sz="8" w:color="auto"/>
              <w:right w:val="single" w:sz="8" w:color="auto"/>
            </w:tcBorders>
          </w:tcPr>
          <w:p>
            <w:pPr>
              <w:jc w:val="center"/>
              <w:ind w:right="53"/>
              <w:spacing w:after="0"/>
              <w:rPr>
                <w:sz w:val="20"/>
                <w:szCs w:val="20"/>
                <w:color w:val="auto"/>
              </w:rPr>
            </w:pPr>
            <w:r>
              <w:rPr>
                <w:rFonts w:ascii="Times New Roman" w:cs="Times New Roman" w:eastAsia="Times New Roman" w:hAnsi="Times New Roman"/>
                <w:sz w:val="14"/>
                <w:szCs w:val="14"/>
                <w:color w:val="auto"/>
                <w:w w:val="97"/>
              </w:rPr>
              <w:t>On Policy Start Date and each Policy</w:t>
            </w:r>
          </w:p>
        </w:tc>
        <w:tc>
          <w:tcPr>
            <w:tcW w:w="22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2280" w:type="dxa"/>
            <w:vAlign w:val="bottom"/>
            <w:tcBorders>
              <w:bottom w:val="single" w:sz="8" w:color="auto"/>
              <w:right w:val="single" w:sz="8" w:color="auto"/>
            </w:tcBorders>
            <w:vMerge w:val="continue"/>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jc w:val="center"/>
              <w:ind w:right="53"/>
              <w:spacing w:after="0"/>
              <w:rPr>
                <w:sz w:val="20"/>
                <w:szCs w:val="20"/>
                <w:color w:val="auto"/>
              </w:rPr>
            </w:pPr>
            <w:r>
              <w:rPr>
                <w:rFonts w:ascii="Times New Roman" w:cs="Times New Roman" w:eastAsia="Times New Roman" w:hAnsi="Times New Roman"/>
                <w:sz w:val="14"/>
                <w:szCs w:val="14"/>
                <w:color w:val="auto"/>
                <w:w w:val="98"/>
              </w:rPr>
              <w:t>Anniversary</w:t>
            </w:r>
          </w:p>
        </w:tc>
        <w:tc>
          <w:tcPr>
            <w:tcW w:w="22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2280" w:type="dxa"/>
            <w:vAlign w:val="bottom"/>
            <w:tcBorders>
              <w:right w:val="single" w:sz="8" w:color="auto"/>
            </w:tcBorders>
            <w:shd w:val="clear" w:color="auto" w:fill="F0FFFF"/>
          </w:tcPr>
          <w:p>
            <w:pPr>
              <w:spacing w:after="0"/>
              <w:rPr>
                <w:sz w:val="15"/>
                <w:szCs w:val="15"/>
                <w:color w:val="auto"/>
              </w:rPr>
            </w:pPr>
          </w:p>
        </w:tc>
        <w:tc>
          <w:tcPr>
            <w:tcW w:w="60" w:type="dxa"/>
            <w:vAlign w:val="bottom"/>
            <w:shd w:val="clear" w:color="auto" w:fill="F0FFFF"/>
          </w:tcPr>
          <w:p>
            <w:pPr>
              <w:spacing w:after="0"/>
              <w:rPr>
                <w:sz w:val="15"/>
                <w:szCs w:val="15"/>
                <w:color w:val="auto"/>
              </w:rPr>
            </w:pPr>
          </w:p>
        </w:tc>
        <w:tc>
          <w:tcPr>
            <w:tcW w:w="2160" w:type="dxa"/>
            <w:vAlign w:val="bottom"/>
            <w:tcBorders>
              <w:right w:val="single" w:sz="8" w:color="auto"/>
            </w:tcBorders>
            <w:shd w:val="clear" w:color="auto" w:fill="F0FFFF"/>
          </w:tcPr>
          <w:p>
            <w:pPr>
              <w:spacing w:after="0"/>
              <w:rPr>
                <w:sz w:val="15"/>
                <w:szCs w:val="15"/>
                <w:color w:val="auto"/>
              </w:rPr>
            </w:pPr>
          </w:p>
        </w:tc>
        <w:tc>
          <w:tcPr>
            <w:tcW w:w="2260" w:type="dxa"/>
            <w:vAlign w:val="bottom"/>
            <w:shd w:val="clear" w:color="auto" w:fill="F0FFFF"/>
          </w:tcPr>
          <w:p>
            <w:pPr>
              <w:jc w:val="center"/>
              <w:spacing w:after="0"/>
              <w:rPr>
                <w:sz w:val="20"/>
                <w:szCs w:val="20"/>
                <w:color w:val="auto"/>
              </w:rPr>
            </w:pPr>
            <w:r>
              <w:rPr>
                <w:rFonts w:ascii="Times New Roman" w:cs="Times New Roman" w:eastAsia="Times New Roman" w:hAnsi="Times New Roman"/>
                <w:sz w:val="14"/>
                <w:szCs w:val="14"/>
                <w:color w:val="auto"/>
                <w:w w:val="97"/>
              </w:rPr>
              <w:t>$1,000 per $1,000 of net amount at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2280" w:type="dxa"/>
            <w:vAlign w:val="bottom"/>
            <w:tcBorders>
              <w:bottom w:val="single" w:sz="8" w:color="auto"/>
              <w:right w:val="single" w:sz="8" w:color="auto"/>
            </w:tcBorders>
            <w:shd w:val="clear" w:color="auto" w:fill="F0FFFF"/>
          </w:tcPr>
          <w:p>
            <w:pPr>
              <w:ind w:left="220"/>
              <w:spacing w:after="0"/>
              <w:rPr>
                <w:sz w:val="20"/>
                <w:szCs w:val="20"/>
                <w:color w:val="auto"/>
              </w:rPr>
            </w:pPr>
            <w:r>
              <w:rPr>
                <w:rFonts w:ascii="Times New Roman" w:cs="Times New Roman" w:eastAsia="Times New Roman" w:hAnsi="Times New Roman"/>
                <w:sz w:val="14"/>
                <w:szCs w:val="14"/>
                <w:i w:val="1"/>
                <w:iCs w:val="1"/>
                <w:color w:val="auto"/>
              </w:rPr>
              <w:t>Maximum</w:t>
            </w:r>
          </w:p>
        </w:tc>
        <w:tc>
          <w:tcPr>
            <w:tcW w:w="60" w:type="dxa"/>
            <w:vAlign w:val="bottom"/>
            <w:tcBorders>
              <w:bottom w:val="single" w:sz="8" w:color="auto"/>
            </w:tcBorders>
            <w:shd w:val="clear" w:color="auto" w:fill="F0FFFF"/>
          </w:tcPr>
          <w:p>
            <w:pPr>
              <w:spacing w:after="0"/>
              <w:rPr>
                <w:sz w:val="20"/>
                <w:szCs w:val="20"/>
                <w:color w:val="auto"/>
              </w:rPr>
            </w:pPr>
          </w:p>
        </w:tc>
        <w:tc>
          <w:tcPr>
            <w:tcW w:w="2160" w:type="dxa"/>
            <w:vAlign w:val="bottom"/>
            <w:tcBorders>
              <w:bottom w:val="single" w:sz="8" w:color="auto"/>
              <w:right w:val="single" w:sz="8" w:color="auto"/>
            </w:tcBorders>
            <w:shd w:val="clear" w:color="auto" w:fill="F0FFFF"/>
          </w:tcPr>
          <w:p>
            <w:pPr>
              <w:spacing w:after="0"/>
              <w:rPr>
                <w:sz w:val="20"/>
                <w:szCs w:val="20"/>
                <w:color w:val="auto"/>
              </w:rPr>
            </w:pPr>
          </w:p>
        </w:tc>
        <w:tc>
          <w:tcPr>
            <w:tcW w:w="2260" w:type="dxa"/>
            <w:vAlign w:val="bottom"/>
            <w:tcBorders>
              <w:bottom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color w:val="auto"/>
                <w:w w:val="97"/>
              </w:rPr>
              <w:t>risk</w:t>
            </w:r>
            <w:r>
              <w:rPr>
                <w:rFonts w:ascii="Times New Roman" w:cs="Times New Roman" w:eastAsia="Times New Roman" w:hAnsi="Times New Roman"/>
                <w:sz w:val="17"/>
                <w:szCs w:val="17"/>
                <w:color w:val="auto"/>
                <w:w w:val="97"/>
                <w:vertAlign w:val="superscript"/>
              </w:rPr>
              <w:t>2</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228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160" w:type="dxa"/>
            <w:vAlign w:val="bottom"/>
            <w:tcBorders>
              <w:right w:val="single" w:sz="8" w:color="auto"/>
            </w:tcBorders>
          </w:tcPr>
          <w:p>
            <w:pPr>
              <w:spacing w:after="0"/>
              <w:rPr>
                <w:sz w:val="15"/>
                <w:szCs w:val="15"/>
                <w:color w:val="auto"/>
              </w:rPr>
            </w:pPr>
          </w:p>
        </w:tc>
        <w:tc>
          <w:tcPr>
            <w:tcW w:w="228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color w:val="auto"/>
                <w:w w:val="97"/>
              </w:rPr>
              <w:t>$0.74 per $1,000 of net amount at</w:t>
            </w:r>
          </w:p>
        </w:tc>
        <w:tc>
          <w:tcPr>
            <w:tcW w:w="0" w:type="dxa"/>
            <w:vAlign w:val="bottom"/>
          </w:tcPr>
          <w:p>
            <w:pPr>
              <w:spacing w:after="0"/>
              <w:rPr>
                <w:sz w:val="1"/>
                <w:szCs w:val="1"/>
                <w:color w:val="auto"/>
              </w:rPr>
            </w:pPr>
          </w:p>
        </w:tc>
      </w:tr>
      <w:tr>
        <w:trPr>
          <w:trHeight w:val="233"/>
        </w:trPr>
        <w:tc>
          <w:tcPr>
            <w:tcW w:w="228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4"/>
                <w:szCs w:val="14"/>
                <w:i w:val="1"/>
                <w:iCs w:val="1"/>
                <w:color w:val="auto"/>
              </w:rPr>
              <w:t>Minimum</w:t>
            </w:r>
          </w:p>
        </w:tc>
        <w:tc>
          <w:tcPr>
            <w:tcW w:w="60" w:type="dxa"/>
            <w:vAlign w:val="bottom"/>
            <w:tcBorders>
              <w:bottom w:val="single" w:sz="8" w:color="auto"/>
            </w:tcBorders>
          </w:tcPr>
          <w:p>
            <w:pPr>
              <w:spacing w:after="0"/>
              <w:rPr>
                <w:sz w:val="20"/>
                <w:szCs w:val="20"/>
                <w:color w:val="auto"/>
              </w:rPr>
            </w:pPr>
          </w:p>
        </w:tc>
        <w:tc>
          <w:tcPr>
            <w:tcW w:w="2160" w:type="dxa"/>
            <w:vAlign w:val="bottom"/>
            <w:tcBorders>
              <w:bottom w:val="single" w:sz="8" w:color="auto"/>
              <w:right w:val="single" w:sz="8" w:color="auto"/>
            </w:tcBorders>
          </w:tcPr>
          <w:p>
            <w:pPr>
              <w:spacing w:after="0"/>
              <w:rPr>
                <w:sz w:val="20"/>
                <w:szCs w:val="20"/>
                <w:color w:val="auto"/>
              </w:rPr>
            </w:pPr>
          </w:p>
        </w:tc>
        <w:tc>
          <w:tcPr>
            <w:tcW w:w="2280" w:type="dxa"/>
            <w:vAlign w:val="bottom"/>
            <w:tcBorders>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4"/>
                <w:szCs w:val="14"/>
                <w:color w:val="auto"/>
                <w:w w:val="97"/>
              </w:rPr>
              <w:t>risk</w:t>
            </w:r>
            <w:r>
              <w:rPr>
                <w:rFonts w:ascii="Times New Roman" w:cs="Times New Roman" w:eastAsia="Times New Roman" w:hAnsi="Times New Roman"/>
                <w:sz w:val="17"/>
                <w:szCs w:val="17"/>
                <w:color w:val="auto"/>
                <w:w w:val="97"/>
                <w:vertAlign w:val="superscript"/>
              </w:rPr>
              <w:t>2</w:t>
            </w:r>
          </w:p>
        </w:tc>
        <w:tc>
          <w:tcPr>
            <w:tcW w:w="0" w:type="dxa"/>
            <w:vAlign w:val="bottom"/>
          </w:tcPr>
          <w:p>
            <w:pPr>
              <w:spacing w:after="0"/>
              <w:rPr>
                <w:sz w:val="1"/>
                <w:szCs w:val="1"/>
                <w:color w:val="auto"/>
              </w:rPr>
            </w:pPr>
          </w:p>
        </w:tc>
      </w:tr>
      <w:tr>
        <w:trPr>
          <w:trHeight w:val="179"/>
        </w:trPr>
        <w:tc>
          <w:tcPr>
            <w:tcW w:w="2280" w:type="dxa"/>
            <w:vAlign w:val="bottom"/>
            <w:tcBorders>
              <w:right w:val="single" w:sz="8" w:color="auto"/>
            </w:tcBorders>
            <w:shd w:val="clear" w:color="auto" w:fill="F0FFFF"/>
          </w:tcPr>
          <w:p>
            <w:pPr>
              <w:ind w:left="220"/>
              <w:spacing w:after="0"/>
              <w:rPr>
                <w:sz w:val="20"/>
                <w:szCs w:val="20"/>
                <w:color w:val="auto"/>
              </w:rPr>
            </w:pPr>
            <w:r>
              <w:rPr>
                <w:rFonts w:ascii="Times New Roman" w:cs="Times New Roman" w:eastAsia="Times New Roman" w:hAnsi="Times New Roman"/>
                <w:sz w:val="14"/>
                <w:szCs w:val="14"/>
                <w:i w:val="1"/>
                <w:iCs w:val="1"/>
                <w:color w:val="auto"/>
              </w:rPr>
              <w:t>Charge in the first Policy year for a</w:t>
            </w:r>
          </w:p>
        </w:tc>
        <w:tc>
          <w:tcPr>
            <w:tcW w:w="60" w:type="dxa"/>
            <w:vAlign w:val="bottom"/>
            <w:shd w:val="clear" w:color="auto" w:fill="F0FFFF"/>
          </w:tcPr>
          <w:p>
            <w:pPr>
              <w:spacing w:after="0"/>
              <w:rPr>
                <w:sz w:val="15"/>
                <w:szCs w:val="15"/>
                <w:color w:val="auto"/>
              </w:rPr>
            </w:pPr>
          </w:p>
        </w:tc>
        <w:tc>
          <w:tcPr>
            <w:tcW w:w="2160" w:type="dxa"/>
            <w:vAlign w:val="bottom"/>
            <w:tcBorders>
              <w:right w:val="single" w:sz="8" w:color="auto"/>
            </w:tcBorders>
            <w:shd w:val="clear" w:color="auto" w:fill="F0FFFF"/>
          </w:tcPr>
          <w:p>
            <w:pPr>
              <w:spacing w:after="0"/>
              <w:rPr>
                <w:sz w:val="15"/>
                <w:szCs w:val="15"/>
                <w:color w:val="auto"/>
              </w:rPr>
            </w:pPr>
          </w:p>
        </w:tc>
        <w:tc>
          <w:tcPr>
            <w:tcW w:w="2260" w:type="dxa"/>
            <w:vAlign w:val="bottom"/>
            <w:shd w:val="clear" w:color="auto" w:fill="F0FF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280" w:type="dxa"/>
            <w:vAlign w:val="bottom"/>
            <w:tcBorders>
              <w:right w:val="single" w:sz="8" w:color="auto"/>
            </w:tcBorders>
            <w:shd w:val="clear" w:color="auto" w:fill="F0FFFF"/>
          </w:tcPr>
          <w:p>
            <w:pPr>
              <w:ind w:left="220"/>
              <w:spacing w:after="0"/>
              <w:rPr>
                <w:sz w:val="20"/>
                <w:szCs w:val="20"/>
                <w:color w:val="auto"/>
              </w:rPr>
            </w:pPr>
            <w:r>
              <w:rPr>
                <w:rFonts w:ascii="Times New Roman" w:cs="Times New Roman" w:eastAsia="Times New Roman" w:hAnsi="Times New Roman"/>
                <w:sz w:val="14"/>
                <w:szCs w:val="14"/>
                <w:i w:val="1"/>
                <w:iCs w:val="1"/>
                <w:color w:val="auto"/>
              </w:rPr>
              <w:t>Representative Insured</w:t>
            </w:r>
          </w:p>
        </w:tc>
        <w:tc>
          <w:tcPr>
            <w:tcW w:w="60" w:type="dxa"/>
            <w:vAlign w:val="bottom"/>
            <w:shd w:val="clear" w:color="auto" w:fill="F0FFFF"/>
          </w:tcPr>
          <w:p>
            <w:pPr>
              <w:spacing w:after="0"/>
              <w:rPr>
                <w:sz w:val="15"/>
                <w:szCs w:val="15"/>
                <w:color w:val="auto"/>
              </w:rPr>
            </w:pPr>
          </w:p>
        </w:tc>
        <w:tc>
          <w:tcPr>
            <w:tcW w:w="2160" w:type="dxa"/>
            <w:vAlign w:val="bottom"/>
            <w:tcBorders>
              <w:right w:val="single" w:sz="8" w:color="auto"/>
            </w:tcBorders>
            <w:shd w:val="clear" w:color="auto" w:fill="F0FFFF"/>
          </w:tcPr>
          <w:p>
            <w:pPr>
              <w:spacing w:after="0"/>
              <w:rPr>
                <w:sz w:val="15"/>
                <w:szCs w:val="15"/>
                <w:color w:val="auto"/>
              </w:rPr>
            </w:pPr>
          </w:p>
        </w:tc>
        <w:tc>
          <w:tcPr>
            <w:tcW w:w="2260" w:type="dxa"/>
            <w:vAlign w:val="bottom"/>
            <w:shd w:val="clear" w:color="auto" w:fill="F0FF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280" w:type="dxa"/>
            <w:vAlign w:val="bottom"/>
            <w:tcBorders>
              <w:right w:val="single" w:sz="8" w:color="auto"/>
            </w:tcBorders>
            <w:shd w:val="clear" w:color="auto" w:fill="F0FFFF"/>
          </w:tcPr>
          <w:p>
            <w:pPr>
              <w:ind w:left="220"/>
              <w:spacing w:after="0"/>
              <w:rPr>
                <w:sz w:val="20"/>
                <w:szCs w:val="20"/>
                <w:color w:val="auto"/>
              </w:rPr>
            </w:pPr>
            <w:r>
              <w:rPr>
                <w:rFonts w:ascii="Times New Roman" w:cs="Times New Roman" w:eastAsia="Times New Roman" w:hAnsi="Times New Roman"/>
                <w:sz w:val="14"/>
                <w:szCs w:val="14"/>
                <w:i w:val="1"/>
                <w:iCs w:val="1"/>
                <w:color w:val="auto"/>
              </w:rPr>
              <w:t>(The Representative Insured is a</w:t>
            </w:r>
          </w:p>
        </w:tc>
        <w:tc>
          <w:tcPr>
            <w:tcW w:w="60" w:type="dxa"/>
            <w:vAlign w:val="bottom"/>
            <w:shd w:val="clear" w:color="auto" w:fill="F0FFFF"/>
          </w:tcPr>
          <w:p>
            <w:pPr>
              <w:spacing w:after="0"/>
              <w:rPr>
                <w:sz w:val="15"/>
                <w:szCs w:val="15"/>
                <w:color w:val="auto"/>
              </w:rPr>
            </w:pPr>
          </w:p>
        </w:tc>
        <w:tc>
          <w:tcPr>
            <w:tcW w:w="2160" w:type="dxa"/>
            <w:vAlign w:val="bottom"/>
            <w:tcBorders>
              <w:right w:val="single" w:sz="8" w:color="auto"/>
            </w:tcBorders>
            <w:shd w:val="clear" w:color="auto" w:fill="F0FFFF"/>
          </w:tcPr>
          <w:p>
            <w:pPr>
              <w:spacing w:after="0"/>
              <w:rPr>
                <w:sz w:val="15"/>
                <w:szCs w:val="15"/>
                <w:color w:val="auto"/>
              </w:rPr>
            </w:pPr>
          </w:p>
        </w:tc>
        <w:tc>
          <w:tcPr>
            <w:tcW w:w="2260" w:type="dxa"/>
            <w:vAlign w:val="bottom"/>
            <w:shd w:val="clear" w:color="auto" w:fill="F0FF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280" w:type="dxa"/>
            <w:vAlign w:val="bottom"/>
            <w:tcBorders>
              <w:right w:val="single" w:sz="8" w:color="auto"/>
            </w:tcBorders>
            <w:shd w:val="clear" w:color="auto" w:fill="F0FFFF"/>
          </w:tcPr>
          <w:p>
            <w:pPr>
              <w:ind w:left="220"/>
              <w:spacing w:after="0"/>
              <w:rPr>
                <w:sz w:val="20"/>
                <w:szCs w:val="20"/>
                <w:color w:val="auto"/>
              </w:rPr>
            </w:pPr>
            <w:r>
              <w:rPr>
                <w:rFonts w:ascii="Times New Roman" w:cs="Times New Roman" w:eastAsia="Times New Roman" w:hAnsi="Times New Roman"/>
                <w:sz w:val="14"/>
                <w:szCs w:val="14"/>
                <w:i w:val="1"/>
                <w:iCs w:val="1"/>
                <w:color w:val="auto"/>
              </w:rPr>
              <w:t>male, age 50, in the nonsmoker</w:t>
            </w:r>
          </w:p>
        </w:tc>
        <w:tc>
          <w:tcPr>
            <w:tcW w:w="60" w:type="dxa"/>
            <w:vAlign w:val="bottom"/>
            <w:shd w:val="clear" w:color="auto" w:fill="F0FFFF"/>
          </w:tcPr>
          <w:p>
            <w:pPr>
              <w:spacing w:after="0"/>
              <w:rPr>
                <w:sz w:val="15"/>
                <w:szCs w:val="15"/>
                <w:color w:val="auto"/>
              </w:rPr>
            </w:pPr>
          </w:p>
        </w:tc>
        <w:tc>
          <w:tcPr>
            <w:tcW w:w="2160" w:type="dxa"/>
            <w:vAlign w:val="bottom"/>
            <w:tcBorders>
              <w:right w:val="single" w:sz="8" w:color="auto"/>
            </w:tcBorders>
            <w:shd w:val="clear" w:color="auto" w:fill="F0FFFF"/>
          </w:tcPr>
          <w:p>
            <w:pPr>
              <w:spacing w:after="0"/>
              <w:rPr>
                <w:sz w:val="15"/>
                <w:szCs w:val="15"/>
                <w:color w:val="auto"/>
              </w:rPr>
            </w:pPr>
          </w:p>
        </w:tc>
        <w:tc>
          <w:tcPr>
            <w:tcW w:w="2260" w:type="dxa"/>
            <w:vAlign w:val="bottom"/>
            <w:vMerge w:val="restart"/>
            <w:shd w:val="clear" w:color="auto" w:fill="F0FFFF"/>
          </w:tcPr>
          <w:p>
            <w:pPr>
              <w:jc w:val="center"/>
              <w:spacing w:after="0"/>
              <w:rPr>
                <w:sz w:val="20"/>
                <w:szCs w:val="20"/>
                <w:color w:val="auto"/>
              </w:rPr>
            </w:pPr>
            <w:r>
              <w:rPr>
                <w:rFonts w:ascii="Times New Roman" w:cs="Times New Roman" w:eastAsia="Times New Roman" w:hAnsi="Times New Roman"/>
                <w:sz w:val="14"/>
                <w:szCs w:val="14"/>
                <w:color w:val="auto"/>
                <w:w w:val="97"/>
              </w:rPr>
              <w:t>$2.34 per $1,000 of net amount at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2280" w:type="dxa"/>
            <w:vAlign w:val="bottom"/>
            <w:tcBorders>
              <w:right w:val="single" w:sz="8" w:color="auto"/>
            </w:tcBorders>
            <w:shd w:val="clear" w:color="auto" w:fill="F0FFFF"/>
          </w:tcPr>
          <w:p>
            <w:pPr>
              <w:ind w:left="220"/>
              <w:spacing w:after="0" w:line="154" w:lineRule="exact"/>
              <w:rPr>
                <w:sz w:val="20"/>
                <w:szCs w:val="20"/>
                <w:color w:val="auto"/>
              </w:rPr>
            </w:pPr>
            <w:r>
              <w:rPr>
                <w:rFonts w:ascii="Times New Roman" w:cs="Times New Roman" w:eastAsia="Times New Roman" w:hAnsi="Times New Roman"/>
                <w:sz w:val="14"/>
                <w:szCs w:val="14"/>
                <w:i w:val="1"/>
                <w:iCs w:val="1"/>
                <w:color w:val="auto"/>
              </w:rPr>
              <w:t>risk class, under a Policy with a</w:t>
            </w:r>
          </w:p>
        </w:tc>
        <w:tc>
          <w:tcPr>
            <w:tcW w:w="60" w:type="dxa"/>
            <w:vAlign w:val="bottom"/>
            <w:shd w:val="clear" w:color="auto" w:fill="F0FFFF"/>
          </w:tcPr>
          <w:p>
            <w:pPr>
              <w:spacing w:after="0"/>
              <w:rPr>
                <w:sz w:val="13"/>
                <w:szCs w:val="13"/>
                <w:color w:val="auto"/>
              </w:rPr>
            </w:pPr>
          </w:p>
        </w:tc>
        <w:tc>
          <w:tcPr>
            <w:tcW w:w="2160" w:type="dxa"/>
            <w:vAlign w:val="bottom"/>
            <w:tcBorders>
              <w:right w:val="single" w:sz="8" w:color="auto"/>
            </w:tcBorders>
            <w:shd w:val="clear" w:color="auto" w:fill="F0FFFF"/>
          </w:tcPr>
          <w:p>
            <w:pPr>
              <w:spacing w:after="0"/>
              <w:rPr>
                <w:sz w:val="13"/>
                <w:szCs w:val="13"/>
                <w:color w:val="auto"/>
              </w:rPr>
            </w:pPr>
          </w:p>
        </w:tc>
        <w:tc>
          <w:tcPr>
            <w:tcW w:w="2260" w:type="dxa"/>
            <w:vAlign w:val="bottom"/>
            <w:vMerge w:val="continue"/>
            <w:shd w:val="clear" w:color="auto" w:fill="F0FF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3"/>
        </w:trPr>
        <w:tc>
          <w:tcPr>
            <w:tcW w:w="2280" w:type="dxa"/>
            <w:vAlign w:val="bottom"/>
            <w:tcBorders>
              <w:bottom w:val="single" w:sz="8" w:color="auto"/>
              <w:right w:val="single" w:sz="8" w:color="auto"/>
            </w:tcBorders>
            <w:shd w:val="clear" w:color="auto" w:fill="F0FFFF"/>
          </w:tcPr>
          <w:p>
            <w:pPr>
              <w:ind w:left="220"/>
              <w:spacing w:after="0"/>
              <w:rPr>
                <w:sz w:val="20"/>
                <w:szCs w:val="20"/>
                <w:color w:val="auto"/>
              </w:rPr>
            </w:pPr>
            <w:r>
              <w:rPr>
                <w:rFonts w:ascii="Times New Roman" w:cs="Times New Roman" w:eastAsia="Times New Roman" w:hAnsi="Times New Roman"/>
                <w:sz w:val="14"/>
                <w:szCs w:val="14"/>
                <w:i w:val="1"/>
                <w:iCs w:val="1"/>
                <w:color w:val="auto"/>
              </w:rPr>
              <w:t>Face Amount of $200,000)</w:t>
            </w:r>
          </w:p>
        </w:tc>
        <w:tc>
          <w:tcPr>
            <w:tcW w:w="60" w:type="dxa"/>
            <w:vAlign w:val="bottom"/>
            <w:tcBorders>
              <w:bottom w:val="single" w:sz="8" w:color="auto"/>
            </w:tcBorders>
            <w:shd w:val="clear" w:color="auto" w:fill="F0FFFF"/>
          </w:tcPr>
          <w:p>
            <w:pPr>
              <w:spacing w:after="0"/>
              <w:rPr>
                <w:sz w:val="20"/>
                <w:szCs w:val="20"/>
                <w:color w:val="auto"/>
              </w:rPr>
            </w:pPr>
          </w:p>
        </w:tc>
        <w:tc>
          <w:tcPr>
            <w:tcW w:w="2160" w:type="dxa"/>
            <w:vAlign w:val="bottom"/>
            <w:tcBorders>
              <w:bottom w:val="single" w:sz="8" w:color="auto"/>
              <w:right w:val="single" w:sz="8" w:color="auto"/>
            </w:tcBorders>
            <w:shd w:val="clear" w:color="auto" w:fill="F0FFFF"/>
          </w:tcPr>
          <w:p>
            <w:pPr>
              <w:spacing w:after="0"/>
              <w:rPr>
                <w:sz w:val="20"/>
                <w:szCs w:val="20"/>
                <w:color w:val="auto"/>
              </w:rPr>
            </w:pPr>
          </w:p>
        </w:tc>
        <w:tc>
          <w:tcPr>
            <w:tcW w:w="2260" w:type="dxa"/>
            <w:vAlign w:val="bottom"/>
            <w:tcBorders>
              <w:bottom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color w:val="auto"/>
                <w:w w:val="97"/>
              </w:rPr>
              <w:t>risk</w:t>
            </w:r>
            <w:r>
              <w:rPr>
                <w:rFonts w:ascii="Times New Roman" w:cs="Times New Roman" w:eastAsia="Times New Roman" w:hAnsi="Times New Roman"/>
                <w:sz w:val="17"/>
                <w:szCs w:val="17"/>
                <w:color w:val="auto"/>
                <w:w w:val="97"/>
                <w:vertAlign w:val="superscript"/>
              </w:rPr>
              <w:t>2</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28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4"/>
                <w:szCs w:val="14"/>
                <w:color w:val="auto"/>
              </w:rPr>
              <w:t>Annual Administrative Charge</w:t>
            </w:r>
            <w:r>
              <w:rPr>
                <w:rFonts w:ascii="Times New Roman" w:cs="Times New Roman" w:eastAsia="Times New Roman" w:hAnsi="Times New Roman"/>
                <w:sz w:val="17"/>
                <w:szCs w:val="17"/>
                <w:color w:val="auto"/>
                <w:vertAlign w:val="superscript"/>
              </w:rPr>
              <w:t>3</w:t>
            </w:r>
          </w:p>
        </w:tc>
        <w:tc>
          <w:tcPr>
            <w:tcW w:w="60" w:type="dxa"/>
            <w:vAlign w:val="bottom"/>
          </w:tcPr>
          <w:p>
            <w:pPr>
              <w:spacing w:after="0"/>
              <w:rPr>
                <w:sz w:val="15"/>
                <w:szCs w:val="15"/>
                <w:color w:val="auto"/>
              </w:rPr>
            </w:pPr>
          </w:p>
        </w:tc>
        <w:tc>
          <w:tcPr>
            <w:tcW w:w="2160" w:type="dxa"/>
            <w:vAlign w:val="bottom"/>
            <w:tcBorders>
              <w:right w:val="single" w:sz="8" w:color="auto"/>
            </w:tcBorders>
          </w:tcPr>
          <w:p>
            <w:pPr>
              <w:jc w:val="center"/>
              <w:ind w:right="53"/>
              <w:spacing w:after="0"/>
              <w:rPr>
                <w:sz w:val="20"/>
                <w:szCs w:val="20"/>
                <w:color w:val="auto"/>
              </w:rPr>
            </w:pPr>
            <w:r>
              <w:rPr>
                <w:rFonts w:ascii="Times New Roman" w:cs="Times New Roman" w:eastAsia="Times New Roman" w:hAnsi="Times New Roman"/>
                <w:sz w:val="14"/>
                <w:szCs w:val="14"/>
                <w:color w:val="auto"/>
                <w:w w:val="97"/>
              </w:rPr>
              <w:t>On Policy Start Date and each Policy</w:t>
            </w:r>
          </w:p>
        </w:tc>
        <w:tc>
          <w:tcPr>
            <w:tcW w:w="2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2280" w:type="dxa"/>
            <w:vAlign w:val="bottom"/>
            <w:tcBorders>
              <w:bottom w:val="single" w:sz="8" w:color="auto"/>
              <w:right w:val="single" w:sz="8" w:color="auto"/>
            </w:tcBorders>
            <w:vMerge w:val="continue"/>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jc w:val="center"/>
              <w:ind w:right="53"/>
              <w:spacing w:after="0"/>
              <w:rPr>
                <w:sz w:val="20"/>
                <w:szCs w:val="20"/>
                <w:color w:val="auto"/>
              </w:rPr>
            </w:pPr>
            <w:r>
              <w:rPr>
                <w:rFonts w:ascii="Times New Roman" w:cs="Times New Roman" w:eastAsia="Times New Roman" w:hAnsi="Times New Roman"/>
                <w:sz w:val="14"/>
                <w:szCs w:val="14"/>
                <w:color w:val="auto"/>
                <w:w w:val="98"/>
              </w:rPr>
              <w:t>Anniversary</w:t>
            </w:r>
          </w:p>
        </w:tc>
        <w:tc>
          <w:tcPr>
            <w:tcW w:w="22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280" w:type="dxa"/>
            <w:vAlign w:val="bottom"/>
            <w:tcBorders>
              <w:bottom w:val="single" w:sz="8" w:color="F0FFFF"/>
              <w:right w:val="single" w:sz="8" w:color="auto"/>
            </w:tcBorders>
            <w:shd w:val="clear" w:color="auto" w:fill="F0FFFF"/>
          </w:tcPr>
          <w:p>
            <w:pPr>
              <w:ind w:left="220"/>
              <w:spacing w:after="0"/>
              <w:rPr>
                <w:sz w:val="20"/>
                <w:szCs w:val="20"/>
                <w:color w:val="auto"/>
              </w:rPr>
            </w:pPr>
            <w:r>
              <w:rPr>
                <w:rFonts w:ascii="Times New Roman" w:cs="Times New Roman" w:eastAsia="Times New Roman" w:hAnsi="Times New Roman"/>
                <w:sz w:val="14"/>
                <w:szCs w:val="14"/>
                <w:i w:val="1"/>
                <w:iCs w:val="1"/>
                <w:color w:val="auto"/>
              </w:rPr>
              <w:t>Maximum</w:t>
            </w:r>
          </w:p>
        </w:tc>
        <w:tc>
          <w:tcPr>
            <w:tcW w:w="60" w:type="dxa"/>
            <w:vAlign w:val="bottom"/>
            <w:tcBorders>
              <w:bottom w:val="single" w:sz="8" w:color="F0FFFF"/>
            </w:tcBorders>
            <w:shd w:val="clear" w:color="auto" w:fill="F0FFFF"/>
          </w:tcPr>
          <w:p>
            <w:pPr>
              <w:spacing w:after="0"/>
              <w:rPr>
                <w:sz w:val="17"/>
                <w:szCs w:val="17"/>
                <w:color w:val="auto"/>
              </w:rPr>
            </w:pPr>
          </w:p>
        </w:tc>
        <w:tc>
          <w:tcPr>
            <w:tcW w:w="2160" w:type="dxa"/>
            <w:vAlign w:val="bottom"/>
            <w:tcBorders>
              <w:bottom w:val="single" w:sz="8" w:color="F0FFFF"/>
              <w:right w:val="single" w:sz="8" w:color="auto"/>
            </w:tcBorders>
            <w:shd w:val="clear" w:color="auto" w:fill="F0FFFF"/>
          </w:tcPr>
          <w:p>
            <w:pPr>
              <w:spacing w:after="0"/>
              <w:rPr>
                <w:sz w:val="17"/>
                <w:szCs w:val="17"/>
                <w:color w:val="auto"/>
              </w:rPr>
            </w:pPr>
          </w:p>
        </w:tc>
        <w:tc>
          <w:tcPr>
            <w:tcW w:w="2260" w:type="dxa"/>
            <w:vAlign w:val="bottom"/>
            <w:tcBorders>
              <w:bottom w:val="single" w:sz="8" w:color="F0FFFF"/>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color w:val="auto"/>
                <w:w w:val="98"/>
              </w:rPr>
              <w:t>$0.65 per $1,000 of Face Amount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280" w:type="dxa"/>
            <w:vAlign w:val="bottom"/>
            <w:tcBorders>
              <w:top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4"/>
                <w:szCs w:val="14"/>
                <w:i w:val="1"/>
                <w:iCs w:val="1"/>
                <w:color w:val="auto"/>
              </w:rPr>
              <w:t>Minimum</w:t>
            </w:r>
          </w:p>
        </w:tc>
        <w:tc>
          <w:tcPr>
            <w:tcW w:w="60" w:type="dxa"/>
            <w:vAlign w:val="bottom"/>
            <w:tcBorders>
              <w:top w:val="single" w:sz="8" w:color="auto"/>
            </w:tcBorders>
          </w:tcPr>
          <w:p>
            <w:pPr>
              <w:spacing w:after="0"/>
              <w:rPr>
                <w:sz w:val="16"/>
                <w:szCs w:val="16"/>
                <w:color w:val="auto"/>
              </w:rPr>
            </w:pPr>
          </w:p>
        </w:tc>
        <w:tc>
          <w:tcPr>
            <w:tcW w:w="2160" w:type="dxa"/>
            <w:vAlign w:val="bottom"/>
            <w:tcBorders>
              <w:top w:val="single" w:sz="8" w:color="auto"/>
              <w:right w:val="single" w:sz="8" w:color="auto"/>
            </w:tcBorders>
          </w:tcPr>
          <w:p>
            <w:pPr>
              <w:spacing w:after="0"/>
              <w:rPr>
                <w:sz w:val="16"/>
                <w:szCs w:val="16"/>
                <w:color w:val="auto"/>
              </w:rPr>
            </w:pPr>
          </w:p>
        </w:tc>
        <w:tc>
          <w:tcPr>
            <w:tcW w:w="2280" w:type="dxa"/>
            <w:vAlign w:val="bottom"/>
            <w:tcBorders>
              <w:top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4"/>
                <w:szCs w:val="14"/>
                <w:color w:val="auto"/>
                <w:w w:val="98"/>
              </w:rPr>
              <w:t>$0.31 per $1,000 of Face Amount</w:t>
            </w:r>
          </w:p>
        </w:tc>
        <w:tc>
          <w:tcPr>
            <w:tcW w:w="0" w:type="dxa"/>
            <w:vAlign w:val="bottom"/>
          </w:tcPr>
          <w:p>
            <w:pPr>
              <w:spacing w:after="0"/>
              <w:rPr>
                <w:sz w:val="1"/>
                <w:szCs w:val="1"/>
                <w:color w:val="auto"/>
              </w:rPr>
            </w:pPr>
          </w:p>
        </w:tc>
      </w:tr>
      <w:tr>
        <w:trPr>
          <w:trHeight w:val="22"/>
        </w:trPr>
        <w:tc>
          <w:tcPr>
            <w:tcW w:w="228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right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2280" w:type="dxa"/>
            <w:vAlign w:val="bottom"/>
            <w:tcBorders>
              <w:right w:val="single" w:sz="8" w:color="auto"/>
            </w:tcBorders>
            <w:shd w:val="clear" w:color="auto" w:fill="F0FFFF"/>
          </w:tcPr>
          <w:p>
            <w:pPr>
              <w:ind w:left="220"/>
              <w:spacing w:after="0"/>
              <w:rPr>
                <w:sz w:val="20"/>
                <w:szCs w:val="20"/>
                <w:color w:val="auto"/>
              </w:rPr>
            </w:pPr>
            <w:r>
              <w:rPr>
                <w:rFonts w:ascii="Times New Roman" w:cs="Times New Roman" w:eastAsia="Times New Roman" w:hAnsi="Times New Roman"/>
                <w:sz w:val="14"/>
                <w:szCs w:val="14"/>
                <w:i w:val="1"/>
                <w:iCs w:val="1"/>
                <w:color w:val="auto"/>
              </w:rPr>
              <w:t>Charge in the first Policy year for a</w:t>
            </w:r>
          </w:p>
        </w:tc>
        <w:tc>
          <w:tcPr>
            <w:tcW w:w="60" w:type="dxa"/>
            <w:vAlign w:val="bottom"/>
            <w:shd w:val="clear" w:color="auto" w:fill="F0FFFF"/>
          </w:tcPr>
          <w:p>
            <w:pPr>
              <w:spacing w:after="0"/>
              <w:rPr>
                <w:sz w:val="15"/>
                <w:szCs w:val="15"/>
                <w:color w:val="auto"/>
              </w:rPr>
            </w:pPr>
          </w:p>
        </w:tc>
        <w:tc>
          <w:tcPr>
            <w:tcW w:w="2160" w:type="dxa"/>
            <w:vAlign w:val="bottom"/>
            <w:tcBorders>
              <w:right w:val="single" w:sz="8" w:color="auto"/>
            </w:tcBorders>
            <w:shd w:val="clear" w:color="auto" w:fill="F0FFFF"/>
          </w:tcPr>
          <w:p>
            <w:pPr>
              <w:spacing w:after="0"/>
              <w:rPr>
                <w:sz w:val="15"/>
                <w:szCs w:val="15"/>
                <w:color w:val="auto"/>
              </w:rPr>
            </w:pPr>
          </w:p>
        </w:tc>
        <w:tc>
          <w:tcPr>
            <w:tcW w:w="2260" w:type="dxa"/>
            <w:vAlign w:val="bottom"/>
            <w:shd w:val="clear" w:color="auto" w:fill="F0FF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280" w:type="dxa"/>
            <w:vAlign w:val="bottom"/>
            <w:tcBorders>
              <w:right w:val="single" w:sz="8" w:color="auto"/>
            </w:tcBorders>
            <w:shd w:val="clear" w:color="auto" w:fill="F0FFFF"/>
          </w:tcPr>
          <w:p>
            <w:pPr>
              <w:ind w:left="220"/>
              <w:spacing w:after="0"/>
              <w:rPr>
                <w:sz w:val="20"/>
                <w:szCs w:val="20"/>
                <w:color w:val="auto"/>
              </w:rPr>
            </w:pPr>
            <w:r>
              <w:rPr>
                <w:rFonts w:ascii="Times New Roman" w:cs="Times New Roman" w:eastAsia="Times New Roman" w:hAnsi="Times New Roman"/>
                <w:sz w:val="14"/>
                <w:szCs w:val="14"/>
                <w:i w:val="1"/>
                <w:iCs w:val="1"/>
                <w:color w:val="auto"/>
              </w:rPr>
              <w:t>Representative Insured</w:t>
            </w:r>
          </w:p>
        </w:tc>
        <w:tc>
          <w:tcPr>
            <w:tcW w:w="60" w:type="dxa"/>
            <w:vAlign w:val="bottom"/>
            <w:shd w:val="clear" w:color="auto" w:fill="F0FFFF"/>
          </w:tcPr>
          <w:p>
            <w:pPr>
              <w:spacing w:after="0"/>
              <w:rPr>
                <w:sz w:val="15"/>
                <w:szCs w:val="15"/>
                <w:color w:val="auto"/>
              </w:rPr>
            </w:pPr>
          </w:p>
        </w:tc>
        <w:tc>
          <w:tcPr>
            <w:tcW w:w="2160" w:type="dxa"/>
            <w:vAlign w:val="bottom"/>
            <w:tcBorders>
              <w:right w:val="single" w:sz="8" w:color="auto"/>
            </w:tcBorders>
            <w:shd w:val="clear" w:color="auto" w:fill="F0FFFF"/>
          </w:tcPr>
          <w:p>
            <w:pPr>
              <w:spacing w:after="0"/>
              <w:rPr>
                <w:sz w:val="15"/>
                <w:szCs w:val="15"/>
                <w:color w:val="auto"/>
              </w:rPr>
            </w:pPr>
          </w:p>
        </w:tc>
        <w:tc>
          <w:tcPr>
            <w:tcW w:w="2260" w:type="dxa"/>
            <w:vAlign w:val="bottom"/>
            <w:shd w:val="clear" w:color="auto" w:fill="F0FF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280" w:type="dxa"/>
            <w:vAlign w:val="bottom"/>
            <w:tcBorders>
              <w:right w:val="single" w:sz="8" w:color="auto"/>
            </w:tcBorders>
            <w:shd w:val="clear" w:color="auto" w:fill="F0FFFF"/>
          </w:tcPr>
          <w:p>
            <w:pPr>
              <w:ind w:left="220"/>
              <w:spacing w:after="0"/>
              <w:rPr>
                <w:sz w:val="20"/>
                <w:szCs w:val="20"/>
                <w:color w:val="auto"/>
              </w:rPr>
            </w:pPr>
            <w:r>
              <w:rPr>
                <w:rFonts w:ascii="Times New Roman" w:cs="Times New Roman" w:eastAsia="Times New Roman" w:hAnsi="Times New Roman"/>
                <w:sz w:val="14"/>
                <w:szCs w:val="14"/>
                <w:i w:val="1"/>
                <w:iCs w:val="1"/>
                <w:color w:val="auto"/>
              </w:rPr>
              <w:t>(The Representative Insured is a</w:t>
            </w:r>
          </w:p>
        </w:tc>
        <w:tc>
          <w:tcPr>
            <w:tcW w:w="60" w:type="dxa"/>
            <w:vAlign w:val="bottom"/>
            <w:shd w:val="clear" w:color="auto" w:fill="F0FFFF"/>
          </w:tcPr>
          <w:p>
            <w:pPr>
              <w:spacing w:after="0"/>
              <w:rPr>
                <w:sz w:val="15"/>
                <w:szCs w:val="15"/>
                <w:color w:val="auto"/>
              </w:rPr>
            </w:pPr>
          </w:p>
        </w:tc>
        <w:tc>
          <w:tcPr>
            <w:tcW w:w="2160" w:type="dxa"/>
            <w:vAlign w:val="bottom"/>
            <w:tcBorders>
              <w:right w:val="single" w:sz="8" w:color="auto"/>
            </w:tcBorders>
            <w:shd w:val="clear" w:color="auto" w:fill="F0FFFF"/>
          </w:tcPr>
          <w:p>
            <w:pPr>
              <w:spacing w:after="0"/>
              <w:rPr>
                <w:sz w:val="15"/>
                <w:szCs w:val="15"/>
                <w:color w:val="auto"/>
              </w:rPr>
            </w:pPr>
          </w:p>
        </w:tc>
        <w:tc>
          <w:tcPr>
            <w:tcW w:w="2260" w:type="dxa"/>
            <w:vAlign w:val="bottom"/>
            <w:shd w:val="clear" w:color="auto" w:fill="F0FF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280" w:type="dxa"/>
            <w:vAlign w:val="bottom"/>
            <w:tcBorders>
              <w:right w:val="single" w:sz="8" w:color="auto"/>
            </w:tcBorders>
            <w:shd w:val="clear" w:color="auto" w:fill="F0FFFF"/>
          </w:tcPr>
          <w:p>
            <w:pPr>
              <w:ind w:left="220"/>
              <w:spacing w:after="0"/>
              <w:rPr>
                <w:sz w:val="20"/>
                <w:szCs w:val="20"/>
                <w:color w:val="auto"/>
              </w:rPr>
            </w:pPr>
            <w:r>
              <w:rPr>
                <w:rFonts w:ascii="Times New Roman" w:cs="Times New Roman" w:eastAsia="Times New Roman" w:hAnsi="Times New Roman"/>
                <w:sz w:val="14"/>
                <w:szCs w:val="14"/>
                <w:i w:val="1"/>
                <w:iCs w:val="1"/>
                <w:color w:val="auto"/>
              </w:rPr>
              <w:t>male, age 50, in the nonsmoker</w:t>
            </w:r>
          </w:p>
        </w:tc>
        <w:tc>
          <w:tcPr>
            <w:tcW w:w="60" w:type="dxa"/>
            <w:vAlign w:val="bottom"/>
            <w:shd w:val="clear" w:color="auto" w:fill="F0FFFF"/>
          </w:tcPr>
          <w:p>
            <w:pPr>
              <w:spacing w:after="0"/>
              <w:rPr>
                <w:sz w:val="15"/>
                <w:szCs w:val="15"/>
                <w:color w:val="auto"/>
              </w:rPr>
            </w:pPr>
          </w:p>
        </w:tc>
        <w:tc>
          <w:tcPr>
            <w:tcW w:w="2160" w:type="dxa"/>
            <w:vAlign w:val="bottom"/>
            <w:tcBorders>
              <w:right w:val="single" w:sz="8" w:color="auto"/>
            </w:tcBorders>
            <w:shd w:val="clear" w:color="auto" w:fill="F0FFFF"/>
          </w:tcPr>
          <w:p>
            <w:pPr>
              <w:spacing w:after="0"/>
              <w:rPr>
                <w:sz w:val="15"/>
                <w:szCs w:val="15"/>
                <w:color w:val="auto"/>
              </w:rPr>
            </w:pPr>
          </w:p>
        </w:tc>
        <w:tc>
          <w:tcPr>
            <w:tcW w:w="2260" w:type="dxa"/>
            <w:vAlign w:val="bottom"/>
            <w:shd w:val="clear" w:color="auto" w:fill="F0FF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280" w:type="dxa"/>
            <w:vAlign w:val="bottom"/>
            <w:tcBorders>
              <w:right w:val="single" w:sz="8" w:color="auto"/>
            </w:tcBorders>
            <w:shd w:val="clear" w:color="auto" w:fill="F0FFFF"/>
          </w:tcPr>
          <w:p>
            <w:pPr>
              <w:ind w:left="220"/>
              <w:spacing w:after="0"/>
              <w:rPr>
                <w:sz w:val="20"/>
                <w:szCs w:val="20"/>
                <w:color w:val="auto"/>
              </w:rPr>
            </w:pPr>
            <w:r>
              <w:rPr>
                <w:rFonts w:ascii="Times New Roman" w:cs="Times New Roman" w:eastAsia="Times New Roman" w:hAnsi="Times New Roman"/>
                <w:sz w:val="14"/>
                <w:szCs w:val="14"/>
                <w:i w:val="1"/>
                <w:iCs w:val="1"/>
                <w:color w:val="auto"/>
              </w:rPr>
              <w:t>risk class, under a Policy with a</w:t>
            </w:r>
          </w:p>
        </w:tc>
        <w:tc>
          <w:tcPr>
            <w:tcW w:w="60" w:type="dxa"/>
            <w:vAlign w:val="bottom"/>
            <w:shd w:val="clear" w:color="auto" w:fill="F0FFFF"/>
          </w:tcPr>
          <w:p>
            <w:pPr>
              <w:spacing w:after="0"/>
              <w:rPr>
                <w:sz w:val="15"/>
                <w:szCs w:val="15"/>
                <w:color w:val="auto"/>
              </w:rPr>
            </w:pPr>
          </w:p>
        </w:tc>
        <w:tc>
          <w:tcPr>
            <w:tcW w:w="2160" w:type="dxa"/>
            <w:vAlign w:val="bottom"/>
            <w:tcBorders>
              <w:right w:val="single" w:sz="8" w:color="auto"/>
            </w:tcBorders>
            <w:shd w:val="clear" w:color="auto" w:fill="F0FFFF"/>
          </w:tcPr>
          <w:p>
            <w:pPr>
              <w:spacing w:after="0"/>
              <w:rPr>
                <w:sz w:val="15"/>
                <w:szCs w:val="15"/>
                <w:color w:val="auto"/>
              </w:rPr>
            </w:pPr>
          </w:p>
        </w:tc>
        <w:tc>
          <w:tcPr>
            <w:tcW w:w="2260" w:type="dxa"/>
            <w:vAlign w:val="bottom"/>
            <w:shd w:val="clear" w:color="auto" w:fill="F0FF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2280" w:type="dxa"/>
            <w:vAlign w:val="bottom"/>
            <w:tcBorders>
              <w:bottom w:val="single" w:sz="8" w:color="F0FFFF"/>
              <w:right w:val="single" w:sz="8" w:color="auto"/>
            </w:tcBorders>
            <w:shd w:val="clear" w:color="auto" w:fill="F0FFFF"/>
          </w:tcPr>
          <w:p>
            <w:pPr>
              <w:ind w:left="220"/>
              <w:spacing w:after="0"/>
              <w:rPr>
                <w:sz w:val="20"/>
                <w:szCs w:val="20"/>
                <w:color w:val="auto"/>
              </w:rPr>
            </w:pPr>
            <w:r>
              <w:rPr>
                <w:rFonts w:ascii="Times New Roman" w:cs="Times New Roman" w:eastAsia="Times New Roman" w:hAnsi="Times New Roman"/>
                <w:sz w:val="14"/>
                <w:szCs w:val="14"/>
                <w:i w:val="1"/>
                <w:iCs w:val="1"/>
                <w:color w:val="auto"/>
              </w:rPr>
              <w:t>Face Amount of $200,000)</w:t>
            </w:r>
          </w:p>
        </w:tc>
        <w:tc>
          <w:tcPr>
            <w:tcW w:w="60" w:type="dxa"/>
            <w:vAlign w:val="bottom"/>
            <w:tcBorders>
              <w:bottom w:val="single" w:sz="8" w:color="F0FFFF"/>
            </w:tcBorders>
            <w:shd w:val="clear" w:color="auto" w:fill="F0FFFF"/>
          </w:tcPr>
          <w:p>
            <w:pPr>
              <w:spacing w:after="0"/>
              <w:rPr>
                <w:sz w:val="17"/>
                <w:szCs w:val="17"/>
                <w:color w:val="auto"/>
              </w:rPr>
            </w:pPr>
          </w:p>
        </w:tc>
        <w:tc>
          <w:tcPr>
            <w:tcW w:w="2160" w:type="dxa"/>
            <w:vAlign w:val="bottom"/>
            <w:tcBorders>
              <w:bottom w:val="single" w:sz="8" w:color="F0FFFF"/>
              <w:right w:val="single" w:sz="8" w:color="auto"/>
            </w:tcBorders>
            <w:shd w:val="clear" w:color="auto" w:fill="F0FFFF"/>
          </w:tcPr>
          <w:p>
            <w:pPr>
              <w:spacing w:after="0"/>
              <w:rPr>
                <w:sz w:val="17"/>
                <w:szCs w:val="17"/>
                <w:color w:val="auto"/>
              </w:rPr>
            </w:pPr>
          </w:p>
        </w:tc>
        <w:tc>
          <w:tcPr>
            <w:tcW w:w="2260" w:type="dxa"/>
            <w:vAlign w:val="bottom"/>
            <w:tcBorders>
              <w:bottom w:val="single" w:sz="8" w:color="F0FFFF"/>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color w:val="auto"/>
                <w:w w:val="98"/>
              </w:rPr>
              <w:t>$0.44 per $1,000 of Face Amount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280" w:type="dxa"/>
            <w:vAlign w:val="bottom"/>
            <w:tcBorders>
              <w:top w:val="single" w:sz="8" w:color="auto"/>
              <w:right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2160" w:type="dxa"/>
            <w:vAlign w:val="bottom"/>
            <w:tcBorders>
              <w:top w:val="single" w:sz="8" w:color="auto"/>
              <w:right w:val="single" w:sz="8" w:color="auto"/>
            </w:tcBorders>
          </w:tcPr>
          <w:p>
            <w:pPr>
              <w:jc w:val="center"/>
              <w:ind w:right="53"/>
              <w:spacing w:after="0"/>
              <w:rPr>
                <w:sz w:val="20"/>
                <w:szCs w:val="20"/>
                <w:color w:val="auto"/>
              </w:rPr>
            </w:pPr>
            <w:r>
              <w:rPr>
                <w:rFonts w:ascii="Times New Roman" w:cs="Times New Roman" w:eastAsia="Times New Roman" w:hAnsi="Times New Roman"/>
                <w:sz w:val="14"/>
                <w:szCs w:val="14"/>
                <w:color w:val="auto"/>
                <w:w w:val="97"/>
              </w:rPr>
              <w:t>On Policy Start Date and each Policy</w:t>
            </w:r>
          </w:p>
        </w:tc>
        <w:tc>
          <w:tcPr>
            <w:tcW w:w="22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28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4"/>
                <w:szCs w:val="14"/>
                <w:color w:val="auto"/>
              </w:rPr>
              <w:t>Annual Indexed Account Charge</w:t>
            </w:r>
            <w:r>
              <w:rPr>
                <w:rFonts w:ascii="Times New Roman" w:cs="Times New Roman" w:eastAsia="Times New Roman" w:hAnsi="Times New Roman"/>
                <w:sz w:val="17"/>
                <w:szCs w:val="17"/>
                <w:color w:val="auto"/>
                <w:vertAlign w:val="superscript"/>
              </w:rPr>
              <w:t>4</w:t>
            </w:r>
          </w:p>
        </w:tc>
        <w:tc>
          <w:tcPr>
            <w:tcW w:w="60" w:type="dxa"/>
            <w:vAlign w:val="bottom"/>
          </w:tcPr>
          <w:p>
            <w:pPr>
              <w:spacing w:after="0"/>
              <w:rPr>
                <w:sz w:val="15"/>
                <w:szCs w:val="15"/>
                <w:color w:val="auto"/>
              </w:rPr>
            </w:pPr>
          </w:p>
        </w:tc>
        <w:tc>
          <w:tcPr>
            <w:tcW w:w="2160" w:type="dxa"/>
            <w:vAlign w:val="bottom"/>
            <w:tcBorders>
              <w:right w:val="single" w:sz="8" w:color="auto"/>
            </w:tcBorders>
          </w:tcPr>
          <w:p>
            <w:pPr>
              <w:jc w:val="center"/>
              <w:ind w:right="33"/>
              <w:spacing w:after="0"/>
              <w:rPr>
                <w:sz w:val="20"/>
                <w:szCs w:val="20"/>
                <w:color w:val="auto"/>
              </w:rPr>
            </w:pPr>
            <w:r>
              <w:rPr>
                <w:rFonts w:ascii="Times New Roman" w:cs="Times New Roman" w:eastAsia="Times New Roman" w:hAnsi="Times New Roman"/>
                <w:sz w:val="14"/>
                <w:szCs w:val="14"/>
                <w:color w:val="auto"/>
                <w:w w:val="98"/>
              </w:rPr>
              <w:t>Anniversary if you allocate to one or</w:t>
            </w:r>
          </w:p>
        </w:tc>
        <w:tc>
          <w:tcPr>
            <w:tcW w:w="228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color w:val="auto"/>
                <w:w w:val="96"/>
              </w:rPr>
              <w:t>0.5% of Cash Value in the Indexed</w:t>
            </w:r>
          </w:p>
        </w:tc>
        <w:tc>
          <w:tcPr>
            <w:tcW w:w="0" w:type="dxa"/>
            <w:vAlign w:val="bottom"/>
          </w:tcPr>
          <w:p>
            <w:pPr>
              <w:spacing w:after="0"/>
              <w:rPr>
                <w:sz w:val="1"/>
                <w:szCs w:val="1"/>
                <w:color w:val="auto"/>
              </w:rPr>
            </w:pPr>
          </w:p>
        </w:tc>
      </w:tr>
      <w:tr>
        <w:trPr>
          <w:trHeight w:val="208"/>
        </w:trPr>
        <w:tc>
          <w:tcPr>
            <w:tcW w:w="2280" w:type="dxa"/>
            <w:vAlign w:val="bottom"/>
            <w:tcBorders>
              <w:bottom w:val="single" w:sz="8" w:color="auto"/>
              <w:right w:val="single" w:sz="8" w:color="auto"/>
            </w:tcBorders>
            <w:vMerge w:val="continue"/>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jc w:val="center"/>
              <w:ind w:right="33"/>
              <w:spacing w:after="0"/>
              <w:rPr>
                <w:sz w:val="20"/>
                <w:szCs w:val="20"/>
                <w:color w:val="auto"/>
              </w:rPr>
            </w:pPr>
            <w:r>
              <w:rPr>
                <w:rFonts w:ascii="Times New Roman" w:cs="Times New Roman" w:eastAsia="Times New Roman" w:hAnsi="Times New Roman"/>
                <w:sz w:val="14"/>
                <w:szCs w:val="14"/>
                <w:color w:val="auto"/>
                <w:w w:val="97"/>
              </w:rPr>
              <w:t>more Indexed Accounts</w:t>
            </w:r>
          </w:p>
        </w:tc>
        <w:tc>
          <w:tcPr>
            <w:tcW w:w="2280" w:type="dxa"/>
            <w:vAlign w:val="bottom"/>
            <w:tcBorders>
              <w:bottom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4"/>
                <w:szCs w:val="14"/>
                <w:color w:val="auto"/>
                <w:w w:val="98"/>
              </w:rPr>
              <w:t>Accounts</w:t>
            </w:r>
          </w:p>
        </w:tc>
        <w:tc>
          <w:tcPr>
            <w:tcW w:w="0" w:type="dxa"/>
            <w:vAlign w:val="bottom"/>
          </w:tcPr>
          <w:p>
            <w:pPr>
              <w:spacing w:after="0"/>
              <w:rPr>
                <w:sz w:val="1"/>
                <w:szCs w:val="1"/>
                <w:color w:val="auto"/>
              </w:rPr>
            </w:pPr>
          </w:p>
        </w:tc>
      </w:tr>
      <w:tr>
        <w:trPr>
          <w:trHeight w:val="227"/>
        </w:trPr>
        <w:tc>
          <w:tcPr>
            <w:tcW w:w="2280" w:type="dxa"/>
            <w:vAlign w:val="bottom"/>
            <w:tcBorders>
              <w:bottom w:val="single" w:sz="8" w:color="auto"/>
              <w:right w:val="single" w:sz="8" w:color="auto"/>
            </w:tcBorders>
            <w:shd w:val="clear" w:color="auto" w:fill="F0FFFF"/>
          </w:tcPr>
          <w:p>
            <w:pPr>
              <w:ind w:left="80"/>
              <w:spacing w:after="0"/>
              <w:rPr>
                <w:sz w:val="20"/>
                <w:szCs w:val="20"/>
                <w:color w:val="auto"/>
              </w:rPr>
            </w:pPr>
            <w:r>
              <w:rPr>
                <w:rFonts w:ascii="Times New Roman" w:cs="Times New Roman" w:eastAsia="Times New Roman" w:hAnsi="Times New Roman"/>
                <w:sz w:val="14"/>
                <w:szCs w:val="14"/>
                <w:color w:val="auto"/>
              </w:rPr>
              <w:t>Loan Interest</w:t>
            </w:r>
            <w:r>
              <w:rPr>
                <w:rFonts w:ascii="Times New Roman" w:cs="Times New Roman" w:eastAsia="Times New Roman" w:hAnsi="Times New Roman"/>
                <w:sz w:val="17"/>
                <w:szCs w:val="17"/>
                <w:color w:val="auto"/>
                <w:vertAlign w:val="superscript"/>
              </w:rPr>
              <w:t>5</w:t>
            </w:r>
          </w:p>
        </w:tc>
        <w:tc>
          <w:tcPr>
            <w:tcW w:w="60" w:type="dxa"/>
            <w:vAlign w:val="bottom"/>
            <w:tcBorders>
              <w:bottom w:val="single" w:sz="8" w:color="auto"/>
            </w:tcBorders>
            <w:shd w:val="clear" w:color="auto" w:fill="F0FFFF"/>
          </w:tcPr>
          <w:p>
            <w:pPr>
              <w:spacing w:after="0"/>
              <w:rPr>
                <w:sz w:val="19"/>
                <w:szCs w:val="19"/>
                <w:color w:val="auto"/>
              </w:rPr>
            </w:pPr>
          </w:p>
        </w:tc>
        <w:tc>
          <w:tcPr>
            <w:tcW w:w="2160" w:type="dxa"/>
            <w:vAlign w:val="bottom"/>
            <w:tcBorders>
              <w:bottom w:val="single" w:sz="8" w:color="auto"/>
              <w:right w:val="single" w:sz="8" w:color="auto"/>
            </w:tcBorders>
            <w:shd w:val="clear" w:color="auto" w:fill="F0FFFF"/>
          </w:tcPr>
          <w:p>
            <w:pPr>
              <w:jc w:val="center"/>
              <w:ind w:right="33"/>
              <w:spacing w:after="0"/>
              <w:rPr>
                <w:sz w:val="20"/>
                <w:szCs w:val="20"/>
                <w:color w:val="auto"/>
              </w:rPr>
            </w:pPr>
            <w:r>
              <w:rPr>
                <w:rFonts w:ascii="Times New Roman" w:cs="Times New Roman" w:eastAsia="Times New Roman" w:hAnsi="Times New Roman"/>
                <w:sz w:val="14"/>
                <w:szCs w:val="14"/>
                <w:color w:val="auto"/>
                <w:w w:val="93"/>
              </w:rPr>
              <w:t>Annually</w:t>
            </w:r>
            <w:r>
              <w:rPr>
                <w:rFonts w:ascii="Times New Roman" w:cs="Times New Roman" w:eastAsia="Times New Roman" w:hAnsi="Times New Roman"/>
                <w:sz w:val="17"/>
                <w:szCs w:val="17"/>
                <w:color w:val="auto"/>
                <w:w w:val="93"/>
                <w:vertAlign w:val="superscript"/>
              </w:rPr>
              <w:t>6</w:t>
            </w:r>
          </w:p>
        </w:tc>
        <w:tc>
          <w:tcPr>
            <w:tcW w:w="2260" w:type="dxa"/>
            <w:vAlign w:val="bottom"/>
            <w:tcBorders>
              <w:bottom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color w:val="auto"/>
                <w:w w:val="98"/>
              </w:rPr>
              <w:t>8% on Policy Loan Balance</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23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w w:val="96"/>
              </w:rPr>
              <w:t>Charges for Optional Benefits (Riders)</w:t>
            </w:r>
          </w:p>
        </w:tc>
        <w:tc>
          <w:tcPr>
            <w:tcW w:w="216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2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2280" w:type="dxa"/>
            <w:vAlign w:val="bottom"/>
            <w:tcBorders>
              <w:right w:val="single" w:sz="8" w:color="F0FFFF"/>
            </w:tcBorders>
            <w:shd w:val="clear" w:color="auto" w:fill="F0FFFF"/>
          </w:tcPr>
          <w:p>
            <w:pPr>
              <w:spacing w:after="0"/>
              <w:rPr>
                <w:sz w:val="15"/>
                <w:szCs w:val="15"/>
                <w:color w:val="auto"/>
              </w:rPr>
            </w:pPr>
          </w:p>
        </w:tc>
        <w:tc>
          <w:tcPr>
            <w:tcW w:w="60" w:type="dxa"/>
            <w:vAlign w:val="bottom"/>
            <w:shd w:val="clear" w:color="auto" w:fill="F0FFFF"/>
          </w:tcPr>
          <w:p>
            <w:pPr>
              <w:spacing w:after="0"/>
              <w:rPr>
                <w:sz w:val="15"/>
                <w:szCs w:val="15"/>
                <w:color w:val="auto"/>
              </w:rPr>
            </w:pPr>
          </w:p>
        </w:tc>
        <w:tc>
          <w:tcPr>
            <w:tcW w:w="2160" w:type="dxa"/>
            <w:vAlign w:val="bottom"/>
            <w:tcBorders>
              <w:right w:val="single" w:sz="8" w:color="F0FFFF"/>
            </w:tcBorders>
            <w:shd w:val="clear" w:color="auto" w:fill="F0FFFF"/>
          </w:tcPr>
          <w:p>
            <w:pPr>
              <w:jc w:val="center"/>
              <w:ind w:right="53"/>
              <w:spacing w:after="0"/>
              <w:rPr>
                <w:sz w:val="20"/>
                <w:szCs w:val="20"/>
                <w:color w:val="auto"/>
              </w:rPr>
            </w:pPr>
            <w:r>
              <w:rPr>
                <w:rFonts w:ascii="Times New Roman" w:cs="Times New Roman" w:eastAsia="Times New Roman" w:hAnsi="Times New Roman"/>
                <w:sz w:val="14"/>
                <w:szCs w:val="14"/>
                <w:color w:val="auto"/>
                <w:w w:val="97"/>
              </w:rPr>
              <w:t>On Policy Start Date and each Policy</w:t>
            </w:r>
          </w:p>
        </w:tc>
        <w:tc>
          <w:tcPr>
            <w:tcW w:w="2260" w:type="dxa"/>
            <w:vAlign w:val="bottom"/>
            <w:shd w:val="clear" w:color="auto" w:fill="F0FF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2340" w:type="dxa"/>
            <w:vAlign w:val="bottom"/>
            <w:tcBorders>
              <w:bottom w:val="single" w:sz="8" w:color="auto"/>
            </w:tcBorders>
            <w:gridSpan w:val="2"/>
            <w:shd w:val="clear" w:color="auto" w:fill="F0FFFF"/>
          </w:tcPr>
          <w:p>
            <w:pPr>
              <w:ind w:left="80"/>
              <w:spacing w:after="0"/>
              <w:rPr>
                <w:sz w:val="20"/>
                <w:szCs w:val="20"/>
                <w:color w:val="auto"/>
              </w:rPr>
            </w:pPr>
            <w:r>
              <w:rPr>
                <w:rFonts w:ascii="Times New Roman" w:cs="Times New Roman" w:eastAsia="Times New Roman" w:hAnsi="Times New Roman"/>
                <w:sz w:val="14"/>
                <w:szCs w:val="14"/>
                <w:color w:val="auto"/>
              </w:rPr>
              <w:t>GDR Charge</w:t>
            </w:r>
            <w:r>
              <w:rPr>
                <w:rFonts w:ascii="Times New Roman" w:cs="Times New Roman" w:eastAsia="Times New Roman" w:hAnsi="Times New Roman"/>
                <w:sz w:val="17"/>
                <w:szCs w:val="17"/>
                <w:color w:val="auto"/>
                <w:vertAlign w:val="superscript"/>
              </w:rPr>
              <w:t>7</w:t>
            </w:r>
          </w:p>
        </w:tc>
        <w:tc>
          <w:tcPr>
            <w:tcW w:w="2160" w:type="dxa"/>
            <w:vAlign w:val="bottom"/>
            <w:tcBorders>
              <w:bottom w:val="single" w:sz="8" w:color="auto"/>
              <w:right w:val="single" w:sz="8" w:color="F0FFFF"/>
            </w:tcBorders>
            <w:shd w:val="clear" w:color="auto" w:fill="F0FFFF"/>
          </w:tcPr>
          <w:p>
            <w:pPr>
              <w:jc w:val="center"/>
              <w:ind w:right="53"/>
              <w:spacing w:after="0"/>
              <w:rPr>
                <w:sz w:val="20"/>
                <w:szCs w:val="20"/>
                <w:color w:val="auto"/>
              </w:rPr>
            </w:pPr>
            <w:r>
              <w:rPr>
                <w:rFonts w:ascii="Times New Roman" w:cs="Times New Roman" w:eastAsia="Times New Roman" w:hAnsi="Times New Roman"/>
                <w:sz w:val="14"/>
                <w:szCs w:val="14"/>
                <w:color w:val="auto"/>
                <w:w w:val="96"/>
              </w:rPr>
              <w:t>Anniversary</w:t>
            </w:r>
            <w:r>
              <w:rPr>
                <w:rFonts w:ascii="Times New Roman" w:cs="Times New Roman" w:eastAsia="Times New Roman" w:hAnsi="Times New Roman"/>
                <w:sz w:val="17"/>
                <w:szCs w:val="17"/>
                <w:color w:val="auto"/>
                <w:w w:val="96"/>
                <w:vertAlign w:val="superscript"/>
              </w:rPr>
              <w:t>8</w:t>
            </w:r>
          </w:p>
        </w:tc>
        <w:tc>
          <w:tcPr>
            <w:tcW w:w="2260" w:type="dxa"/>
            <w:vAlign w:val="bottom"/>
            <w:tcBorders>
              <w:bottom w:val="single" w:sz="8" w:color="auto"/>
            </w:tcBorders>
            <w:shd w:val="clear" w:color="auto" w:fill="F0FFFF"/>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2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228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color w:val="auto"/>
                <w:w w:val="97"/>
              </w:rPr>
              <w:t>$19.40 per $1,000 of the greater of</w:t>
            </w:r>
          </w:p>
        </w:tc>
        <w:tc>
          <w:tcPr>
            <w:tcW w:w="0" w:type="dxa"/>
            <w:vAlign w:val="bottom"/>
          </w:tcPr>
          <w:p>
            <w:pPr>
              <w:spacing w:after="0"/>
              <w:rPr>
                <w:sz w:val="1"/>
                <w:szCs w:val="1"/>
                <w:color w:val="auto"/>
              </w:rPr>
            </w:pPr>
          </w:p>
        </w:tc>
      </w:tr>
      <w:tr>
        <w:trPr>
          <w:trHeight w:val="206"/>
        </w:trPr>
        <w:tc>
          <w:tcPr>
            <w:tcW w:w="2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228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color w:val="auto"/>
                <w:w w:val="96"/>
              </w:rPr>
              <w:t>(1) 60% of the Policy’s Face Amount</w:t>
            </w:r>
            <w:r>
              <w:rPr>
                <w:rFonts w:ascii="Times New Roman" w:cs="Times New Roman" w:eastAsia="Times New Roman" w:hAnsi="Times New Roman"/>
                <w:sz w:val="17"/>
                <w:szCs w:val="17"/>
                <w:color w:val="auto"/>
                <w:w w:val="96"/>
                <w:vertAlign w:val="superscript"/>
              </w:rPr>
              <w:t>9</w:t>
            </w:r>
            <w:r>
              <w:rPr>
                <w:rFonts w:ascii="Times New Roman" w:cs="Times New Roman" w:eastAsia="Times New Roman" w:hAnsi="Times New Roman"/>
                <w:sz w:val="14"/>
                <w:szCs w:val="14"/>
                <w:color w:val="auto"/>
                <w:w w:val="96"/>
              </w:rPr>
              <w:t>,</w:t>
            </w:r>
          </w:p>
        </w:tc>
        <w:tc>
          <w:tcPr>
            <w:tcW w:w="0" w:type="dxa"/>
            <w:vAlign w:val="bottom"/>
          </w:tcPr>
          <w:p>
            <w:pPr>
              <w:spacing w:after="0"/>
              <w:rPr>
                <w:sz w:val="1"/>
                <w:szCs w:val="1"/>
                <w:color w:val="auto"/>
              </w:rPr>
            </w:pPr>
          </w:p>
        </w:tc>
      </w:tr>
      <w:tr>
        <w:trPr>
          <w:trHeight w:val="180"/>
        </w:trPr>
        <w:tc>
          <w:tcPr>
            <w:tcW w:w="2340" w:type="dxa"/>
            <w:vAlign w:val="bottom"/>
            <w:gridSpan w:val="2"/>
          </w:tcPr>
          <w:p>
            <w:pPr>
              <w:ind w:left="220"/>
              <w:spacing w:after="0"/>
              <w:rPr>
                <w:sz w:val="20"/>
                <w:szCs w:val="20"/>
                <w:color w:val="auto"/>
              </w:rPr>
            </w:pPr>
            <w:r>
              <w:rPr>
                <w:rFonts w:ascii="Times New Roman" w:cs="Times New Roman" w:eastAsia="Times New Roman" w:hAnsi="Times New Roman"/>
                <w:sz w:val="14"/>
                <w:szCs w:val="14"/>
                <w:i w:val="1"/>
                <w:iCs w:val="1"/>
                <w:color w:val="auto"/>
              </w:rPr>
              <w:t>Maximum</w:t>
            </w:r>
          </w:p>
        </w:tc>
        <w:tc>
          <w:tcPr>
            <w:tcW w:w="2160" w:type="dxa"/>
            <w:vAlign w:val="bottom"/>
          </w:tcPr>
          <w:p>
            <w:pPr>
              <w:spacing w:after="0"/>
              <w:rPr>
                <w:sz w:val="15"/>
                <w:szCs w:val="15"/>
                <w:color w:val="auto"/>
              </w:rPr>
            </w:pPr>
          </w:p>
        </w:tc>
        <w:tc>
          <w:tcPr>
            <w:tcW w:w="228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color w:val="auto"/>
                <w:w w:val="96"/>
              </w:rPr>
              <w:t>or (2) Cash Value.</w:t>
            </w:r>
          </w:p>
        </w:tc>
        <w:tc>
          <w:tcPr>
            <w:tcW w:w="0" w:type="dxa"/>
            <w:vAlign w:val="bottom"/>
          </w:tcPr>
          <w:p>
            <w:pPr>
              <w:spacing w:after="0"/>
              <w:rPr>
                <w:sz w:val="1"/>
                <w:szCs w:val="1"/>
                <w:color w:val="auto"/>
              </w:rPr>
            </w:pPr>
          </w:p>
        </w:tc>
      </w:tr>
      <w:tr>
        <w:trPr>
          <w:trHeight w:val="22"/>
        </w:trPr>
        <w:tc>
          <w:tcPr>
            <w:tcW w:w="2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2280" w:type="dxa"/>
            <w:vAlign w:val="bottom"/>
            <w:tcBorders>
              <w:right w:val="single" w:sz="8" w:color="F0FFFF"/>
            </w:tcBorders>
            <w:shd w:val="clear" w:color="auto" w:fill="F0FFFF"/>
          </w:tcPr>
          <w:p>
            <w:pPr>
              <w:spacing w:after="0"/>
              <w:rPr>
                <w:sz w:val="15"/>
                <w:szCs w:val="15"/>
                <w:color w:val="auto"/>
              </w:rPr>
            </w:pPr>
          </w:p>
        </w:tc>
        <w:tc>
          <w:tcPr>
            <w:tcW w:w="60" w:type="dxa"/>
            <w:vAlign w:val="bottom"/>
            <w:shd w:val="clear" w:color="auto" w:fill="F0FFFF"/>
          </w:tcPr>
          <w:p>
            <w:pPr>
              <w:spacing w:after="0"/>
              <w:rPr>
                <w:sz w:val="15"/>
                <w:szCs w:val="15"/>
                <w:color w:val="auto"/>
              </w:rPr>
            </w:pPr>
          </w:p>
        </w:tc>
        <w:tc>
          <w:tcPr>
            <w:tcW w:w="2160" w:type="dxa"/>
            <w:vAlign w:val="bottom"/>
            <w:tcBorders>
              <w:right w:val="single" w:sz="8" w:color="F0FFFF"/>
            </w:tcBorders>
            <w:shd w:val="clear" w:color="auto" w:fill="F0FFFF"/>
          </w:tcPr>
          <w:p>
            <w:pPr>
              <w:spacing w:after="0"/>
              <w:rPr>
                <w:sz w:val="15"/>
                <w:szCs w:val="15"/>
                <w:color w:val="auto"/>
              </w:rPr>
            </w:pPr>
          </w:p>
        </w:tc>
        <w:tc>
          <w:tcPr>
            <w:tcW w:w="2260" w:type="dxa"/>
            <w:vAlign w:val="bottom"/>
            <w:shd w:val="clear" w:color="auto" w:fill="F0FFFF"/>
          </w:tcPr>
          <w:p>
            <w:pPr>
              <w:jc w:val="center"/>
              <w:spacing w:after="0"/>
              <w:rPr>
                <w:sz w:val="20"/>
                <w:szCs w:val="20"/>
                <w:color w:val="auto"/>
              </w:rPr>
            </w:pPr>
            <w:r>
              <w:rPr>
                <w:rFonts w:ascii="Times New Roman" w:cs="Times New Roman" w:eastAsia="Times New Roman" w:hAnsi="Times New Roman"/>
                <w:sz w:val="14"/>
                <w:szCs w:val="14"/>
                <w:color w:val="auto"/>
                <w:w w:val="97"/>
              </w:rPr>
              <w:t>$6.08 per $1,000 of the greater of</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280" w:type="dxa"/>
            <w:vAlign w:val="bottom"/>
            <w:tcBorders>
              <w:right w:val="single" w:sz="8" w:color="F0FFFF"/>
            </w:tcBorders>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2160" w:type="dxa"/>
            <w:vAlign w:val="bottom"/>
            <w:tcBorders>
              <w:right w:val="single" w:sz="8" w:color="F0FFFF"/>
            </w:tcBorders>
            <w:shd w:val="clear" w:color="auto" w:fill="F0FFFF"/>
          </w:tcPr>
          <w:p>
            <w:pPr>
              <w:spacing w:after="0"/>
              <w:rPr>
                <w:sz w:val="17"/>
                <w:szCs w:val="17"/>
                <w:color w:val="auto"/>
              </w:rPr>
            </w:pPr>
          </w:p>
        </w:tc>
        <w:tc>
          <w:tcPr>
            <w:tcW w:w="2260" w:type="dxa"/>
            <w:vAlign w:val="bottom"/>
            <w:shd w:val="clear" w:color="auto" w:fill="F0FFFF"/>
          </w:tcPr>
          <w:p>
            <w:pPr>
              <w:jc w:val="center"/>
              <w:spacing w:after="0"/>
              <w:rPr>
                <w:sz w:val="20"/>
                <w:szCs w:val="20"/>
                <w:color w:val="auto"/>
              </w:rPr>
            </w:pPr>
            <w:r>
              <w:rPr>
                <w:rFonts w:ascii="Times New Roman" w:cs="Times New Roman" w:eastAsia="Times New Roman" w:hAnsi="Times New Roman"/>
                <w:sz w:val="14"/>
                <w:szCs w:val="14"/>
                <w:color w:val="auto"/>
                <w:w w:val="96"/>
              </w:rPr>
              <w:t>(1) 67% of the Policy’s Face Amount</w:t>
            </w:r>
            <w:r>
              <w:rPr>
                <w:rFonts w:ascii="Times New Roman" w:cs="Times New Roman" w:eastAsia="Times New Roman" w:hAnsi="Times New Roman"/>
                <w:sz w:val="17"/>
                <w:szCs w:val="17"/>
                <w:color w:val="auto"/>
                <w:w w:val="96"/>
                <w:vertAlign w:val="superscript"/>
              </w:rPr>
              <w:t>9</w:t>
            </w:r>
            <w:r>
              <w:rPr>
                <w:rFonts w:ascii="Times New Roman" w:cs="Times New Roman" w:eastAsia="Times New Roman" w:hAnsi="Times New Roman"/>
                <w:sz w:val="14"/>
                <w:szCs w:val="14"/>
                <w:color w:val="auto"/>
                <w:w w:val="96"/>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340" w:type="dxa"/>
            <w:vAlign w:val="bottom"/>
            <w:tcBorders>
              <w:bottom w:val="single" w:sz="8" w:color="F0FFFF"/>
            </w:tcBorders>
            <w:gridSpan w:val="2"/>
            <w:shd w:val="clear" w:color="auto" w:fill="F0FFFF"/>
          </w:tcPr>
          <w:p>
            <w:pPr>
              <w:ind w:left="220"/>
              <w:spacing w:after="0"/>
              <w:rPr>
                <w:sz w:val="20"/>
                <w:szCs w:val="20"/>
                <w:color w:val="auto"/>
              </w:rPr>
            </w:pPr>
            <w:r>
              <w:rPr>
                <w:rFonts w:ascii="Times New Roman" w:cs="Times New Roman" w:eastAsia="Times New Roman" w:hAnsi="Times New Roman"/>
                <w:sz w:val="14"/>
                <w:szCs w:val="14"/>
                <w:i w:val="1"/>
                <w:iCs w:val="1"/>
                <w:color w:val="auto"/>
              </w:rPr>
              <w:t>Minimum</w:t>
            </w:r>
          </w:p>
        </w:tc>
        <w:tc>
          <w:tcPr>
            <w:tcW w:w="2160" w:type="dxa"/>
            <w:vAlign w:val="bottom"/>
            <w:tcBorders>
              <w:bottom w:val="single" w:sz="8" w:color="F0FFFF"/>
              <w:right w:val="single" w:sz="8" w:color="F0FFFF"/>
            </w:tcBorders>
            <w:shd w:val="clear" w:color="auto" w:fill="F0FFFF"/>
          </w:tcPr>
          <w:p>
            <w:pPr>
              <w:spacing w:after="0"/>
              <w:rPr>
                <w:sz w:val="17"/>
                <w:szCs w:val="17"/>
                <w:color w:val="auto"/>
              </w:rPr>
            </w:pPr>
          </w:p>
        </w:tc>
        <w:tc>
          <w:tcPr>
            <w:tcW w:w="2260" w:type="dxa"/>
            <w:vAlign w:val="bottom"/>
            <w:tcBorders>
              <w:bottom w:val="single" w:sz="8" w:color="F0FFFF"/>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color w:val="auto"/>
                <w:w w:val="96"/>
              </w:rPr>
              <w:t>or (2) Cash Value.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9"/>
        </w:trPr>
        <w:tc>
          <w:tcPr>
            <w:tcW w:w="2340" w:type="dxa"/>
            <w:vAlign w:val="bottom"/>
            <w:tcBorders>
              <w:top w:val="single" w:sz="8" w:color="auto"/>
            </w:tcBorders>
            <w:gridSpan w:val="2"/>
          </w:tcPr>
          <w:p>
            <w:pPr>
              <w:ind w:left="220"/>
              <w:spacing w:after="0" w:line="159" w:lineRule="exact"/>
              <w:rPr>
                <w:sz w:val="20"/>
                <w:szCs w:val="20"/>
                <w:color w:val="auto"/>
              </w:rPr>
            </w:pPr>
            <w:r>
              <w:rPr>
                <w:rFonts w:ascii="Times New Roman" w:cs="Times New Roman" w:eastAsia="Times New Roman" w:hAnsi="Times New Roman"/>
                <w:sz w:val="14"/>
                <w:szCs w:val="14"/>
                <w:i w:val="1"/>
                <w:iCs w:val="1"/>
                <w:color w:val="auto"/>
              </w:rPr>
              <w:t>Charge in the first Policy year for a</w:t>
            </w:r>
          </w:p>
        </w:tc>
        <w:tc>
          <w:tcPr>
            <w:tcW w:w="2160" w:type="dxa"/>
            <w:vAlign w:val="bottom"/>
            <w:tcBorders>
              <w:top w:val="single" w:sz="8" w:color="auto"/>
            </w:tcBorders>
          </w:tcPr>
          <w:p>
            <w:pPr>
              <w:spacing w:after="0"/>
              <w:rPr>
                <w:sz w:val="13"/>
                <w:szCs w:val="13"/>
                <w:color w:val="auto"/>
              </w:rPr>
            </w:pPr>
          </w:p>
        </w:tc>
        <w:tc>
          <w:tcPr>
            <w:tcW w:w="226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340" w:type="dxa"/>
            <w:vAlign w:val="bottom"/>
            <w:gridSpan w:val="2"/>
          </w:tcPr>
          <w:p>
            <w:pPr>
              <w:ind w:left="220"/>
              <w:spacing w:after="0"/>
              <w:rPr>
                <w:sz w:val="20"/>
                <w:szCs w:val="20"/>
                <w:color w:val="auto"/>
              </w:rPr>
            </w:pPr>
            <w:r>
              <w:rPr>
                <w:rFonts w:ascii="Times New Roman" w:cs="Times New Roman" w:eastAsia="Times New Roman" w:hAnsi="Times New Roman"/>
                <w:sz w:val="14"/>
                <w:szCs w:val="14"/>
                <w:i w:val="1"/>
                <w:iCs w:val="1"/>
                <w:color w:val="auto"/>
              </w:rPr>
              <w:t>Representative Insured</w:t>
            </w:r>
          </w:p>
        </w:tc>
        <w:tc>
          <w:tcPr>
            <w:tcW w:w="21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340" w:type="dxa"/>
            <w:vAlign w:val="bottom"/>
            <w:gridSpan w:val="2"/>
          </w:tcPr>
          <w:p>
            <w:pPr>
              <w:ind w:left="220"/>
              <w:spacing w:after="0"/>
              <w:rPr>
                <w:sz w:val="20"/>
                <w:szCs w:val="20"/>
                <w:color w:val="auto"/>
              </w:rPr>
            </w:pPr>
            <w:r>
              <w:rPr>
                <w:rFonts w:ascii="Times New Roman" w:cs="Times New Roman" w:eastAsia="Times New Roman" w:hAnsi="Times New Roman"/>
                <w:sz w:val="14"/>
                <w:szCs w:val="14"/>
                <w:i w:val="1"/>
                <w:iCs w:val="1"/>
                <w:color w:val="auto"/>
              </w:rPr>
              <w:t>(The Representative Insured is a</w:t>
            </w:r>
          </w:p>
        </w:tc>
        <w:tc>
          <w:tcPr>
            <w:tcW w:w="21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340" w:type="dxa"/>
            <w:vAlign w:val="bottom"/>
            <w:gridSpan w:val="2"/>
          </w:tcPr>
          <w:p>
            <w:pPr>
              <w:ind w:left="220"/>
              <w:spacing w:after="0"/>
              <w:rPr>
                <w:sz w:val="20"/>
                <w:szCs w:val="20"/>
                <w:color w:val="auto"/>
              </w:rPr>
            </w:pPr>
            <w:r>
              <w:rPr>
                <w:rFonts w:ascii="Times New Roman" w:cs="Times New Roman" w:eastAsia="Times New Roman" w:hAnsi="Times New Roman"/>
                <w:sz w:val="14"/>
                <w:szCs w:val="14"/>
                <w:i w:val="1"/>
                <w:iCs w:val="1"/>
                <w:color w:val="auto"/>
              </w:rPr>
              <w:t>male, age 50, in the nonsmoker</w:t>
            </w:r>
          </w:p>
        </w:tc>
        <w:tc>
          <w:tcPr>
            <w:tcW w:w="21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340" w:type="dxa"/>
            <w:vAlign w:val="bottom"/>
            <w:gridSpan w:val="2"/>
          </w:tcPr>
          <w:p>
            <w:pPr>
              <w:ind w:left="220"/>
              <w:spacing w:after="0"/>
              <w:rPr>
                <w:sz w:val="20"/>
                <w:szCs w:val="20"/>
                <w:color w:val="auto"/>
              </w:rPr>
            </w:pPr>
            <w:r>
              <w:rPr>
                <w:rFonts w:ascii="Times New Roman" w:cs="Times New Roman" w:eastAsia="Times New Roman" w:hAnsi="Times New Roman"/>
                <w:sz w:val="14"/>
                <w:szCs w:val="14"/>
                <w:i w:val="1"/>
                <w:iCs w:val="1"/>
                <w:color w:val="auto"/>
              </w:rPr>
              <w:t>risk class, under a Policy with a</w:t>
            </w:r>
          </w:p>
        </w:tc>
        <w:tc>
          <w:tcPr>
            <w:tcW w:w="2160" w:type="dxa"/>
            <w:vAlign w:val="bottom"/>
          </w:tcPr>
          <w:p>
            <w:pPr>
              <w:spacing w:after="0"/>
              <w:rPr>
                <w:sz w:val="14"/>
                <w:szCs w:val="14"/>
                <w:color w:val="auto"/>
              </w:rPr>
            </w:pPr>
          </w:p>
        </w:tc>
        <w:tc>
          <w:tcPr>
            <w:tcW w:w="228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4"/>
                <w:szCs w:val="14"/>
                <w:color w:val="auto"/>
                <w:w w:val="97"/>
              </w:rPr>
              <w:t>$12.50 per $1,000 of the greater of</w:t>
            </w:r>
          </w:p>
        </w:tc>
        <w:tc>
          <w:tcPr>
            <w:tcW w:w="0" w:type="dxa"/>
            <w:vAlign w:val="bottom"/>
          </w:tcPr>
          <w:p>
            <w:pPr>
              <w:spacing w:after="0"/>
              <w:rPr>
                <w:sz w:val="1"/>
                <w:szCs w:val="1"/>
                <w:color w:val="auto"/>
              </w:rPr>
            </w:pPr>
          </w:p>
        </w:tc>
      </w:tr>
      <w:tr>
        <w:trPr>
          <w:trHeight w:val="143"/>
        </w:trPr>
        <w:tc>
          <w:tcPr>
            <w:tcW w:w="2340" w:type="dxa"/>
            <w:vAlign w:val="bottom"/>
            <w:gridSpan w:val="2"/>
          </w:tcPr>
          <w:p>
            <w:pPr>
              <w:ind w:left="220"/>
              <w:spacing w:after="0" w:line="143" w:lineRule="exact"/>
              <w:rPr>
                <w:sz w:val="20"/>
                <w:szCs w:val="20"/>
                <w:color w:val="auto"/>
              </w:rPr>
            </w:pPr>
            <w:r>
              <w:rPr>
                <w:rFonts w:ascii="Times New Roman" w:cs="Times New Roman" w:eastAsia="Times New Roman" w:hAnsi="Times New Roman"/>
                <w:sz w:val="14"/>
                <w:szCs w:val="14"/>
                <w:i w:val="1"/>
                <w:iCs w:val="1"/>
                <w:color w:val="auto"/>
              </w:rPr>
              <w:t>Face Amount of $200,000 and a</w:t>
            </w:r>
          </w:p>
        </w:tc>
        <w:tc>
          <w:tcPr>
            <w:tcW w:w="2160" w:type="dxa"/>
            <w:vAlign w:val="bottom"/>
          </w:tcPr>
          <w:p>
            <w:pPr>
              <w:spacing w:after="0"/>
              <w:rPr>
                <w:sz w:val="12"/>
                <w:szCs w:val="12"/>
                <w:color w:val="auto"/>
              </w:rPr>
            </w:pPr>
          </w:p>
        </w:tc>
        <w:tc>
          <w:tcPr>
            <w:tcW w:w="22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340" w:type="dxa"/>
            <w:vAlign w:val="bottom"/>
            <w:gridSpan w:val="2"/>
          </w:tcPr>
          <w:p>
            <w:pPr>
              <w:ind w:left="220"/>
              <w:spacing w:after="0"/>
              <w:rPr>
                <w:sz w:val="20"/>
                <w:szCs w:val="20"/>
                <w:color w:val="auto"/>
              </w:rPr>
            </w:pPr>
            <w:r>
              <w:rPr>
                <w:rFonts w:ascii="Times New Roman" w:cs="Times New Roman" w:eastAsia="Times New Roman" w:hAnsi="Times New Roman"/>
                <w:sz w:val="14"/>
                <w:szCs w:val="14"/>
                <w:i w:val="1"/>
                <w:iCs w:val="1"/>
                <w:color w:val="auto"/>
              </w:rPr>
              <w:t>lifetime Distribution Payment</w:t>
            </w:r>
          </w:p>
        </w:tc>
        <w:tc>
          <w:tcPr>
            <w:tcW w:w="2160" w:type="dxa"/>
            <w:vAlign w:val="bottom"/>
          </w:tcPr>
          <w:p>
            <w:pPr>
              <w:spacing w:after="0"/>
              <w:rPr>
                <w:sz w:val="16"/>
                <w:szCs w:val="16"/>
                <w:color w:val="auto"/>
              </w:rPr>
            </w:pPr>
          </w:p>
        </w:tc>
        <w:tc>
          <w:tcPr>
            <w:tcW w:w="2280" w:type="dxa"/>
            <w:vAlign w:val="bottom"/>
            <w:gridSpan w:val="2"/>
          </w:tcPr>
          <w:p>
            <w:pPr>
              <w:jc w:val="center"/>
              <w:ind w:right="40"/>
              <w:spacing w:after="0" w:line="186" w:lineRule="exact"/>
              <w:rPr>
                <w:sz w:val="20"/>
                <w:szCs w:val="20"/>
                <w:color w:val="auto"/>
              </w:rPr>
            </w:pPr>
            <w:r>
              <w:rPr>
                <w:rFonts w:ascii="Times New Roman" w:cs="Times New Roman" w:eastAsia="Times New Roman" w:hAnsi="Times New Roman"/>
                <w:sz w:val="14"/>
                <w:szCs w:val="14"/>
                <w:color w:val="auto"/>
                <w:w w:val="96"/>
              </w:rPr>
              <w:t>(1) 55% of the Policy’s Face Amount</w:t>
            </w:r>
            <w:r>
              <w:rPr>
                <w:rFonts w:ascii="Times New Roman" w:cs="Times New Roman" w:eastAsia="Times New Roman" w:hAnsi="Times New Roman"/>
                <w:sz w:val="17"/>
                <w:szCs w:val="17"/>
                <w:color w:val="auto"/>
                <w:w w:val="96"/>
                <w:vertAlign w:val="superscript"/>
              </w:rPr>
              <w:t>9</w:t>
            </w:r>
            <w:r>
              <w:rPr>
                <w:rFonts w:ascii="Times New Roman" w:cs="Times New Roman" w:eastAsia="Times New Roman" w:hAnsi="Times New Roman"/>
                <w:sz w:val="14"/>
                <w:szCs w:val="14"/>
                <w:color w:val="auto"/>
                <w:w w:val="96"/>
              </w:rPr>
              <w:t>,</w:t>
            </w:r>
          </w:p>
        </w:tc>
        <w:tc>
          <w:tcPr>
            <w:tcW w:w="0" w:type="dxa"/>
            <w:vAlign w:val="bottom"/>
          </w:tcPr>
          <w:p>
            <w:pPr>
              <w:spacing w:after="0"/>
              <w:rPr>
                <w:sz w:val="1"/>
                <w:szCs w:val="1"/>
                <w:color w:val="auto"/>
              </w:rPr>
            </w:pPr>
          </w:p>
        </w:tc>
      </w:tr>
      <w:tr>
        <w:trPr>
          <w:trHeight w:val="180"/>
        </w:trPr>
        <w:tc>
          <w:tcPr>
            <w:tcW w:w="2340" w:type="dxa"/>
            <w:vAlign w:val="bottom"/>
            <w:gridSpan w:val="2"/>
          </w:tcPr>
          <w:p>
            <w:pPr>
              <w:ind w:left="220"/>
              <w:spacing w:after="0"/>
              <w:rPr>
                <w:sz w:val="20"/>
                <w:szCs w:val="20"/>
                <w:color w:val="auto"/>
              </w:rPr>
            </w:pPr>
            <w:r>
              <w:rPr>
                <w:rFonts w:ascii="Times New Roman" w:cs="Times New Roman" w:eastAsia="Times New Roman" w:hAnsi="Times New Roman"/>
                <w:sz w:val="14"/>
                <w:szCs w:val="14"/>
                <w:i w:val="1"/>
                <w:iCs w:val="1"/>
                <w:color w:val="auto"/>
              </w:rPr>
              <w:t>Duration)</w:t>
            </w:r>
          </w:p>
        </w:tc>
        <w:tc>
          <w:tcPr>
            <w:tcW w:w="2160" w:type="dxa"/>
            <w:vAlign w:val="bottom"/>
          </w:tcPr>
          <w:p>
            <w:pPr>
              <w:spacing w:after="0"/>
              <w:rPr>
                <w:sz w:val="15"/>
                <w:szCs w:val="15"/>
                <w:color w:val="auto"/>
              </w:rPr>
            </w:pPr>
          </w:p>
        </w:tc>
        <w:tc>
          <w:tcPr>
            <w:tcW w:w="228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color w:val="auto"/>
                <w:w w:val="96"/>
              </w:rPr>
              <w:t>or (2) Cash Value.</w:t>
            </w:r>
          </w:p>
        </w:tc>
        <w:tc>
          <w:tcPr>
            <w:tcW w:w="0" w:type="dxa"/>
            <w:vAlign w:val="bottom"/>
          </w:tcPr>
          <w:p>
            <w:pPr>
              <w:spacing w:after="0"/>
              <w:rPr>
                <w:sz w:val="1"/>
                <w:szCs w:val="1"/>
                <w:color w:val="auto"/>
              </w:rPr>
            </w:pPr>
          </w:p>
        </w:tc>
      </w:tr>
    </w:tbl>
    <w:p>
      <w:pPr>
        <w:spacing w:after="0" w:line="71" w:lineRule="exact"/>
        <w:rPr>
          <w:sz w:val="20"/>
          <w:szCs w:val="20"/>
          <w:color w:val="auto"/>
        </w:rPr>
      </w:pPr>
    </w:p>
    <w:p>
      <w:pPr>
        <w:jc w:val="both"/>
        <w:ind w:left="265" w:right="2999" w:hanging="265"/>
        <w:spacing w:after="0" w:line="220" w:lineRule="auto"/>
        <w:tabs>
          <w:tab w:leader="none" w:pos="265" w:val="left"/>
        </w:tabs>
        <w:numPr>
          <w:ilvl w:val="0"/>
          <w:numId w:val="4"/>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Annual Cost of Insurance Charge varies based on individual characteristics, including the Policy’s Face Amount and the Attained Age, risk class, and (except for unisex Policies) sex. The cost of insurance charge may not be representative of the charge that a particular Owner would pay. You can obtain more information about the cost of insurance charge that would apply for a particular insured by contacting your financial representative.</w:t>
      </w:r>
    </w:p>
    <w:p>
      <w:pPr>
        <w:spacing w:after="0" w:line="207" w:lineRule="exact"/>
        <w:rPr>
          <w:sz w:val="20"/>
          <w:szCs w:val="20"/>
          <w:color w:val="auto"/>
        </w:rPr>
      </w:pPr>
    </w:p>
    <w:p>
      <w:pPr>
        <w:ind w:left="3085"/>
        <w:spacing w:after="0"/>
        <w:rPr>
          <w:sz w:val="20"/>
          <w:szCs w:val="20"/>
          <w:color w:val="auto"/>
        </w:rPr>
      </w:pPr>
      <w:r>
        <w:rPr>
          <w:rFonts w:ascii="Times New Roman" w:cs="Times New Roman" w:eastAsia="Times New Roman" w:hAnsi="Times New Roman"/>
          <w:sz w:val="14"/>
          <w:szCs w:val="14"/>
          <w:color w:val="auto"/>
        </w:rPr>
        <w:t>17</w:t>
      </w:r>
    </w:p>
    <w:p>
      <w:pPr>
        <w:sectPr>
          <w:pgSz w:w="11900" w:h="16838" w:orient="portrait"/>
          <w:cols w:equalWidth="0" w:num="1">
            <w:col w:w="9224"/>
          </w:cols>
          <w:pgMar w:left="1235" w:top="1079" w:right="1440" w:bottom="1440" w:gutter="0" w:footer="0" w:header="0"/>
        </w:sectPr>
      </w:pPr>
    </w:p>
    <w:bookmarkStart w:id="20" w:name="page21"/>
    <w:bookmarkEnd w:id="20"/>
    <w:p>
      <w:pPr>
        <w:ind w:left="5"/>
        <w:spacing w:after="0"/>
        <w:rPr>
          <w:sz w:val="20"/>
          <w:szCs w:val="20"/>
          <w:color w:val="auto"/>
        </w:rPr>
      </w:pPr>
      <w:r>
        <w:rPr>
          <w:rFonts w:ascii="Times New Roman" w:cs="Times New Roman" w:eastAsia="Times New Roman" w:hAnsi="Times New Roman"/>
          <w:sz w:val="9"/>
          <w:szCs w:val="9"/>
          <w:color w:val="auto"/>
        </w:rPr>
        <w:drawing>
          <wp:anchor simplePos="0" relativeHeight="251657728" behindDoc="1" locked="0" layoutInCell="0" allowOverlap="1">
            <wp:simplePos x="0" y="0"/>
            <wp:positionH relativeFrom="page">
              <wp:posOffset>179070</wp:posOffset>
            </wp:positionH>
            <wp:positionV relativeFrom="page">
              <wp:posOffset>422275</wp:posOffset>
            </wp:positionV>
            <wp:extent cx="719010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90105" cy="38735"/>
                    </a:xfrm>
                    <a:prstGeom prst="rect">
                      <a:avLst/>
                    </a:prstGeom>
                    <a:noFill/>
                  </pic:spPr>
                </pic:pic>
              </a:graphicData>
            </a:graphic>
          </wp:anchor>
        </w:drawing>
        <w:t>2</w:t>
      </w:r>
    </w:p>
    <w:p>
      <w:pPr>
        <w:ind w:left="265" w:right="2999"/>
        <w:spacing w:after="0" w:line="235" w:lineRule="auto"/>
        <w:rPr>
          <w:sz w:val="20"/>
          <w:szCs w:val="20"/>
          <w:color w:val="auto"/>
        </w:rPr>
      </w:pPr>
      <w:r>
        <w:rPr>
          <w:rFonts w:ascii="Times New Roman" w:cs="Times New Roman" w:eastAsia="Times New Roman" w:hAnsi="Times New Roman"/>
          <w:sz w:val="14"/>
          <w:szCs w:val="14"/>
          <w:color w:val="auto"/>
        </w:rPr>
        <w:t>The net amount at risk is the difference between the death benefit (generally discounted at 1%) and the Cash Value.</w:t>
      </w:r>
    </w:p>
    <w:p>
      <w:pPr>
        <w:spacing w:after="0" w:line="31" w:lineRule="exact"/>
        <w:rPr>
          <w:sz w:val="20"/>
          <w:szCs w:val="20"/>
          <w:color w:val="auto"/>
        </w:rPr>
      </w:pPr>
    </w:p>
    <w:p>
      <w:pPr>
        <w:jc w:val="both"/>
        <w:ind w:left="265" w:right="2999" w:hanging="265"/>
        <w:spacing w:after="0" w:line="226" w:lineRule="auto"/>
        <w:tabs>
          <w:tab w:leader="none" w:pos="265" w:val="left"/>
        </w:tabs>
        <w:numPr>
          <w:ilvl w:val="0"/>
          <w:numId w:val="5"/>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The Annual Administrative Charge equals: the Face Amount at the beginning of the Policy Year; times the applicable Annual Administrative Charge rate for that Policy Year divided by 1,000. The actual Annual Administrative Charge rate we use may be lower than the maximum Annual Administrative Charge rate</w:t>
      </w:r>
    </w:p>
    <w:p>
      <w:pPr>
        <w:spacing w:after="0" w:line="1" w:lineRule="exact"/>
        <w:rPr>
          <w:sz w:val="20"/>
          <w:szCs w:val="20"/>
          <w:color w:val="auto"/>
        </w:rPr>
      </w:pPr>
    </w:p>
    <w:p>
      <w:pPr>
        <w:ind w:left="265"/>
        <w:spacing w:after="0"/>
        <w:rPr>
          <w:sz w:val="20"/>
          <w:szCs w:val="20"/>
          <w:color w:val="auto"/>
        </w:rPr>
      </w:pPr>
      <w:r>
        <w:rPr>
          <w:rFonts w:ascii="Times New Roman" w:cs="Times New Roman" w:eastAsia="Times New Roman" w:hAnsi="Times New Roman"/>
          <w:sz w:val="14"/>
          <w:szCs w:val="14"/>
          <w:color w:val="auto"/>
        </w:rPr>
        <w:t>shown above and on the Policy specifications pages.</w:t>
      </w:r>
    </w:p>
    <w:p>
      <w:pPr>
        <w:ind w:left="5"/>
        <w:spacing w:after="0" w:line="191" w:lineRule="auto"/>
        <w:rPr>
          <w:sz w:val="20"/>
          <w:szCs w:val="20"/>
          <w:color w:val="auto"/>
        </w:rPr>
      </w:pPr>
      <w:r>
        <w:rPr>
          <w:rFonts w:ascii="Times New Roman" w:cs="Times New Roman" w:eastAsia="Times New Roman" w:hAnsi="Times New Roman"/>
          <w:sz w:val="6"/>
          <w:szCs w:val="6"/>
          <w:color w:val="auto"/>
        </w:rPr>
        <w:t>4</w:t>
      </w:r>
    </w:p>
    <w:p>
      <w:pPr>
        <w:jc w:val="both"/>
        <w:ind w:left="265" w:right="2999"/>
        <w:spacing w:after="0" w:line="246" w:lineRule="auto"/>
        <w:rPr>
          <w:sz w:val="20"/>
          <w:szCs w:val="20"/>
          <w:color w:val="auto"/>
        </w:rPr>
      </w:pPr>
      <w:r>
        <w:rPr>
          <w:rFonts w:ascii="Times New Roman" w:cs="Times New Roman" w:eastAsia="Times New Roman" w:hAnsi="Times New Roman"/>
          <w:sz w:val="13"/>
          <w:szCs w:val="13"/>
          <w:color w:val="auto"/>
        </w:rPr>
        <w:t>The current Annual Indexed Account Charge rate is 0.2%. If you start receiving Distribution Payments and we transfer all your Cash Value from the Indexed Accounts and/or Holding Accounts to the Fixed Account, you will not be refunded any portion of the Annual Indexed Account Charge for that Policy Year.</w:t>
      </w:r>
    </w:p>
    <w:p>
      <w:pPr>
        <w:ind w:left="5"/>
        <w:spacing w:after="0" w:line="189" w:lineRule="auto"/>
        <w:rPr>
          <w:sz w:val="20"/>
          <w:szCs w:val="20"/>
          <w:color w:val="auto"/>
        </w:rPr>
      </w:pPr>
      <w:r>
        <w:rPr>
          <w:rFonts w:ascii="Times New Roman" w:cs="Times New Roman" w:eastAsia="Times New Roman" w:hAnsi="Times New Roman"/>
          <w:sz w:val="6"/>
          <w:szCs w:val="6"/>
          <w:color w:val="auto"/>
        </w:rPr>
        <w:t>5</w:t>
      </w:r>
    </w:p>
    <w:p>
      <w:pPr>
        <w:jc w:val="both"/>
        <w:ind w:left="265" w:right="2999"/>
        <w:spacing w:after="0" w:line="227" w:lineRule="auto"/>
        <w:rPr>
          <w:sz w:val="20"/>
          <w:szCs w:val="20"/>
          <w:color w:val="auto"/>
        </w:rPr>
      </w:pPr>
      <w:r>
        <w:rPr>
          <w:rFonts w:ascii="Times New Roman" w:cs="Times New Roman" w:eastAsia="Times New Roman" w:hAnsi="Times New Roman"/>
          <w:sz w:val="14"/>
          <w:szCs w:val="14"/>
          <w:color w:val="auto"/>
        </w:rPr>
        <w:t>Interest accrues daily on the Policy Loan Balance at an annual rate not more than the annual maximum fixed loan interest rate of 8%. We also credit interest on the Cash Value in the Loan Account at a rate not less than the Loan Account guaranteed minimum interest rate of 1%. As a result, the loan interest spread, the difference between the interest rates we charge on Policy Loan Balance and the interest earned on Cash Value we hold as security for the loan (“loan collateral”) could be as much as 7%.</w:t>
      </w:r>
    </w:p>
    <w:p>
      <w:pPr>
        <w:spacing w:after="0" w:line="1" w:lineRule="exact"/>
        <w:rPr>
          <w:sz w:val="20"/>
          <w:szCs w:val="20"/>
          <w:color w:val="auto"/>
        </w:rPr>
      </w:pPr>
    </w:p>
    <w:p>
      <w:pPr>
        <w:ind w:left="5"/>
        <w:spacing w:after="0"/>
        <w:rPr>
          <w:sz w:val="20"/>
          <w:szCs w:val="20"/>
          <w:color w:val="auto"/>
        </w:rPr>
      </w:pPr>
      <w:r>
        <w:rPr>
          <w:rFonts w:ascii="Times New Roman" w:cs="Times New Roman" w:eastAsia="Times New Roman" w:hAnsi="Times New Roman"/>
          <w:sz w:val="4"/>
          <w:szCs w:val="4"/>
          <w:color w:val="auto"/>
        </w:rPr>
        <w:t>6</w:t>
      </w:r>
    </w:p>
    <w:p>
      <w:pPr>
        <w:ind w:left="265"/>
        <w:spacing w:after="0" w:line="238" w:lineRule="auto"/>
        <w:rPr>
          <w:sz w:val="20"/>
          <w:szCs w:val="20"/>
          <w:color w:val="auto"/>
        </w:rPr>
      </w:pPr>
      <w:r>
        <w:rPr>
          <w:rFonts w:ascii="Times New Roman" w:cs="Times New Roman" w:eastAsia="Times New Roman" w:hAnsi="Times New Roman"/>
          <w:sz w:val="14"/>
          <w:szCs w:val="14"/>
          <w:color w:val="auto"/>
        </w:rPr>
        <w:t>Charged annually or on loan termination, if earlier.</w:t>
      </w:r>
    </w:p>
    <w:p>
      <w:pPr>
        <w:spacing w:after="0" w:line="26" w:lineRule="exact"/>
        <w:rPr>
          <w:sz w:val="20"/>
          <w:szCs w:val="20"/>
          <w:color w:val="auto"/>
        </w:rPr>
      </w:pPr>
    </w:p>
    <w:p>
      <w:pPr>
        <w:jc w:val="both"/>
        <w:ind w:left="265" w:right="2999" w:hanging="265"/>
        <w:spacing w:after="0" w:line="222" w:lineRule="auto"/>
        <w:tabs>
          <w:tab w:leader="none" w:pos="265" w:val="left"/>
        </w:tabs>
        <w:numPr>
          <w:ilvl w:val="0"/>
          <w:numId w:val="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GDR Charge rate varies based on individual characteristics, including the Insured’s Issue Age and (except for unisex Policies) sex. The GDR Charge rate ranges from $6.08 to $19.04 per $1,000 of the greater of (1) the GDR Charge percentage multiplied by the Policy’s Face Amount, or (2) the Policy’s Cash Value. We refer to the GDR Charge rate as the Guaranteed Rider Charge Rate in the GDR. The GDR Charge percentage varies based on individual characteristics, including the Insured’s Issue Age, (except for unisex Policies) sex, and Distribution Payment Duration. The GDR Charge percentage ranges from 48% to 67%. We refer to the GDR Charge percentage as the Guaranteed Rider Charge Percentage in the GDR. The GDR Charge may not be representative of the charge that a particular Owner would pay. You can obtain more information about the GDR Charge that would apply for a particular insured by contacting your financial representative.</w:t>
      </w:r>
    </w:p>
    <w:p>
      <w:pPr>
        <w:spacing w:after="0" w:line="1" w:lineRule="exact"/>
        <w:rPr>
          <w:sz w:val="20"/>
          <w:szCs w:val="20"/>
          <w:color w:val="auto"/>
        </w:rPr>
      </w:pPr>
    </w:p>
    <w:p>
      <w:pPr>
        <w:ind w:left="265" w:hanging="265"/>
        <w:spacing w:after="0"/>
        <w:tabs>
          <w:tab w:leader="none" w:pos="265" w:val="left"/>
        </w:tabs>
        <w:numPr>
          <w:ilvl w:val="0"/>
          <w:numId w:val="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GDR Charge will not be deducted after Distributions Payments terminate or the GDR terminates.</w:t>
      </w:r>
    </w:p>
    <w:p>
      <w:pPr>
        <w:spacing w:after="0" w:line="30" w:lineRule="exact"/>
        <w:rPr>
          <w:sz w:val="20"/>
          <w:szCs w:val="20"/>
          <w:color w:val="auto"/>
        </w:rPr>
      </w:pPr>
    </w:p>
    <w:p>
      <w:pPr>
        <w:jc w:val="both"/>
        <w:ind w:left="265" w:right="2999" w:hanging="265"/>
        <w:spacing w:after="0" w:line="220" w:lineRule="auto"/>
        <w:tabs>
          <w:tab w:leader="none" w:pos="265" w:val="left"/>
        </w:tabs>
        <w:numPr>
          <w:ilvl w:val="0"/>
          <w:numId w:val="8"/>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percentage of Face Amount varies based on individual characteristics, including the Distribution Payment Duration selected and the Insured’s age and (except for unisex Policies) sex. The percentage of Face Amount may not be representative of the charge that a particular Owner would pay. You can obtain more information about the percentage of Face Amount that would apply to a particular insured by contacting your financial professional.</w:t>
      </w:r>
    </w:p>
    <w:p>
      <w:pPr>
        <w:spacing w:after="0" w:line="296" w:lineRule="exact"/>
        <w:rPr>
          <w:sz w:val="20"/>
          <w:szCs w:val="20"/>
          <w:color w:val="auto"/>
        </w:rPr>
      </w:pPr>
    </w:p>
    <w:p>
      <w:pPr>
        <w:ind w:left="2645"/>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90" w:lineRule="exact"/>
        <w:rPr>
          <w:sz w:val="20"/>
          <w:szCs w:val="20"/>
          <w:color w:val="auto"/>
        </w:rPr>
      </w:pPr>
    </w:p>
    <w:p>
      <w:pPr>
        <w:jc w:val="both"/>
        <w:ind w:left="5" w:right="2939" w:firstLine="274"/>
        <w:spacing w:after="0" w:line="267" w:lineRule="auto"/>
        <w:rPr>
          <w:sz w:val="20"/>
          <w:szCs w:val="20"/>
          <w:color w:val="auto"/>
        </w:rPr>
      </w:pPr>
      <w:r>
        <w:rPr>
          <w:rFonts w:ascii="Times New Roman" w:cs="Times New Roman" w:eastAsia="Times New Roman" w:hAnsi="Times New Roman"/>
          <w:sz w:val="14"/>
          <w:szCs w:val="14"/>
          <w:color w:val="auto"/>
        </w:rPr>
        <w:t>The purchase of the Policy involves certain risks. You should carefully consider the following factors, in addition to the matters set forth elsewhere in the prospectus, prior to purchasing the Policy.</w:t>
      </w:r>
    </w:p>
    <w:p>
      <w:pPr>
        <w:spacing w:after="0" w:line="132" w:lineRule="exact"/>
        <w:rPr>
          <w:sz w:val="20"/>
          <w:szCs w:val="20"/>
          <w:color w:val="auto"/>
        </w:rPr>
      </w:pPr>
    </w:p>
    <w:p>
      <w:pPr>
        <w:ind w:left="5"/>
        <w:spacing w:after="0"/>
        <w:rPr>
          <w:sz w:val="20"/>
          <w:szCs w:val="20"/>
          <w:color w:val="auto"/>
        </w:rPr>
      </w:pPr>
      <w:r>
        <w:rPr>
          <w:rFonts w:ascii="Times New Roman" w:cs="Times New Roman" w:eastAsia="Times New Roman" w:hAnsi="Times New Roman"/>
          <w:sz w:val="14"/>
          <w:szCs w:val="14"/>
          <w:b w:val="1"/>
          <w:bCs w:val="1"/>
          <w:color w:val="auto"/>
        </w:rPr>
        <w:t>Risk of loss</w:t>
      </w:r>
    </w:p>
    <w:p>
      <w:pPr>
        <w:spacing w:after="0" w:line="86" w:lineRule="exact"/>
        <w:rPr>
          <w:sz w:val="20"/>
          <w:szCs w:val="20"/>
          <w:color w:val="auto"/>
        </w:rPr>
      </w:pPr>
    </w:p>
    <w:p>
      <w:pPr>
        <w:ind w:left="265"/>
        <w:spacing w:after="0"/>
        <w:rPr>
          <w:sz w:val="20"/>
          <w:szCs w:val="20"/>
          <w:color w:val="auto"/>
        </w:rPr>
      </w:pPr>
      <w:r>
        <w:rPr>
          <w:rFonts w:ascii="Times New Roman" w:cs="Times New Roman" w:eastAsia="Times New Roman" w:hAnsi="Times New Roman"/>
          <w:sz w:val="14"/>
          <w:szCs w:val="14"/>
          <w:b w:val="1"/>
          <w:bCs w:val="1"/>
          <w:i w:val="1"/>
          <w:iCs w:val="1"/>
          <w:color w:val="auto"/>
        </w:rPr>
        <w:t>Segment Maturity Date</w:t>
      </w:r>
    </w:p>
    <w:p>
      <w:pPr>
        <w:spacing w:after="0" w:line="90" w:lineRule="exact"/>
        <w:rPr>
          <w:sz w:val="20"/>
          <w:szCs w:val="20"/>
          <w:color w:val="auto"/>
        </w:rPr>
      </w:pPr>
    </w:p>
    <w:p>
      <w:pPr>
        <w:jc w:val="both"/>
        <w:ind w:left="5" w:right="2939" w:firstLine="274"/>
        <w:spacing w:after="0" w:line="251" w:lineRule="auto"/>
        <w:rPr>
          <w:sz w:val="20"/>
          <w:szCs w:val="20"/>
          <w:color w:val="auto"/>
        </w:rPr>
      </w:pPr>
      <w:r>
        <w:rPr>
          <w:rFonts w:ascii="Times New Roman" w:cs="Times New Roman" w:eastAsia="Times New Roman" w:hAnsi="Times New Roman"/>
          <w:sz w:val="14"/>
          <w:szCs w:val="14"/>
          <w:color w:val="auto"/>
        </w:rPr>
        <w:t>There is a risk of substantial loss of your principal and any earnings (unless you allocate your Net Premiums and any earnings to the Fixed Account or Buffer 100) because you agree to absorb all losses that exceed the Buffer Rate for the Indexed Accounts you select under the Policy. This means that if the negative Segment Index Performance for an Indexed Account you select exceeds the corresponding Buffer Rate at the Segment Maturity Date, you will bear the portion of the loss that exceeds the Buffer Rate.</w:t>
      </w:r>
    </w:p>
    <w:p>
      <w:pPr>
        <w:spacing w:after="0" w:line="63" w:lineRule="exact"/>
        <w:rPr>
          <w:sz w:val="20"/>
          <w:szCs w:val="20"/>
          <w:color w:val="auto"/>
        </w:rPr>
      </w:pPr>
    </w:p>
    <w:p>
      <w:pPr>
        <w:jc w:val="both"/>
        <w:ind w:left="5" w:right="2939" w:firstLine="274"/>
        <w:spacing w:after="0" w:line="252" w:lineRule="auto"/>
        <w:rPr>
          <w:sz w:val="20"/>
          <w:szCs w:val="20"/>
          <w:color w:val="auto"/>
        </w:rPr>
      </w:pPr>
      <w:r>
        <w:rPr>
          <w:rFonts w:ascii="Times New Roman" w:cs="Times New Roman" w:eastAsia="Times New Roman" w:hAnsi="Times New Roman"/>
          <w:sz w:val="14"/>
          <w:szCs w:val="14"/>
          <w:color w:val="auto"/>
        </w:rPr>
        <w:t>Buffer Rates are not cumulative, and their protection does not extend beyond the length of any given Segment Term. If you keep amounts allocated to an Indexed Account over multiple Segment Terms in which negative interest is credited, the total combined loss of Segment Value over those multiple Segment Terms may exceed the stated Buffer Rate for a single Segment Term.</w:t>
      </w:r>
    </w:p>
    <w:p>
      <w:pPr>
        <w:spacing w:after="0" w:line="60" w:lineRule="exact"/>
        <w:rPr>
          <w:sz w:val="20"/>
          <w:szCs w:val="20"/>
          <w:color w:val="auto"/>
        </w:rPr>
      </w:pPr>
    </w:p>
    <w:p>
      <w:pPr>
        <w:ind w:left="265"/>
        <w:spacing w:after="0"/>
        <w:rPr>
          <w:sz w:val="20"/>
          <w:szCs w:val="20"/>
          <w:color w:val="auto"/>
        </w:rPr>
      </w:pPr>
      <w:r>
        <w:rPr>
          <w:rFonts w:ascii="Times New Roman" w:cs="Times New Roman" w:eastAsia="Times New Roman" w:hAnsi="Times New Roman"/>
          <w:sz w:val="14"/>
          <w:szCs w:val="14"/>
          <w:b w:val="1"/>
          <w:bCs w:val="1"/>
          <w:i w:val="1"/>
          <w:iCs w:val="1"/>
          <w:color w:val="auto"/>
        </w:rPr>
        <w:t>Interim Segment Value</w:t>
      </w:r>
    </w:p>
    <w:p>
      <w:pPr>
        <w:spacing w:after="0" w:line="90" w:lineRule="exact"/>
        <w:rPr>
          <w:sz w:val="20"/>
          <w:szCs w:val="20"/>
          <w:color w:val="auto"/>
        </w:rPr>
      </w:pPr>
    </w:p>
    <w:p>
      <w:pPr>
        <w:jc w:val="both"/>
        <w:ind w:left="5" w:right="2939" w:firstLine="274"/>
        <w:spacing w:after="0" w:line="247" w:lineRule="auto"/>
        <w:rPr>
          <w:sz w:val="20"/>
          <w:szCs w:val="20"/>
          <w:color w:val="auto"/>
        </w:rPr>
      </w:pPr>
      <w:r>
        <w:rPr>
          <w:rFonts w:ascii="Times New Roman" w:cs="Times New Roman" w:eastAsia="Times New Roman" w:hAnsi="Times New Roman"/>
          <w:sz w:val="14"/>
          <w:szCs w:val="14"/>
          <w:color w:val="auto"/>
        </w:rPr>
        <w:t>The method we use in calculating your Interim Segment Value may result in an amount that is less than the amount you would receive had you held the investment until the Segment Maturity Date. The Interim Segment Value is the amount we use to determine the Indexed Account Cash Value prior to the Segment Maturity Date. The Indexed Account Cash Value is part of the Cash Value, which determines how much is available for death benefits (including Policy Proceeds and an Accelerated Death Benefit payment), loans (not including loans in connection with Distribution Payments under the GDR), transfers from Indexed Account Cash Value to the Fixed Account if you choose to start (or restart) Distribution Payments under the GDR, and Surrenders (including Surrenders in connection with the Free Look Period). If Segment Index Performance is negative when we process these transactions, any remaining Segment Value may be significantly less than if you waited to when Segment Index Performance was positive.</w:t>
      </w:r>
    </w:p>
    <w:p>
      <w:pPr>
        <w:spacing w:after="0" w:line="215" w:lineRule="exact"/>
        <w:rPr>
          <w:sz w:val="20"/>
          <w:szCs w:val="20"/>
          <w:color w:val="auto"/>
        </w:rPr>
      </w:pPr>
    </w:p>
    <w:p>
      <w:pPr>
        <w:ind w:left="3085"/>
        <w:spacing w:after="0"/>
        <w:rPr>
          <w:sz w:val="20"/>
          <w:szCs w:val="20"/>
          <w:color w:val="auto"/>
        </w:rPr>
      </w:pPr>
      <w:r>
        <w:rPr>
          <w:rFonts w:ascii="Times New Roman" w:cs="Times New Roman" w:eastAsia="Times New Roman" w:hAnsi="Times New Roman"/>
          <w:sz w:val="14"/>
          <w:szCs w:val="14"/>
          <w:color w:val="auto"/>
        </w:rPr>
        <w:t>18</w:t>
      </w:r>
    </w:p>
    <w:p>
      <w:pPr>
        <w:sectPr>
          <w:pgSz w:w="11900" w:h="16838" w:orient="portrait"/>
          <w:cols w:equalWidth="0" w:num="1">
            <w:col w:w="9224"/>
          </w:cols>
          <w:pgMar w:left="1235" w:top="984" w:right="1440" w:bottom="1440" w:gutter="0" w:footer="0" w:header="0"/>
        </w:sectPr>
      </w:pPr>
    </w:p>
    <w:bookmarkStart w:id="21" w:name="page22"/>
    <w:bookmarkEnd w:id="21"/>
    <w:p>
      <w:pPr>
        <w:jc w:val="both"/>
        <w:ind w:right="2939" w:firstLine="274"/>
        <w:spacing w:after="0" w:line="269"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179070</wp:posOffset>
            </wp:positionH>
            <wp:positionV relativeFrom="page">
              <wp:posOffset>422275</wp:posOffset>
            </wp:positionV>
            <wp:extent cx="719010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90105" cy="38735"/>
                    </a:xfrm>
                    <a:prstGeom prst="rect">
                      <a:avLst/>
                    </a:prstGeom>
                    <a:noFill/>
                  </pic:spPr>
                </pic:pic>
              </a:graphicData>
            </a:graphic>
          </wp:anchor>
        </w:drawing>
        <w:t>When we calculate the Interim Segment Value, we use the Segment Performance Rate as of the date of the calculation. The Buffer Rates and Cap Rates accrue during the Segment Term and only reach full accrual on the last day of a Segment Term. For Buffer 100, the Buffer Rate will always be 100% throughout the Segment Term. This means that if the Segment Index Performance is negative on the Interim Segment Value calculation date, any negative interest we calculate could be greater than it would be on the Segment Maturity Date because the Buffer Rate is lower earlier in the Segment Term and does not fully accrue until the Segment Maturity Date. If Segment Index Performance is positive on the Interim Segment Value calculation date, any positive interest we calculate could be lower than it would be on the Segment Maturity Date because the Cap Rate is lower earlier in the Segment Term and does not fully accrue until the Segment Maturity Date. Any losses could be significant.</w:t>
      </w:r>
    </w:p>
    <w:p>
      <w:pPr>
        <w:spacing w:after="0" w:line="5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This means:</w:t>
      </w:r>
    </w:p>
    <w:p>
      <w:pPr>
        <w:spacing w:after="0" w:line="86" w:lineRule="exact"/>
        <w:rPr>
          <w:sz w:val="20"/>
          <w:szCs w:val="20"/>
          <w:color w:val="auto"/>
        </w:rPr>
      </w:pPr>
    </w:p>
    <w:p>
      <w:pPr>
        <w:ind w:left="440" w:right="2999" w:hanging="171"/>
        <w:spacing w:after="0" w:line="307" w:lineRule="auto"/>
        <w:tabs>
          <w:tab w:leader="none" w:pos="44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you allocate to Indexed Accounts and request any of the following transactions on any day other than a Policy Anniversary (</w:t>
      </w:r>
      <w:r>
        <w:rPr>
          <w:rFonts w:ascii="Times New Roman" w:cs="Times New Roman" w:eastAsia="Times New Roman" w:hAnsi="Times New Roman"/>
          <w:sz w:val="13"/>
          <w:szCs w:val="13"/>
          <w:i w:val="1"/>
          <w:iCs w:val="1"/>
          <w:color w:val="auto"/>
        </w:rPr>
        <w:t>i.e</w:t>
      </w:r>
      <w:r>
        <w:rPr>
          <w:rFonts w:ascii="Times New Roman" w:cs="Times New Roman" w:eastAsia="Times New Roman" w:hAnsi="Times New Roman"/>
          <w:sz w:val="13"/>
          <w:szCs w:val="13"/>
          <w:color w:val="auto"/>
        </w:rPr>
        <w:t>., a Segment Maturity Date), we use the Interim Segment Value calculation to:</w:t>
      </w:r>
    </w:p>
    <w:p>
      <w:pPr>
        <w:spacing w:after="0" w:line="28" w:lineRule="exact"/>
        <w:rPr>
          <w:rFonts w:ascii="Times New Roman" w:cs="Times New Roman" w:eastAsia="Times New Roman" w:hAnsi="Times New Roman"/>
          <w:sz w:val="13"/>
          <w:szCs w:val="13"/>
          <w:color w:val="auto"/>
        </w:rPr>
      </w:pPr>
    </w:p>
    <w:p>
      <w:pPr>
        <w:ind w:left="700" w:hanging="157"/>
        <w:spacing w:after="0"/>
        <w:tabs>
          <w:tab w:leader="none" w:pos="700" w:val="left"/>
        </w:tabs>
        <w:numPr>
          <w:ilvl w:val="1"/>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Surrender your Policy (including Surrenders in connection with the Free Look Period),</w:t>
      </w:r>
    </w:p>
    <w:p>
      <w:pPr>
        <w:spacing w:after="0" w:line="85" w:lineRule="exact"/>
        <w:rPr>
          <w:rFonts w:ascii="Times New Roman" w:cs="Times New Roman" w:eastAsia="Times New Roman" w:hAnsi="Times New Roman"/>
          <w:sz w:val="14"/>
          <w:szCs w:val="14"/>
          <w:color w:val="auto"/>
        </w:rPr>
      </w:pPr>
    </w:p>
    <w:p>
      <w:pPr>
        <w:ind w:left="700" w:hanging="157"/>
        <w:spacing w:after="0"/>
        <w:tabs>
          <w:tab w:leader="none" w:pos="700" w:val="left"/>
        </w:tabs>
        <w:numPr>
          <w:ilvl w:val="1"/>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take a loan (not including loans in connection with Distribution Payments under the GDR)</w:t>
      </w:r>
    </w:p>
    <w:p>
      <w:pPr>
        <w:spacing w:after="0" w:line="85" w:lineRule="exact"/>
        <w:rPr>
          <w:rFonts w:ascii="Times New Roman" w:cs="Times New Roman" w:eastAsia="Times New Roman" w:hAnsi="Times New Roman"/>
          <w:sz w:val="14"/>
          <w:szCs w:val="14"/>
          <w:color w:val="auto"/>
        </w:rPr>
      </w:pPr>
    </w:p>
    <w:p>
      <w:pPr>
        <w:ind w:left="700" w:hanging="157"/>
        <w:spacing w:after="0"/>
        <w:tabs>
          <w:tab w:leader="none" w:pos="700" w:val="left"/>
        </w:tabs>
        <w:numPr>
          <w:ilvl w:val="1"/>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request a payment under the Accelerated Death Benefit, or</w:t>
      </w:r>
    </w:p>
    <w:p>
      <w:pPr>
        <w:spacing w:after="0" w:line="85" w:lineRule="exact"/>
        <w:rPr>
          <w:rFonts w:ascii="Times New Roman" w:cs="Times New Roman" w:eastAsia="Times New Roman" w:hAnsi="Times New Roman"/>
          <w:sz w:val="14"/>
          <w:szCs w:val="14"/>
          <w:color w:val="auto"/>
        </w:rPr>
      </w:pPr>
    </w:p>
    <w:p>
      <w:pPr>
        <w:ind w:left="700" w:right="2999" w:hanging="157"/>
        <w:spacing w:after="0" w:line="267" w:lineRule="auto"/>
        <w:tabs>
          <w:tab w:leader="none" w:pos="700" w:val="left"/>
        </w:tabs>
        <w:numPr>
          <w:ilvl w:val="1"/>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transfer Indexed Account Cash Value to the Fixed Account if you choose to start (or restart) Distribution Payments under the GDR.</w:t>
      </w:r>
    </w:p>
    <w:p>
      <w:pPr>
        <w:spacing w:after="0" w:line="53" w:lineRule="exact"/>
        <w:rPr>
          <w:rFonts w:ascii="Times New Roman" w:cs="Times New Roman" w:eastAsia="Times New Roman" w:hAnsi="Times New Roman"/>
          <w:sz w:val="14"/>
          <w:szCs w:val="14"/>
          <w:color w:val="auto"/>
        </w:rPr>
      </w:pPr>
    </w:p>
    <w:p>
      <w:pPr>
        <w:jc w:val="both"/>
        <w:ind w:left="440" w:right="2999" w:hanging="171"/>
        <w:spacing w:after="0" w:line="251" w:lineRule="auto"/>
        <w:tabs>
          <w:tab w:leader="none" w:pos="4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Segment Index Performance is negative, when we process these transactions, you bear the risk that any remaining Segment Value may be significantly less than if you waited to when Segment Index Performance was positive or on the Segment Maturity Date. In extreme circumstances, you could lose all or a significant portion of the value of an Indexed Account if you Surrender or take a loan from the Indexed Account before the Segment Maturity Date.</w:t>
      </w:r>
    </w:p>
    <w:p>
      <w:pPr>
        <w:spacing w:after="0" w:line="63" w:lineRule="exact"/>
        <w:rPr>
          <w:rFonts w:ascii="Times New Roman" w:cs="Times New Roman" w:eastAsia="Times New Roman" w:hAnsi="Times New Roman"/>
          <w:sz w:val="14"/>
          <w:szCs w:val="14"/>
          <w:color w:val="auto"/>
        </w:rPr>
      </w:pPr>
    </w:p>
    <w:p>
      <w:pPr>
        <w:jc w:val="both"/>
        <w:ind w:left="440" w:right="2999" w:hanging="171"/>
        <w:spacing w:after="0" w:line="251" w:lineRule="auto"/>
        <w:tabs>
          <w:tab w:leader="none" w:pos="4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you die, your beneficiary will receive the Policy Proceeds. If you are allocated to Indexed Accounts and we calculate the Policy Proceeds on any day other than a Segment Start Date or Segment Maturity Date, your Indexed Account Cash Value will equal the Interim Segment Value, which may be less than if the Indexed Accounts reached their Segment Maturity Dates or if Segment Index Performance was positive.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Limitation on Gains</w:t>
      </w:r>
    </w:p>
    <w:p>
      <w:pPr>
        <w:spacing w:after="0" w:line="90" w:lineRule="exact"/>
        <w:rPr>
          <w:sz w:val="20"/>
          <w:szCs w:val="20"/>
          <w:color w:val="auto"/>
        </w:rPr>
      </w:pPr>
    </w:p>
    <w:p>
      <w:pPr>
        <w:jc w:val="both"/>
        <w:ind w:right="2939" w:firstLine="274"/>
        <w:spacing w:after="0" w:line="251" w:lineRule="auto"/>
        <w:rPr>
          <w:sz w:val="20"/>
          <w:szCs w:val="20"/>
          <w:color w:val="auto"/>
        </w:rPr>
      </w:pPr>
      <w:r>
        <w:rPr>
          <w:rFonts w:ascii="Times New Roman" w:cs="Times New Roman" w:eastAsia="Times New Roman" w:hAnsi="Times New Roman"/>
          <w:sz w:val="14"/>
          <w:szCs w:val="14"/>
          <w:color w:val="auto"/>
        </w:rPr>
        <w:t>The Cap Rate may limit any positive Segment Index Performance used in calculating the Segment Performance Rate on the Segment Maturity Date. This means that the Segment Performance Rate may be lower than the Segment Index Performance because any positive return of the respective Index is subject to a maximum in the form of the Cap Rate. We set Cap Rates at our discretion, subject to the Guaranteed Minimum Cap Rate. You bear the risk that we will not set Cap Rates higher than the Guaranteed Minimum Cap Rate.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Claims-Paying Ability</w:t>
      </w:r>
    </w:p>
    <w:p>
      <w:pPr>
        <w:spacing w:after="0" w:line="9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color w:val="auto"/>
        </w:rPr>
        <w:t>No company other than BLIC has any legal responsibility to pay amounts that BLIC owes under the Policy.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An Owner should look to the financial strength of BLIC for its claims-paying ability.</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 ownership of the underlying securities</w:t>
      </w:r>
    </w:p>
    <w:p>
      <w:pPr>
        <w:spacing w:after="0" w:line="90" w:lineRule="exact"/>
        <w:rPr>
          <w:sz w:val="20"/>
          <w:szCs w:val="20"/>
          <w:color w:val="auto"/>
        </w:rPr>
      </w:pPr>
    </w:p>
    <w:p>
      <w:pPr>
        <w:jc w:val="both"/>
        <w:ind w:right="2939" w:firstLine="274"/>
        <w:spacing w:after="0" w:line="267" w:lineRule="auto"/>
        <w:rPr>
          <w:sz w:val="20"/>
          <w:szCs w:val="20"/>
          <w:color w:val="auto"/>
        </w:rPr>
      </w:pPr>
      <w:r>
        <w:rPr>
          <w:rFonts w:ascii="Times New Roman" w:cs="Times New Roman" w:eastAsia="Times New Roman" w:hAnsi="Times New Roman"/>
          <w:sz w:val="14"/>
          <w:szCs w:val="14"/>
          <w:color w:val="auto"/>
        </w:rPr>
        <w:t>When you purchase the Policy and allocate your Net Premiums to an Indexed Account(s), you will not be investing in the Index or the securities tracked by the Index.</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Surrender—Unsuitable as a Short-Term Savings Vehicle</w:t>
      </w:r>
    </w:p>
    <w:p>
      <w:pPr>
        <w:spacing w:after="0" w:line="90" w:lineRule="exact"/>
        <w:rPr>
          <w:sz w:val="20"/>
          <w:szCs w:val="20"/>
          <w:color w:val="auto"/>
        </w:rPr>
      </w:pPr>
    </w:p>
    <w:p>
      <w:pPr>
        <w:jc w:val="both"/>
        <w:ind w:right="2939" w:firstLine="274"/>
        <w:spacing w:after="0" w:line="249" w:lineRule="auto"/>
        <w:rPr>
          <w:sz w:val="20"/>
          <w:szCs w:val="20"/>
          <w:color w:val="auto"/>
        </w:rPr>
      </w:pPr>
      <w:r>
        <w:rPr>
          <w:rFonts w:ascii="Times New Roman" w:cs="Times New Roman" w:eastAsia="Times New Roman" w:hAnsi="Times New Roman"/>
          <w:sz w:val="14"/>
          <w:szCs w:val="14"/>
          <w:color w:val="auto"/>
        </w:rPr>
        <w:t>If you Surrender the Policy within the first ten years, you will be subject to a Surrender charge as well as income tax on any gain that is distributed or deemed to be distributed from the Policy. If you Surrender the Policy, the Surrender charge could exceed the Cash Value of your Policy and you would receive no proceeds upon Surrender. In addition, if you Surrender your Policy on any day other than a Policy Anniversary date (including to exercise your Free Look Right), any available Cash Surrender Value that is invested in Indexed Accounts will be based on Interim Segment Value.</w:t>
      </w:r>
    </w:p>
    <w:p>
      <w:pPr>
        <w:spacing w:after="0" w:line="68" w:lineRule="exact"/>
        <w:rPr>
          <w:sz w:val="20"/>
          <w:szCs w:val="20"/>
          <w:color w:val="auto"/>
        </w:rPr>
      </w:pPr>
    </w:p>
    <w:p>
      <w:pPr>
        <w:jc w:val="both"/>
        <w:ind w:right="2939" w:firstLine="274"/>
        <w:spacing w:after="0" w:line="307" w:lineRule="auto"/>
        <w:rPr>
          <w:sz w:val="20"/>
          <w:szCs w:val="20"/>
          <w:color w:val="auto"/>
        </w:rPr>
      </w:pPr>
      <w:r>
        <w:rPr>
          <w:rFonts w:ascii="Times New Roman" w:cs="Times New Roman" w:eastAsia="Times New Roman" w:hAnsi="Times New Roman"/>
          <w:sz w:val="13"/>
          <w:szCs w:val="13"/>
          <w:color w:val="auto"/>
        </w:rPr>
        <w:t>Partial withdrawals are not permitted under the Policy. As a result, you may only access your Policy’s Cash Value through loans (including Distribution Payments through the GDR) or by full Surrender of the Policy.</w:t>
      </w:r>
    </w:p>
    <w:p>
      <w:pPr>
        <w:spacing w:after="0" w:line="173"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4"/>
          <w:szCs w:val="14"/>
          <w:color w:val="auto"/>
        </w:rPr>
        <w:t>19</w:t>
      </w:r>
    </w:p>
    <w:p>
      <w:pPr>
        <w:sectPr>
          <w:pgSz w:w="11900" w:h="16838" w:orient="portrait"/>
          <w:cols w:equalWidth="0" w:num="1">
            <w:col w:w="9219"/>
          </w:cols>
          <w:pgMar w:left="1240" w:top="1083" w:right="1440" w:bottom="1440" w:gutter="0" w:footer="0" w:header="0"/>
        </w:sectPr>
      </w:pPr>
    </w:p>
    <w:bookmarkStart w:id="22" w:name="page23"/>
    <w:bookmarkEnd w:id="22"/>
    <w:p>
      <w:pPr>
        <w:jc w:val="both"/>
        <w:ind w:right="2939" w:firstLine="274"/>
        <w:spacing w:after="0" w:line="25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422275</wp:posOffset>
            </wp:positionV>
            <wp:extent cx="719010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90105" cy="38735"/>
                    </a:xfrm>
                    <a:prstGeom prst="rect">
                      <a:avLst/>
                    </a:prstGeom>
                    <a:noFill/>
                  </pic:spPr>
                </pic:pic>
              </a:graphicData>
            </a:graphic>
          </wp:anchor>
        </w:drawing>
        <w:t>You should purchase the Policy only if you have the financial ability to keep it in force for a substantial period of time. You should not purchase the Policy if you intend to Surrender it in the near future. Even if you do not Surrender your Policy, Surrender charges may play a role in determining whether your Policy will lapse (terminate without value), because Surrender charges determine the Cash Surrender Value, which is a measure we use to determine whether your Policy will enter a 62-day grace period (“Grace Period”) and possibly lapse.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 of Lapse</w:t>
      </w:r>
    </w:p>
    <w:p>
      <w:pPr>
        <w:spacing w:after="0" w:line="90" w:lineRule="exact"/>
        <w:rPr>
          <w:sz w:val="20"/>
          <w:szCs w:val="20"/>
          <w:color w:val="auto"/>
        </w:rPr>
      </w:pPr>
    </w:p>
    <w:p>
      <w:pPr>
        <w:jc w:val="both"/>
        <w:ind w:right="2939" w:firstLine="274"/>
        <w:spacing w:after="0" w:line="256" w:lineRule="auto"/>
        <w:rPr>
          <w:sz w:val="20"/>
          <w:szCs w:val="20"/>
          <w:color w:val="auto"/>
        </w:rPr>
      </w:pPr>
      <w:r>
        <w:rPr>
          <w:rFonts w:ascii="Times New Roman" w:cs="Times New Roman" w:eastAsia="Times New Roman" w:hAnsi="Times New Roman"/>
          <w:sz w:val="14"/>
          <w:szCs w:val="14"/>
          <w:color w:val="auto"/>
        </w:rPr>
        <w:t>You select a Planned Premium Payment schedule, which consists of a first-year premium amount and an amount for subsequent premium payments. This schedule appears in your Policy. Your Planned Premium Payments may not be sufficient to keep your Policy in force and avoid lapse.</w:t>
      </w:r>
    </w:p>
    <w:p>
      <w:pPr>
        <w:spacing w:after="0" w:line="71" w:lineRule="exact"/>
        <w:rPr>
          <w:sz w:val="20"/>
          <w:szCs w:val="20"/>
          <w:color w:val="auto"/>
        </w:rPr>
      </w:pPr>
    </w:p>
    <w:p>
      <w:pPr>
        <w:jc w:val="both"/>
        <w:ind w:right="2939" w:firstLine="274"/>
        <w:spacing w:after="0" w:line="249" w:lineRule="auto"/>
        <w:rPr>
          <w:sz w:val="20"/>
          <w:szCs w:val="20"/>
          <w:color w:val="auto"/>
        </w:rPr>
      </w:pPr>
      <w:r>
        <w:rPr>
          <w:rFonts w:ascii="Times New Roman" w:cs="Times New Roman" w:eastAsia="Times New Roman" w:hAnsi="Times New Roman"/>
          <w:sz w:val="14"/>
          <w:szCs w:val="14"/>
          <w:color w:val="auto"/>
        </w:rPr>
        <w:t>If the GDR has been terminated, your Policy may lapse if you have paid an insufficient amount of premiums and your Cash Surrender Value is not enough to pay the Annual Deduction. If this happens, your Policy may enter a 62-day Grace Period. We will notify you that the Policy will lapse unless you make a sufficient payment of additional premium during the Grace Period. If your Policy does lapse, your insurance coverage will terminate. No Policy Proceeds will be payable. Lapse of a Policy on which there is an outstanding loan may have adverse tax consequences.</w:t>
      </w:r>
    </w:p>
    <w:p>
      <w:pPr>
        <w:spacing w:after="0" w:line="68" w:lineRule="exact"/>
        <w:rPr>
          <w:sz w:val="20"/>
          <w:szCs w:val="20"/>
          <w:color w:val="auto"/>
        </w:rPr>
      </w:pPr>
    </w:p>
    <w:p>
      <w:pPr>
        <w:jc w:val="both"/>
        <w:ind w:right="2939" w:firstLine="274"/>
        <w:spacing w:after="0" w:line="252" w:lineRule="auto"/>
        <w:rPr>
          <w:sz w:val="20"/>
          <w:szCs w:val="20"/>
          <w:color w:val="auto"/>
        </w:rPr>
      </w:pPr>
      <w:r>
        <w:rPr>
          <w:rFonts w:ascii="Times New Roman" w:cs="Times New Roman" w:eastAsia="Times New Roman" w:hAnsi="Times New Roman"/>
          <w:sz w:val="14"/>
          <w:szCs w:val="14"/>
          <w:color w:val="auto"/>
        </w:rPr>
        <w:t>While the GDR is in force, the Lifetime Lapse Prevention Benefit guarantees your Policy will not lapse. However, if premiums paid to date are less than the accumulated Annual Lapse Prevention Premiums due since the Policy Start Date, you have the Grace period to pay the difference and the Excess Loan amount, if any. If this payment is not made within the 62-day Grace Period, the GDR will terminate, and your Policy may lapse.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GDR Risks</w:t>
      </w:r>
    </w:p>
    <w:p>
      <w:pPr>
        <w:spacing w:after="0" w:line="90" w:lineRule="exact"/>
        <w:rPr>
          <w:sz w:val="20"/>
          <w:szCs w:val="20"/>
          <w:color w:val="auto"/>
        </w:rPr>
      </w:pPr>
    </w:p>
    <w:p>
      <w:pPr>
        <w:jc w:val="both"/>
        <w:ind w:right="2939" w:firstLine="274"/>
        <w:spacing w:after="0" w:line="278" w:lineRule="auto"/>
        <w:rPr>
          <w:sz w:val="20"/>
          <w:szCs w:val="20"/>
          <w:color w:val="auto"/>
        </w:rPr>
      </w:pPr>
      <w:r>
        <w:rPr>
          <w:rFonts w:ascii="Times New Roman" w:cs="Times New Roman" w:eastAsia="Times New Roman" w:hAnsi="Times New Roman"/>
          <w:sz w:val="13"/>
          <w:szCs w:val="13"/>
          <w:color w:val="auto"/>
        </w:rPr>
        <w:t>The GDR is automatically included with your Policy for a charge. Distribution Payments cannot begin until the Policy has been in force for at least 10 years, your Policy cannot be a MEC and you must repay any outstanding Policy Loan Balance. Distribution Payments are subject to minimum and maximum distribution amounts. Distribution Payments are treated as loans and reduce your unloaned Cash Value and Policy Proceeds.</w:t>
      </w:r>
    </w:p>
    <w:p>
      <w:pPr>
        <w:spacing w:after="0" w:line="48" w:lineRule="exact"/>
        <w:rPr>
          <w:sz w:val="20"/>
          <w:szCs w:val="20"/>
          <w:color w:val="auto"/>
        </w:rPr>
      </w:pPr>
    </w:p>
    <w:p>
      <w:pPr>
        <w:jc w:val="both"/>
        <w:ind w:right="2939" w:firstLine="274"/>
        <w:spacing w:after="0" w:line="249" w:lineRule="auto"/>
        <w:rPr>
          <w:sz w:val="20"/>
          <w:szCs w:val="20"/>
          <w:color w:val="auto"/>
        </w:rPr>
      </w:pPr>
      <w:r>
        <w:rPr>
          <w:rFonts w:ascii="Times New Roman" w:cs="Times New Roman" w:eastAsia="Times New Roman" w:hAnsi="Times New Roman"/>
          <w:sz w:val="14"/>
          <w:szCs w:val="14"/>
          <w:color w:val="auto"/>
        </w:rPr>
        <w:t>There are circumstances that, on their own, will terminate the GDR. The GDR will terminate the date an additional loan is taken outside of your scheduled Distribution Payments, if the One-time Payment is not available, or that additional loan exceeds the One-time Payment (if available). If you request an amount that exceeds the One-time Payment, your request will not be considered in Good Order. We will contact you to ask if you want to change the One-time Payment amount to an amount that does not exceed the maximum One-time Payment or confirm that you want to process the request using the original amount, which will terminate the GDR. Your request will not be in Good Order until we confirm your instructions or receive new ones.</w:t>
      </w:r>
    </w:p>
    <w:p>
      <w:pPr>
        <w:spacing w:after="0" w:line="65" w:lineRule="exact"/>
        <w:rPr>
          <w:sz w:val="20"/>
          <w:szCs w:val="20"/>
          <w:color w:val="auto"/>
        </w:rPr>
      </w:pPr>
    </w:p>
    <w:p>
      <w:pPr>
        <w:jc w:val="both"/>
        <w:ind w:right="2939" w:firstLine="274"/>
        <w:spacing w:after="0" w:line="267" w:lineRule="auto"/>
        <w:rPr>
          <w:sz w:val="20"/>
          <w:szCs w:val="20"/>
          <w:color w:val="auto"/>
        </w:rPr>
      </w:pPr>
      <w:r>
        <w:rPr>
          <w:rFonts w:ascii="Times New Roman" w:cs="Times New Roman" w:eastAsia="Times New Roman" w:hAnsi="Times New Roman"/>
          <w:sz w:val="14"/>
          <w:szCs w:val="14"/>
          <w:color w:val="auto"/>
        </w:rPr>
        <w:t>In addition, the GDR will terminate if the Policy terminates or if premiums paid are less than the accumulated Annual Lapse Prevention Premiums due since the Policy Start Date.</w:t>
      </w:r>
    </w:p>
    <w:p>
      <w:pPr>
        <w:spacing w:after="0" w:line="53" w:lineRule="exact"/>
        <w:rPr>
          <w:sz w:val="20"/>
          <w:szCs w:val="20"/>
          <w:color w:val="auto"/>
        </w:rPr>
      </w:pPr>
    </w:p>
    <w:p>
      <w:pPr>
        <w:jc w:val="both"/>
        <w:ind w:right="2939" w:firstLine="274"/>
        <w:spacing w:after="0" w:line="267" w:lineRule="auto"/>
        <w:rPr>
          <w:sz w:val="20"/>
          <w:szCs w:val="20"/>
          <w:color w:val="auto"/>
        </w:rPr>
      </w:pPr>
      <w:r>
        <w:rPr>
          <w:rFonts w:ascii="Times New Roman" w:cs="Times New Roman" w:eastAsia="Times New Roman" w:hAnsi="Times New Roman"/>
          <w:sz w:val="14"/>
          <w:szCs w:val="14"/>
          <w:color w:val="auto"/>
        </w:rPr>
        <w:t>Distribution Payments will also terminate if your Policy becomes a MEC or you exercise the Accelerated Death Benefit or reach Attained Age 121.</w:t>
      </w:r>
    </w:p>
    <w:p>
      <w:pPr>
        <w:spacing w:after="0" w:line="53" w:lineRule="exact"/>
        <w:rPr>
          <w:sz w:val="20"/>
          <w:szCs w:val="20"/>
          <w:color w:val="auto"/>
        </w:rPr>
      </w:pPr>
    </w:p>
    <w:p>
      <w:pPr>
        <w:jc w:val="both"/>
        <w:ind w:right="2939" w:firstLine="274"/>
        <w:spacing w:after="0" w:line="248" w:lineRule="auto"/>
        <w:rPr>
          <w:sz w:val="20"/>
          <w:szCs w:val="20"/>
          <w:color w:val="auto"/>
        </w:rPr>
      </w:pPr>
      <w:r>
        <w:rPr>
          <w:rFonts w:ascii="Times New Roman" w:cs="Times New Roman" w:eastAsia="Times New Roman" w:hAnsi="Times New Roman"/>
          <w:sz w:val="14"/>
          <w:szCs w:val="14"/>
          <w:color w:val="auto"/>
        </w:rPr>
        <w:t>When you begin receiving Distribution Payments, any Cash Value in the Indexed Accounts and Holding Accounts will be transferred into the Fixed Account. While you are receiving Distribution Payments, you cannot transfer or allocate Cash Value to the Indexed Accounts. This means you will no longer be invested in any of the Indexed Accounts, and you will no longer be exposed to any potential positive market investment performance. In addition, you will no longer be eligible to make premium payments. If you choose to start (or restart) Distribution Payments on any day other than a Policy Anniversary date, any Indexed Account Cash Value transferred to the Fixed Account will be based on Interim Segment Value, which could be significantly less than if you waited to the Segment Maturity Date.</w:t>
      </w:r>
    </w:p>
    <w:p>
      <w:pPr>
        <w:spacing w:after="0" w:line="68" w:lineRule="exact"/>
        <w:rPr>
          <w:sz w:val="20"/>
          <w:szCs w:val="20"/>
          <w:color w:val="auto"/>
        </w:rPr>
      </w:pPr>
    </w:p>
    <w:p>
      <w:pPr>
        <w:jc w:val="both"/>
        <w:ind w:right="2939" w:firstLine="274"/>
        <w:spacing w:after="0" w:line="249" w:lineRule="auto"/>
        <w:rPr>
          <w:sz w:val="20"/>
          <w:szCs w:val="20"/>
          <w:color w:val="auto"/>
        </w:rPr>
      </w:pPr>
      <w:r>
        <w:rPr>
          <w:rFonts w:ascii="Times New Roman" w:cs="Times New Roman" w:eastAsia="Times New Roman" w:hAnsi="Times New Roman"/>
          <w:sz w:val="14"/>
          <w:szCs w:val="14"/>
          <w:color w:val="auto"/>
        </w:rPr>
        <w:t>When you start Distribution Payments, even though you are no longer allocated to any Indexed Account, we will not refund any portion of your Annual Indexed Account Charge. On the next Policy Anniversary, your Annual Deduction will not include an Annual Indexed Account Charge if all your unloaned Cash Value is in the Fixed Account. If you stop receiving Distribution Payments and instruct us to transfer amounts from the Fixed Account to one or more Indexed Accounts, the transfer will take effect on the next Policy Anniversary, and you will be assessed an Annual Indexed Account Charge as part of the Annual Deduction.</w:t>
      </w:r>
    </w:p>
    <w:p>
      <w:pPr>
        <w:spacing w:after="0" w:line="68" w:lineRule="exact"/>
        <w:rPr>
          <w:sz w:val="20"/>
          <w:szCs w:val="20"/>
          <w:color w:val="auto"/>
        </w:rPr>
      </w:pPr>
    </w:p>
    <w:p>
      <w:pPr>
        <w:jc w:val="both"/>
        <w:ind w:right="2939" w:firstLine="274"/>
        <w:spacing w:after="0" w:line="251" w:lineRule="auto"/>
        <w:rPr>
          <w:sz w:val="20"/>
          <w:szCs w:val="20"/>
          <w:color w:val="auto"/>
        </w:rPr>
      </w:pPr>
      <w:r>
        <w:rPr>
          <w:rFonts w:ascii="Times New Roman" w:cs="Times New Roman" w:eastAsia="Times New Roman" w:hAnsi="Times New Roman"/>
          <w:sz w:val="14"/>
          <w:szCs w:val="14"/>
          <w:color w:val="auto"/>
        </w:rPr>
        <w:t>If you suspend Distribution Payments, you may not restart Distribution Payments until the suspension is in effect at least one year from the date of your last Distribution Payment. If it has been less than one year since you received your last Distribution Payment and you request a loan, we will treat this loan as your One-time Payment, as long as you have not already received your One-time Payment. If the loan amount taken exceeds the One-time Payment amount available at the</w:t>
      </w:r>
    </w:p>
    <w:p>
      <w:pPr>
        <w:spacing w:after="0" w:line="207"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4"/>
          <w:szCs w:val="14"/>
          <w:color w:val="auto"/>
        </w:rPr>
        <w:t>20</w:t>
      </w:r>
    </w:p>
    <w:p>
      <w:pPr>
        <w:sectPr>
          <w:pgSz w:w="11900" w:h="16838" w:orient="portrait"/>
          <w:cols w:equalWidth="0" w:num="1">
            <w:col w:w="9219"/>
          </w:cols>
          <w:pgMar w:left="1240" w:top="1083" w:right="1440" w:bottom="1440" w:gutter="0" w:footer="0" w:header="0"/>
        </w:sectPr>
      </w:pPr>
    </w:p>
    <w:bookmarkStart w:id="23" w:name="page24"/>
    <w:bookmarkEnd w:id="23"/>
    <w:p>
      <w:pPr>
        <w:jc w:val="both"/>
        <w:ind w:right="2939"/>
        <w:spacing w:after="0" w:line="256"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422275</wp:posOffset>
            </wp:positionV>
            <wp:extent cx="719010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90105" cy="38735"/>
                    </a:xfrm>
                    <a:prstGeom prst="rect">
                      <a:avLst/>
                    </a:prstGeom>
                    <a:noFill/>
                  </pic:spPr>
                </pic:pic>
              </a:graphicData>
            </a:graphic>
          </wp:anchor>
        </w:drawing>
        <w:t>time of your request, we will process the loan, however the GDR will terminate. If the One-time Payment is not available and you request a loan during the one-year suspension period, we will process the loan, however the GDR will terminate.</w:t>
      </w:r>
    </w:p>
    <w:p>
      <w:pPr>
        <w:spacing w:after="0" w:line="71" w:lineRule="exact"/>
        <w:rPr>
          <w:sz w:val="20"/>
          <w:szCs w:val="20"/>
          <w:color w:val="auto"/>
        </w:rPr>
      </w:pPr>
    </w:p>
    <w:p>
      <w:pPr>
        <w:jc w:val="both"/>
        <w:ind w:right="2939" w:firstLine="274"/>
        <w:spacing w:after="0" w:line="267" w:lineRule="auto"/>
        <w:rPr>
          <w:sz w:val="20"/>
          <w:szCs w:val="20"/>
          <w:color w:val="auto"/>
        </w:rPr>
      </w:pPr>
      <w:r>
        <w:rPr>
          <w:rFonts w:ascii="Times New Roman" w:cs="Times New Roman" w:eastAsia="Times New Roman" w:hAnsi="Times New Roman"/>
          <w:sz w:val="14"/>
          <w:szCs w:val="14"/>
          <w:color w:val="auto"/>
        </w:rPr>
        <w:t>You should consult with your attorney or qualified tax advisor to determine the tax consequences of the GDR and the Policy. See, “FEDERAL TAX CONSIDERATIONS” section.</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Limitations on Transfers</w:t>
      </w:r>
    </w:p>
    <w:p>
      <w:pPr>
        <w:spacing w:after="0" w:line="100" w:lineRule="exact"/>
        <w:rPr>
          <w:sz w:val="20"/>
          <w:szCs w:val="20"/>
          <w:color w:val="auto"/>
        </w:rPr>
      </w:pPr>
    </w:p>
    <w:p>
      <w:pPr>
        <w:jc w:val="both"/>
        <w:ind w:right="2939" w:firstLine="274"/>
        <w:spacing w:after="0" w:line="249" w:lineRule="auto"/>
        <w:rPr>
          <w:sz w:val="20"/>
          <w:szCs w:val="20"/>
          <w:color w:val="auto"/>
        </w:rPr>
      </w:pPr>
      <w:r>
        <w:rPr>
          <w:rFonts w:ascii="Times New Roman" w:cs="Times New Roman" w:eastAsia="Times New Roman" w:hAnsi="Times New Roman"/>
          <w:sz w:val="14"/>
          <w:szCs w:val="14"/>
          <w:color w:val="auto"/>
        </w:rPr>
        <w:t>Transfers among the Fixed Account, the Holding Accounts, and the Indexed Account(s) occur on the Policy Anniversary. This means you cannot transfer out of a current Indexed Account, Holding Account, or the Fixed Account until the Policy Anniversary. Any amounts transferred can only be transferred to new Indexed Accounts or the Fixed Account. This may limit your ability to react to market conditions. Under our current administrative procedures, we will allow you to make transfers during the Transfer Period, and we will treat the transfer as if it occurred on the Policy Anniversary. Holding Accounts are not available for direct investments; they are accounts for temporarily holding Cash Value until the next Policy Anniversary.</w:t>
      </w:r>
    </w:p>
    <w:p>
      <w:pPr>
        <w:spacing w:after="0" w:line="65" w:lineRule="exact"/>
        <w:rPr>
          <w:sz w:val="20"/>
          <w:szCs w:val="20"/>
          <w:color w:val="auto"/>
        </w:rPr>
      </w:pPr>
    </w:p>
    <w:p>
      <w:pPr>
        <w:jc w:val="both"/>
        <w:ind w:right="2939" w:firstLine="274"/>
        <w:spacing w:after="0" w:line="268" w:lineRule="auto"/>
        <w:rPr>
          <w:sz w:val="20"/>
          <w:szCs w:val="20"/>
          <w:color w:val="auto"/>
        </w:rPr>
      </w:pPr>
      <w:r>
        <w:rPr>
          <w:rFonts w:ascii="Times New Roman" w:cs="Times New Roman" w:eastAsia="Times New Roman" w:hAnsi="Times New Roman"/>
          <w:sz w:val="13"/>
          <w:szCs w:val="13"/>
          <w:color w:val="auto"/>
        </w:rPr>
        <w:t>In addition, you should understand that for renewals into the same Indexed Account, a new Cap Rate will go into effect on the Policy Anniversary that coincides with the beginning of the new Segment. Moreover, at the Segment Maturity Date, the Segment Value allocated to the Indexed Account that has reached its Segment Maturity Date will be automatically renewed into the same Indexed Account unless you instruct us to transfer such amount into a different Indexed Account(s) or the Fixed Account or have elected the automatic Cash Value rebalancing program. The request must be received at our Administrative Office. See “REQUESTS AND ELECTIONS.” Under our current administrative Procedures, you have the Transfer Period to notify us that you want to transfer some or all of your Segment Value to a new Indexed Account(s) or the Fixed Account. Failure to provide such instructions during the Transfer Period will result in an automatic renewal for the duration of the new Segment Term, which is a period of one (1) year. You cannot allocate or transfer Cash Value to the Indexed Accounts while you are receiving Distribution Payments under the GDR. See the “TRANSFERS” section.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Associated with the Referenced Indices</w:t>
      </w:r>
    </w:p>
    <w:p>
      <w:pPr>
        <w:spacing w:after="0" w:line="90" w:lineRule="exact"/>
        <w:rPr>
          <w:sz w:val="20"/>
          <w:szCs w:val="20"/>
          <w:color w:val="auto"/>
        </w:rPr>
      </w:pPr>
    </w:p>
    <w:p>
      <w:pPr>
        <w:jc w:val="both"/>
        <w:ind w:right="2939" w:firstLine="274"/>
        <w:spacing w:after="0" w:line="244" w:lineRule="auto"/>
        <w:rPr>
          <w:sz w:val="20"/>
          <w:szCs w:val="20"/>
          <w:color w:val="auto"/>
        </w:rPr>
      </w:pPr>
      <w:r>
        <w:rPr>
          <w:rFonts w:ascii="Times New Roman" w:cs="Times New Roman" w:eastAsia="Times New Roman" w:hAnsi="Times New Roman"/>
          <w:sz w:val="14"/>
          <w:szCs w:val="14"/>
          <w:color w:val="auto"/>
        </w:rPr>
        <w:t>Each of the reference Indices is a “price return index," not a “total return index," and therefore does not reflect dividends declared by any of the component companies in the Index. This will reduce the Segment Index Performance and will cause the Index to underperform a direct investment in the securities composing the Index. Because the S&amp;P 500</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4"/>
          <w:szCs w:val="14"/>
          <w:color w:val="auto"/>
        </w:rPr>
        <w:t xml:space="preserve"> Index (Price Return Index), the Russell 2000</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4"/>
          <w:szCs w:val="14"/>
          <w:color w:val="auto"/>
        </w:rPr>
        <w:t xml:space="preserve"> Index (Price Return Index) and the MSCI EAFE Index (Price Return Index) are each comprised of a collection of equity securities, in each case the value of the component securities is subject to market risk, or the risk that market fluctuations may cause the value of the component securities to go up or down, sometimes rapidly and unpredictably. In addition, the value of equity securities may increase or decline for reasons directly related to the issuers of the securities. (See “INDICES” and “BUFFER RATES.”)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addition, each index has its own unique risks, as follows:</w:t>
      </w:r>
    </w:p>
    <w:p>
      <w:pPr>
        <w:spacing w:after="0" w:line="70" w:lineRule="exact"/>
        <w:rPr>
          <w:sz w:val="20"/>
          <w:szCs w:val="20"/>
          <w:color w:val="auto"/>
        </w:rPr>
      </w:pPr>
    </w:p>
    <w:p>
      <w:pPr>
        <w:jc w:val="both"/>
        <w:ind w:left="440" w:right="2999" w:hanging="171"/>
        <w:spacing w:after="0" w:line="252" w:lineRule="auto"/>
        <w:tabs>
          <w:tab w:leader="none" w:pos="4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S&amp;P 500® Index. </w:t>
      </w:r>
      <w:r>
        <w:rPr>
          <w:rFonts w:ascii="Times New Roman" w:cs="Times New Roman" w:eastAsia="Times New Roman" w:hAnsi="Times New Roman"/>
          <w:sz w:val="14"/>
          <w:szCs w:val="14"/>
          <w:color w:val="auto"/>
        </w:rPr>
        <w:t>This index is composed of equity securities issued by large-capitalization (“large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cap”) U.S. companies. In general, it is more difficult for large-cap companies to pivot their strategies quickly in response to changes in their industry. In addition, because they typically are more well-established, it is rare to see large-cap companies have the high growth rates that can be seen with successful small-capitalization (“small cap”) companies.</w:t>
      </w:r>
    </w:p>
    <w:p>
      <w:pPr>
        <w:spacing w:after="0" w:line="59" w:lineRule="exact"/>
        <w:rPr>
          <w:rFonts w:ascii="Times New Roman" w:cs="Times New Roman" w:eastAsia="Times New Roman" w:hAnsi="Times New Roman"/>
          <w:sz w:val="14"/>
          <w:szCs w:val="14"/>
          <w:color w:val="auto"/>
        </w:rPr>
      </w:pPr>
    </w:p>
    <w:p>
      <w:pPr>
        <w:jc w:val="both"/>
        <w:ind w:left="440" w:right="2999" w:hanging="171"/>
        <w:spacing w:after="0" w:line="259" w:lineRule="auto"/>
        <w:tabs>
          <w:tab w:leader="none" w:pos="4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Russell 2000® Index. </w:t>
      </w:r>
      <w:r>
        <w:rPr>
          <w:rFonts w:ascii="Times New Roman" w:cs="Times New Roman" w:eastAsia="Times New Roman" w:hAnsi="Times New Roman"/>
          <w:sz w:val="14"/>
          <w:szCs w:val="14"/>
          <w:color w:val="auto"/>
        </w:rPr>
        <w:t>This index is composed of equity securities of small-cap U.S. companies.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Generally, the securities of small-cap companies are more volatile and riskier than the securities of larger companies. Small-cap companies are more likely to fail than larger companies.</w:t>
      </w:r>
    </w:p>
    <w:p>
      <w:pPr>
        <w:spacing w:after="0" w:line="54" w:lineRule="exact"/>
        <w:rPr>
          <w:rFonts w:ascii="Times New Roman" w:cs="Times New Roman" w:eastAsia="Times New Roman" w:hAnsi="Times New Roman"/>
          <w:sz w:val="14"/>
          <w:szCs w:val="14"/>
          <w:color w:val="auto"/>
        </w:rPr>
      </w:pPr>
    </w:p>
    <w:p>
      <w:pPr>
        <w:jc w:val="both"/>
        <w:ind w:left="440" w:right="2999" w:hanging="171"/>
        <w:spacing w:after="0" w:line="270" w:lineRule="auto"/>
        <w:tabs>
          <w:tab w:leader="none" w:pos="44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MSCI EAFE Index. </w:t>
      </w:r>
      <w:r>
        <w:rPr>
          <w:rFonts w:ascii="Times New Roman" w:cs="Times New Roman" w:eastAsia="Times New Roman" w:hAnsi="Times New Roman"/>
          <w:sz w:val="13"/>
          <w:szCs w:val="13"/>
          <w:color w:val="auto"/>
        </w:rPr>
        <w:t>The MSCI EAFE Index is comprised of equity securities of large- and mid-capitalization (“mid-cap”) companies and it is designed to measure the equity market performance of developed markets, including countries in Europe, Australia, and the Far East. In general, large-cap companies may be unable to respond quickly in response to changes in their industry and new competitive challenges and may not be able to attain the high growth rates of successful smaller companies. The securities of mid-cap companies may be more volatile and may involve more risk than the securities of larger companies. Securities issued by non-U.S. companies (including related depositary receipts) are subject to the risks related to investments in foreign markets (e.g., increased price volatility; changing currency exchange rates; and greater political, regulatory, and economic uncertainty).</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Availability of Indexed Accounts</w:t>
      </w:r>
    </w:p>
    <w:p>
      <w:pPr>
        <w:spacing w:after="0" w:line="90" w:lineRule="exact"/>
        <w:rPr>
          <w:sz w:val="20"/>
          <w:szCs w:val="20"/>
          <w:color w:val="auto"/>
        </w:rPr>
      </w:pPr>
    </w:p>
    <w:p>
      <w:pPr>
        <w:jc w:val="both"/>
        <w:ind w:right="2939" w:firstLine="274"/>
        <w:spacing w:after="0" w:line="252" w:lineRule="auto"/>
        <w:rPr>
          <w:sz w:val="20"/>
          <w:szCs w:val="20"/>
          <w:color w:val="auto"/>
        </w:rPr>
      </w:pPr>
      <w:r>
        <w:rPr>
          <w:rFonts w:ascii="Times New Roman" w:cs="Times New Roman" w:eastAsia="Times New Roman" w:hAnsi="Times New Roman"/>
          <w:sz w:val="14"/>
          <w:szCs w:val="14"/>
          <w:color w:val="auto"/>
        </w:rPr>
        <w:t>Your selling firm may limit the Indexed Accounts available through that firm when your Policy is issued or at Segment Maturity Date. Additionally, we may discontinue our use of an Index at any time. After the Policy is issued, there will always be one Indexed Account available with a minimum of 5% of downside protection. Consequently, a particular Indexed Account</w:t>
      </w:r>
    </w:p>
    <w:p>
      <w:pPr>
        <w:spacing w:after="0" w:line="208"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4"/>
          <w:szCs w:val="14"/>
          <w:color w:val="auto"/>
        </w:rPr>
        <w:t>21</w:t>
      </w:r>
    </w:p>
    <w:p>
      <w:pPr>
        <w:sectPr>
          <w:pgSz w:w="11900" w:h="16838" w:orient="portrait"/>
          <w:cols w:equalWidth="0" w:num="1">
            <w:col w:w="9219"/>
          </w:cols>
          <w:pgMar w:left="1240" w:top="1083" w:right="1440" w:bottom="1440" w:gutter="0" w:footer="0" w:header="0"/>
        </w:sectPr>
      </w:pPr>
    </w:p>
    <w:bookmarkStart w:id="24" w:name="page25"/>
    <w:bookmarkEnd w:id="24"/>
    <w:p>
      <w:pPr>
        <w:jc w:val="both"/>
        <w:ind w:right="2939"/>
        <w:spacing w:after="0" w:line="256"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422275</wp:posOffset>
            </wp:positionV>
            <wp:extent cx="719010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90105" cy="38735"/>
                    </a:xfrm>
                    <a:prstGeom prst="rect">
                      <a:avLst/>
                    </a:prstGeom>
                    <a:noFill/>
                  </pic:spPr>
                </pic:pic>
              </a:graphicData>
            </a:graphic>
          </wp:anchor>
        </w:drawing>
        <w:t>may not be available for you to transfer your Segment Value, or the Cash Value in the Fixed Account (“Fixed Account Cash Value”) into after a Segment Maturity Date. You cannot allocate or transfer Cash Value to the Indexed Accounts while you are receiving Distribution Payments under the GDR.</w:t>
      </w:r>
    </w:p>
    <w:p>
      <w:pPr>
        <w:spacing w:after="0" w:line="71" w:lineRule="exact"/>
        <w:rPr>
          <w:sz w:val="20"/>
          <w:szCs w:val="20"/>
          <w:color w:val="auto"/>
        </w:rPr>
      </w:pPr>
    </w:p>
    <w:p>
      <w:pPr>
        <w:jc w:val="both"/>
        <w:ind w:right="2939" w:firstLine="274"/>
        <w:spacing w:after="0" w:line="249" w:lineRule="auto"/>
        <w:rPr>
          <w:sz w:val="20"/>
          <w:szCs w:val="20"/>
          <w:color w:val="auto"/>
        </w:rPr>
      </w:pPr>
      <w:r>
        <w:rPr>
          <w:rFonts w:ascii="Times New Roman" w:cs="Times New Roman" w:eastAsia="Times New Roman" w:hAnsi="Times New Roman"/>
          <w:sz w:val="14"/>
          <w:szCs w:val="14"/>
          <w:color w:val="auto"/>
        </w:rPr>
        <w:t>If we were to offer only one Indexed Account, you would be limited to investing in that one Indexed Account. If that Indexed Account does not meet your investment objectives or financial goals, you could transfer to the Fixed Account (subject to applicable conditions described in the “TRANSFERS” section, including the requirement to remain invested in the Fixed Account until the next Policy Anniversary), Surrender your Policy and/or invest in another investment vehicle. If you Surrender your Policy, you might incur Surrender charges, taxes, tax penalties or other adjustments. If you invest in another investment vehicle, that investment may have different features, fees and risks than your Policy.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An Indexed Account may be Substituted</w:t>
      </w:r>
    </w:p>
    <w:p>
      <w:pPr>
        <w:spacing w:after="0" w:line="100" w:lineRule="exact"/>
        <w:rPr>
          <w:sz w:val="20"/>
          <w:szCs w:val="20"/>
          <w:color w:val="auto"/>
        </w:rPr>
      </w:pPr>
    </w:p>
    <w:p>
      <w:pPr>
        <w:jc w:val="both"/>
        <w:ind w:right="2939" w:firstLine="274"/>
        <w:spacing w:after="0" w:line="246" w:lineRule="auto"/>
        <w:rPr>
          <w:sz w:val="20"/>
          <w:szCs w:val="20"/>
          <w:color w:val="auto"/>
        </w:rPr>
      </w:pPr>
      <w:r>
        <w:rPr>
          <w:rFonts w:ascii="Times New Roman" w:cs="Times New Roman" w:eastAsia="Times New Roman" w:hAnsi="Times New Roman"/>
          <w:sz w:val="14"/>
          <w:szCs w:val="14"/>
          <w:color w:val="auto"/>
        </w:rPr>
        <w:t>In addition to reserving the right to discontinue the use of an Index, we have the right to substitute a comparable index prior to the Segment Maturity if any Index is discontinued or we determine that our use of such Index should be discontinued because we are no longer licensed to use the Index, the method of calculation of the Closing Value of the Index is substantially changed, or if Index values become unavailable for any reason. We would attempt to choose a substitute Index that has a similar investment objective and risk profile to the replaced Index. In the event that a similar index is not found, we will substitute the original Index with a domestic or international broad-based securities market index. An Indexed Account will not end prior to the Segment Maturity End Date due to our inability to find a similar index. The substituted Index may not be acceptable to you, and you will be unable to transfer your Indexed Account Cash Value in the associated Indexed Account to another Indexed Account(s) or the Fixed Account (if available) until the Transfer Period coinciding with the Segment Maturity Date. If you no longer want to remain invested in that Indexed Account for the remainder of the Segment Term, your only option will be to Surrender the Policy. See “Risk of Loss” above for more information about the risks of withdrawals based on Interim Segment Value. Additionally, you might incur surrender charges and taxes. Upon substitution of an Index, we will calculate your Segment Index Performance on the replaced Index up until the date of substitution and the substitute Index from the date of substitution to the Policy Anniversary. An Index substitution will not change the Buffer Rate or Cap Rate for an existing Indexed Account. The performance of the new Index may not be as good as the one that it substituted and as a result your Segment Index Performance may have been better if there had been no substitution.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Tax Risks</w:t>
      </w:r>
    </w:p>
    <w:p>
      <w:pPr>
        <w:spacing w:after="0" w:line="90" w:lineRule="exact"/>
        <w:rPr>
          <w:sz w:val="20"/>
          <w:szCs w:val="20"/>
          <w:color w:val="auto"/>
        </w:rPr>
      </w:pPr>
    </w:p>
    <w:p>
      <w:pPr>
        <w:jc w:val="both"/>
        <w:ind w:right="2939" w:firstLine="274"/>
        <w:spacing w:after="0" w:line="249" w:lineRule="auto"/>
        <w:rPr>
          <w:sz w:val="20"/>
          <w:szCs w:val="20"/>
          <w:color w:val="auto"/>
        </w:rPr>
      </w:pPr>
      <w:r>
        <w:rPr>
          <w:rFonts w:ascii="Times New Roman" w:cs="Times New Roman" w:eastAsia="Times New Roman" w:hAnsi="Times New Roman"/>
          <w:sz w:val="14"/>
          <w:szCs w:val="14"/>
          <w:color w:val="auto"/>
        </w:rPr>
        <w:t>We anticipate that the Policy should be deemed to be a life insurance policy under Federal tax law. However, the rules are not entirely clear in certain circumstances. The insurance proceeds payable on the death of the Insured will never be less than the minimum amount required for the Policy to be treated as life insurance under section 7702 of The Internal Revenue Code of 1986, as amended (the “Code”), as in effect on the date the Policy was issued. If your Policy is not treated as a life insurance policy under Federal tax law, increases in the Policy’s Cash Value will be taxed on a current basis.</w:t>
      </w:r>
    </w:p>
    <w:p>
      <w:pPr>
        <w:spacing w:after="0" w:line="78" w:lineRule="exact"/>
        <w:rPr>
          <w:sz w:val="20"/>
          <w:szCs w:val="20"/>
          <w:color w:val="auto"/>
        </w:rPr>
      </w:pPr>
    </w:p>
    <w:p>
      <w:pPr>
        <w:jc w:val="both"/>
        <w:ind w:right="2939" w:firstLine="274"/>
        <w:spacing w:after="0" w:line="249" w:lineRule="auto"/>
        <w:rPr>
          <w:sz w:val="20"/>
          <w:szCs w:val="20"/>
          <w:color w:val="auto"/>
        </w:rPr>
      </w:pPr>
      <w:r>
        <w:rPr>
          <w:rFonts w:ascii="Times New Roman" w:cs="Times New Roman" w:eastAsia="Times New Roman" w:hAnsi="Times New Roman"/>
          <w:sz w:val="14"/>
          <w:szCs w:val="14"/>
          <w:color w:val="auto"/>
        </w:rPr>
        <w:t>Even if your Policy is treated as a life insurance policy for Federal tax purposes, it may become a modified endowment contract, for example, due to the payment of excess premiums or due to a reduction in your death benefit. If your Policy becomes a modified endowment contract, Surrenders, loans, and use of the Policy as collateral for a loan will be treated as a distribution of the earnings in the Policy and will be taxable as ordinary income to the extent thereof. In addition, if the Policy Owner is under age 59½ at the time of the Surrender or loan, the amount that is included in income will generally be subject to a 10% additional tax.</w:t>
      </w:r>
    </w:p>
    <w:p>
      <w:pPr>
        <w:spacing w:after="0" w:line="78" w:lineRule="exact"/>
        <w:rPr>
          <w:sz w:val="20"/>
          <w:szCs w:val="20"/>
          <w:color w:val="auto"/>
        </w:rPr>
      </w:pPr>
    </w:p>
    <w:p>
      <w:pPr>
        <w:jc w:val="both"/>
        <w:ind w:right="2939" w:firstLine="274"/>
        <w:spacing w:after="0" w:line="249" w:lineRule="auto"/>
        <w:rPr>
          <w:sz w:val="20"/>
          <w:szCs w:val="20"/>
          <w:color w:val="auto"/>
        </w:rPr>
      </w:pPr>
      <w:r>
        <w:rPr>
          <w:rFonts w:ascii="Times New Roman" w:cs="Times New Roman" w:eastAsia="Times New Roman" w:hAnsi="Times New Roman"/>
          <w:sz w:val="14"/>
          <w:szCs w:val="14"/>
          <w:color w:val="auto"/>
        </w:rPr>
        <w:t>If the Policy is not a modified endowment contract, distributions generally will be treated first as a return of basis or investment in the policy and then as taxable income. However, different rules apply in the first fifteen Policy Years, when distributions accompanied by benefit reductions may be taxable prior to a complete Surrender of your investment in the Policy. Moreover, loans will generally not be treated as distributions prior to termination of your Policy, whether by lapse, Surrender or exchange. Finally, neither distributions nor loans from a Policy that is not a modified endowment contract are subject to the 10% additional tax.</w:t>
      </w:r>
    </w:p>
    <w:p>
      <w:pPr>
        <w:spacing w:after="0" w:line="68" w:lineRule="exact"/>
        <w:rPr>
          <w:sz w:val="20"/>
          <w:szCs w:val="20"/>
          <w:color w:val="auto"/>
        </w:rPr>
      </w:pPr>
    </w:p>
    <w:p>
      <w:pPr>
        <w:jc w:val="both"/>
        <w:ind w:right="2939" w:firstLine="274"/>
        <w:spacing w:after="0" w:line="267" w:lineRule="auto"/>
        <w:rPr>
          <w:sz w:val="20"/>
          <w:szCs w:val="20"/>
          <w:color w:val="auto"/>
        </w:rPr>
      </w:pPr>
      <w:r>
        <w:rPr>
          <w:rFonts w:ascii="Times New Roman" w:cs="Times New Roman" w:eastAsia="Times New Roman" w:hAnsi="Times New Roman"/>
          <w:sz w:val="14"/>
          <w:szCs w:val="14"/>
          <w:color w:val="auto"/>
        </w:rPr>
        <w:t>See “FEDERAL TAX CONSIDERATIONS.” You should consult a qualified tax adviser for assistance in all Policy-related tax matters.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Tax Law Changes</w:t>
      </w:r>
    </w:p>
    <w:p>
      <w:pPr>
        <w:spacing w:after="0" w:line="90" w:lineRule="exact"/>
        <w:rPr>
          <w:sz w:val="20"/>
          <w:szCs w:val="20"/>
          <w:color w:val="auto"/>
        </w:rPr>
      </w:pPr>
    </w:p>
    <w:p>
      <w:pPr>
        <w:jc w:val="both"/>
        <w:ind w:right="2939" w:firstLine="274"/>
        <w:spacing w:after="0" w:line="256" w:lineRule="auto"/>
        <w:rPr>
          <w:sz w:val="20"/>
          <w:szCs w:val="20"/>
          <w:color w:val="auto"/>
        </w:rPr>
      </w:pPr>
      <w:r>
        <w:rPr>
          <w:rFonts w:ascii="Times New Roman" w:cs="Times New Roman" w:eastAsia="Times New Roman" w:hAnsi="Times New Roman"/>
          <w:sz w:val="14"/>
          <w:szCs w:val="14"/>
          <w:color w:val="auto"/>
        </w:rPr>
        <w:t>Tax laws, regulations, and interpretations have often been changed in the past and such changes continue to be proposed. To the extent that you purchase a Policy based on its potential tax benefits, there is no certainty that such tax benefits will always continue to exist.</w:t>
      </w:r>
    </w:p>
    <w:p>
      <w:pPr>
        <w:spacing w:after="0" w:line="205"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4"/>
          <w:szCs w:val="14"/>
          <w:color w:val="auto"/>
        </w:rPr>
        <w:t>22</w:t>
      </w:r>
    </w:p>
    <w:p>
      <w:pPr>
        <w:sectPr>
          <w:pgSz w:w="11900" w:h="16838" w:orient="portrait"/>
          <w:cols w:equalWidth="0" w:num="1">
            <w:col w:w="9219"/>
          </w:cols>
          <w:pgMar w:left="1240" w:top="1083" w:right="1440"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422275</wp:posOffset>
            </wp:positionV>
            <wp:extent cx="719010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90105" cy="38735"/>
                    </a:xfrm>
                    <a:prstGeom prst="rect">
                      <a:avLst/>
                    </a:prstGeom>
                    <a:noFill/>
                  </pic:spPr>
                </pic:pic>
              </a:graphicData>
            </a:graphic>
          </wp:anchor>
        </w:drawing>
        <w:t>Loan Risks</w:t>
      </w:r>
    </w:p>
    <w:p>
      <w:pPr>
        <w:spacing w:after="0" w:line="100" w:lineRule="exact"/>
        <w:rPr>
          <w:sz w:val="20"/>
          <w:szCs w:val="20"/>
          <w:color w:val="auto"/>
        </w:rPr>
      </w:pPr>
    </w:p>
    <w:p>
      <w:pPr>
        <w:jc w:val="both"/>
        <w:ind w:right="2939" w:firstLine="274"/>
        <w:spacing w:after="0" w:line="256" w:lineRule="auto"/>
        <w:rPr>
          <w:sz w:val="20"/>
          <w:szCs w:val="20"/>
          <w:color w:val="auto"/>
        </w:rPr>
      </w:pPr>
      <w:r>
        <w:rPr>
          <w:rFonts w:ascii="Times New Roman" w:cs="Times New Roman" w:eastAsia="Times New Roman" w:hAnsi="Times New Roman"/>
          <w:sz w:val="14"/>
          <w:szCs w:val="14"/>
          <w:color w:val="auto"/>
        </w:rPr>
        <w:t>A loan, whether or not repaid, will affect the Cash Value of your Policy over time because we subtract the amount of the loan from the Indexed Accounts, Holding Accounts, and/or Fixed Account as collateral, and hold it in the Loan Account. Loans also reduce the Policy Proceeds.</w:t>
      </w:r>
    </w:p>
    <w:p>
      <w:pPr>
        <w:spacing w:after="0" w:line="61" w:lineRule="exact"/>
        <w:rPr>
          <w:sz w:val="20"/>
          <w:szCs w:val="20"/>
          <w:color w:val="auto"/>
        </w:rPr>
      </w:pPr>
    </w:p>
    <w:p>
      <w:pPr>
        <w:jc w:val="both"/>
        <w:ind w:right="2939" w:firstLine="274"/>
        <w:spacing w:after="0" w:line="249" w:lineRule="auto"/>
        <w:rPr>
          <w:sz w:val="20"/>
          <w:szCs w:val="20"/>
          <w:color w:val="auto"/>
        </w:rPr>
      </w:pPr>
      <w:r>
        <w:rPr>
          <w:rFonts w:ascii="Times New Roman" w:cs="Times New Roman" w:eastAsia="Times New Roman" w:hAnsi="Times New Roman"/>
          <w:sz w:val="14"/>
          <w:szCs w:val="14"/>
          <w:color w:val="auto"/>
        </w:rPr>
        <w:t>Although you can call our Administrative Office at any time to determine what is available for a loan, the maximum amount you may borrow (the “Loan Value”) will be calculated at the end of the Business Day when we process the loan. These amounts may be different. If you request a loan that exceeds the Loan Value, your request will not be considered in Good Order. We will contact you to let you know that your requested amount exceeds the Loan Value. We will not consider the request in Good Order unless you revise the loan request to an amount that is less than or equal to the Loan Value.</w:t>
      </w:r>
    </w:p>
    <w:p>
      <w:pPr>
        <w:spacing w:after="0" w:line="78" w:lineRule="exact"/>
        <w:rPr>
          <w:sz w:val="20"/>
          <w:szCs w:val="20"/>
          <w:color w:val="auto"/>
        </w:rPr>
      </w:pPr>
    </w:p>
    <w:p>
      <w:pPr>
        <w:jc w:val="both"/>
        <w:ind w:right="2939" w:firstLine="274"/>
        <w:spacing w:after="0" w:line="267" w:lineRule="auto"/>
        <w:rPr>
          <w:sz w:val="20"/>
          <w:szCs w:val="20"/>
          <w:color w:val="auto"/>
        </w:rPr>
      </w:pPr>
      <w:r>
        <w:rPr>
          <w:rFonts w:ascii="Times New Roman" w:cs="Times New Roman" w:eastAsia="Times New Roman" w:hAnsi="Times New Roman"/>
          <w:sz w:val="14"/>
          <w:szCs w:val="14"/>
          <w:color w:val="auto"/>
        </w:rPr>
        <w:t>Any portion of Loan Interest that is not paid when due will be added to the loan and will bear interest at the same rate as the loan.</w:t>
      </w:r>
    </w:p>
    <w:p>
      <w:pPr>
        <w:spacing w:after="0" w:line="64" w:lineRule="exact"/>
        <w:rPr>
          <w:sz w:val="20"/>
          <w:szCs w:val="20"/>
          <w:color w:val="auto"/>
        </w:rPr>
      </w:pPr>
    </w:p>
    <w:p>
      <w:pPr>
        <w:jc w:val="both"/>
        <w:ind w:right="2939" w:firstLine="274"/>
        <w:spacing w:after="0" w:line="271" w:lineRule="auto"/>
        <w:rPr>
          <w:sz w:val="20"/>
          <w:szCs w:val="20"/>
          <w:color w:val="auto"/>
        </w:rPr>
      </w:pPr>
      <w:r>
        <w:rPr>
          <w:rFonts w:ascii="Times New Roman" w:cs="Times New Roman" w:eastAsia="Times New Roman" w:hAnsi="Times New Roman"/>
          <w:sz w:val="13"/>
          <w:szCs w:val="13"/>
          <w:color w:val="auto"/>
        </w:rPr>
        <w:t>Any loans taken from Indexed Accounts prior to the Segment Maturity Date will be based on Interim Segment Value. Due to the application of the Accrued Buffer Rate and the Accrued Cap Rate, this means you may experience greater losses, if Segment Index performance is negative and constant throughout the Segment Term, and lesser gains, if Segment Index Performance is positive and constant throughout the Term, than you would if you waited until the end of the Segment Term. If your Policy has an Excess Loan, we will provide a Grace Period for payment of the excess due. If the excess due remains unpaid at the end of the Grace Period, the Policy will terminate without value. The Grace Period will end 62-days from the date the notification is sent.</w:t>
      </w:r>
    </w:p>
    <w:p>
      <w:pPr>
        <w:spacing w:after="0" w:line="53" w:lineRule="exact"/>
        <w:rPr>
          <w:sz w:val="20"/>
          <w:szCs w:val="20"/>
          <w:color w:val="auto"/>
        </w:rPr>
      </w:pPr>
    </w:p>
    <w:p>
      <w:pPr>
        <w:jc w:val="both"/>
        <w:ind w:right="2939" w:firstLine="274"/>
        <w:spacing w:after="0" w:line="249" w:lineRule="auto"/>
        <w:rPr>
          <w:sz w:val="20"/>
          <w:szCs w:val="20"/>
          <w:color w:val="auto"/>
        </w:rPr>
      </w:pPr>
      <w:r>
        <w:rPr>
          <w:rFonts w:ascii="Times New Roman" w:cs="Times New Roman" w:eastAsia="Times New Roman" w:hAnsi="Times New Roman"/>
          <w:sz w:val="14"/>
          <w:szCs w:val="14"/>
          <w:color w:val="auto"/>
        </w:rPr>
        <w:t>In order to keep the GDR in force on and after the Distribution Start Date, the only loans permitted to be taken are Distribution Payments and the One-time Payment. While you are receiving Distribution Payments, you can change the amount of future Distribution Payments, as long as you do not exceed the Maximum Distribution Payment amount available to you. Any amount you request outside of your scheduled Distribution Payments is an additional loan, and we will treat this loan as your One-time Payment, as long as you have not already received your One-time Payment. If the One-time Payment has not been taken and the loan amount taken exceeds the One-time Payment amount available at the time of your request, this GDR will terminate.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Cybersecurity and Certain Business Continuity Risks</w:t>
      </w:r>
    </w:p>
    <w:p>
      <w:pPr>
        <w:spacing w:after="0" w:line="90" w:lineRule="exact"/>
        <w:rPr>
          <w:sz w:val="20"/>
          <w:szCs w:val="20"/>
          <w:color w:val="auto"/>
        </w:rPr>
      </w:pPr>
    </w:p>
    <w:p>
      <w:pPr>
        <w:jc w:val="both"/>
        <w:ind w:right="2939" w:firstLine="274"/>
        <w:spacing w:after="0" w:line="267" w:lineRule="auto"/>
        <w:rPr>
          <w:sz w:val="20"/>
          <w:szCs w:val="20"/>
          <w:color w:val="auto"/>
        </w:rPr>
      </w:pPr>
      <w:r>
        <w:rPr>
          <w:rFonts w:ascii="Times New Roman" w:cs="Times New Roman" w:eastAsia="Times New Roman" w:hAnsi="Times New Roman"/>
          <w:sz w:val="13"/>
          <w:szCs w:val="13"/>
          <w:color w:val="auto"/>
        </w:rPr>
        <w:t>Our business is largely conducted through complex information technology and communications systems operated by us and our service providers and business partners (e.g., the firms involved in the distribution and sale of our products). Our operations rely on the secure processing, storage and transmission of data and confidential and other information in our systems and the systems of third-party service providers. We have established administrative and technical controls and business continuity and resilience plans to protect our operations against attempts by unauthorized third parties to improperly access, modify, disrupt the operation of, or prevent access to critical networks or systems or data within them (a “cyber-attack”). Despite these protocols, the techniques used to attack systems and networks change frequently, are becoming more sophisticated, and can originate from a wide variety of sources including internal actors (through malicious or accidental acts), terrorists, nation states, financially or politically motivated actors, or other third parties, such as external service providers. Furthermore, the rapid evolution and increased adoption of artificial intelligence technologies may intensify our cybersecurity risks, including the deployment of artificial intelligence technologies (“AI”) by malicious third parties and threat actors that may increase in sophistication and effectiveness in the future. There may be an increased risk of cyber-attacks that may adversely disrupt or degrade our operations and compromise our data during periods of geo-political or military conflict. There is also a chance that certain risks have not been identified or prepared for, or that an attack may not be detected which limits our ability, as well as that of our service providers and business partners, to plan for or respond to, an attack.</w:t>
      </w:r>
    </w:p>
    <w:p>
      <w:pPr>
        <w:spacing w:after="0" w:line="219" w:lineRule="exact"/>
        <w:rPr>
          <w:sz w:val="20"/>
          <w:szCs w:val="20"/>
          <w:color w:val="auto"/>
        </w:rPr>
      </w:pPr>
    </w:p>
    <w:p>
      <w:pPr>
        <w:jc w:val="both"/>
        <w:ind w:right="2939" w:firstLine="274"/>
        <w:spacing w:after="0" w:line="247" w:lineRule="auto"/>
        <w:rPr>
          <w:sz w:val="20"/>
          <w:szCs w:val="20"/>
          <w:color w:val="auto"/>
        </w:rPr>
      </w:pPr>
      <w:r>
        <w:rPr>
          <w:rFonts w:ascii="Times New Roman" w:cs="Times New Roman" w:eastAsia="Times New Roman" w:hAnsi="Times New Roman"/>
          <w:sz w:val="14"/>
          <w:szCs w:val="14"/>
          <w:color w:val="auto"/>
        </w:rPr>
        <w:t>A failure of our computer systems could cause significant interruptions in our operations, compromise the security, confidentiality or privacy of sensitive data, and otherwise adversely affect our business and ability to administer the Policy. Unanticipated problems with, or failures of, our disaster recovery systems and business continuity plans could also have a material, negative impact on our ability to conduct business and on our financial condition and operations, as well as on individual Owners and their Policies. Our operations also could be negatively impacted by a cyber-attack or system failure affecting a third party, such as a service provider, business partner, another participant in the financial markets or a governmental or regulatory authority. Disruptions or failures to our operations, systems and networks can originate from a wide variety of sources including, but not limited to, a disaster such as a natural catastrophe, epidemic or pandemic crisis, military or terrorist actions, cyber-attack, and unanticipated problems with our or our service providers’ disaster recovery systems (and the disaster recovery systems of such vendors’ suppliers, vendors, or subcontractors). Such disasters and events may adversely affect our ability to conduct business or administer the Policy.</w:t>
      </w:r>
    </w:p>
    <w:p>
      <w:pPr>
        <w:spacing w:after="0" w:line="213"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4"/>
          <w:szCs w:val="14"/>
          <w:color w:val="auto"/>
        </w:rPr>
        <w:t>23</w:t>
      </w:r>
    </w:p>
    <w:p>
      <w:pPr>
        <w:sectPr>
          <w:pgSz w:w="11900" w:h="16838" w:orient="portrait"/>
          <w:cols w:equalWidth="0" w:num="1">
            <w:col w:w="9219"/>
          </w:cols>
          <w:pgMar w:left="1240" w:top="1079" w:right="1440" w:bottom="1440" w:gutter="0" w:footer="0" w:header="0"/>
        </w:sectPr>
      </w:pPr>
    </w:p>
    <w:bookmarkStart w:id="26" w:name="page27"/>
    <w:bookmarkEnd w:id="26"/>
    <w:p>
      <w:pPr>
        <w:jc w:val="both"/>
        <w:ind w:right="2939" w:firstLine="274"/>
        <w:spacing w:after="0" w:line="249"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422275</wp:posOffset>
            </wp:positionV>
            <wp:extent cx="719010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90105" cy="38735"/>
                    </a:xfrm>
                    <a:prstGeom prst="rect">
                      <a:avLst/>
                    </a:prstGeom>
                    <a:noFill/>
                  </pic:spPr>
                </pic:pic>
              </a:graphicData>
            </a:graphic>
          </wp:anchor>
        </w:drawing>
        <w:t>Cyber-attacks and disruptions or failures to our systems and business operations could result in regulatory fines or sanctions, litigation, penalties or financial losses, reputational harm, loss of customers, and/or otherwise adversely affect our business. Such events could also interfere with our processing of Policy transactions, including the processing of transfer orders from our website; impact our ability to calculate Policy values; cause the release and/or possible loss, misappropriation or corruption of data or confidential Owner or business information; or impede order processing or cause other operational issues.</w:t>
      </w:r>
    </w:p>
    <w:p>
      <w:pPr>
        <w:spacing w:after="0" w:line="78" w:lineRule="exact"/>
        <w:rPr>
          <w:sz w:val="20"/>
          <w:szCs w:val="20"/>
          <w:color w:val="auto"/>
        </w:rPr>
      </w:pPr>
    </w:p>
    <w:p>
      <w:pPr>
        <w:jc w:val="both"/>
        <w:ind w:right="2939" w:firstLine="274"/>
        <w:spacing w:after="0" w:line="252" w:lineRule="auto"/>
        <w:rPr>
          <w:sz w:val="20"/>
          <w:szCs w:val="20"/>
          <w:color w:val="auto"/>
        </w:rPr>
      </w:pPr>
      <w:r>
        <w:rPr>
          <w:rFonts w:ascii="Times New Roman" w:cs="Times New Roman" w:eastAsia="Times New Roman" w:hAnsi="Times New Roman"/>
          <w:sz w:val="14"/>
          <w:szCs w:val="14"/>
          <w:color w:val="auto"/>
        </w:rPr>
        <w:t>We cannot control the cybersecurity plans and systems implemented by third parties, including service providers. Although we continually make efforts to identify and reduce our exposure to cybersecurity risks and operations failures, there can be no assurance that we or our third party service providers will be able to detect, manage, prevent, or avoid cyber-attacks, disruptions, or failures affecting your Policy in the future.</w:t>
      </w:r>
    </w:p>
    <w:p>
      <w:pPr>
        <w:spacing w:after="0" w:line="225"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4"/>
          <w:szCs w:val="14"/>
          <w:b w:val="1"/>
          <w:bCs w:val="1"/>
          <w:color w:val="auto"/>
        </w:rPr>
        <w:t>THE LIFE POLICY</w:t>
      </w:r>
    </w:p>
    <w:p>
      <w:pPr>
        <w:spacing w:after="0" w:line="85" w:lineRule="exact"/>
        <w:rPr>
          <w:sz w:val="20"/>
          <w:szCs w:val="20"/>
          <w:color w:val="auto"/>
        </w:rPr>
      </w:pPr>
    </w:p>
    <w:p>
      <w:pPr>
        <w:jc w:val="both"/>
        <w:ind w:right="2939" w:firstLine="274"/>
        <w:spacing w:after="0" w:line="238" w:lineRule="auto"/>
        <w:rPr>
          <w:sz w:val="20"/>
          <w:szCs w:val="20"/>
          <w:color w:val="auto"/>
        </w:rPr>
      </w:pPr>
      <w:r>
        <w:rPr>
          <w:rFonts w:ascii="Times New Roman" w:cs="Times New Roman" w:eastAsia="Times New Roman" w:hAnsi="Times New Roman"/>
          <w:sz w:val="14"/>
          <w:szCs w:val="14"/>
          <w:color w:val="auto"/>
        </w:rPr>
        <w:t>This prospectus describes the Brighthouse SmartGuard Plus</w:t>
      </w:r>
      <w:r>
        <w:rPr>
          <w:rFonts w:ascii="Times New Roman" w:cs="Times New Roman" w:eastAsia="Times New Roman" w:hAnsi="Times New Roman"/>
          <w:sz w:val="17"/>
          <w:szCs w:val="17"/>
          <w:color w:val="auto"/>
          <w:vertAlign w:val="superscript"/>
        </w:rPr>
        <w:t>SM</w:t>
      </w:r>
      <w:r>
        <w:rPr>
          <w:rFonts w:ascii="Times New Roman" w:cs="Times New Roman" w:eastAsia="Times New Roman" w:hAnsi="Times New Roman"/>
          <w:sz w:val="14"/>
          <w:szCs w:val="14"/>
          <w:color w:val="auto"/>
        </w:rPr>
        <w:t xml:space="preserve"> life insurance policy issued by us and describes all the material features of the Policy. Brighthouse SmartGuard Plus</w:t>
      </w:r>
      <w:r>
        <w:rPr>
          <w:rFonts w:ascii="Times New Roman" w:cs="Times New Roman" w:eastAsia="Times New Roman" w:hAnsi="Times New Roman"/>
          <w:sz w:val="17"/>
          <w:szCs w:val="17"/>
          <w:color w:val="auto"/>
          <w:vertAlign w:val="superscript"/>
        </w:rPr>
        <w:t>SM</w:t>
      </w:r>
      <w:r>
        <w:rPr>
          <w:rFonts w:ascii="Times New Roman" w:cs="Times New Roman" w:eastAsia="Times New Roman" w:hAnsi="Times New Roman"/>
          <w:sz w:val="14"/>
          <w:szCs w:val="14"/>
          <w:color w:val="auto"/>
        </w:rPr>
        <w:t xml:space="preserve"> is a life insurance policy between you as the Owner, and us, the insurance company, where you agree to make premium payments to us and we agree to provide you life insurance coverage. The minimum Issue Age for this Policy is 35, and the maximum Issue Age is 65.</w:t>
      </w:r>
    </w:p>
    <w:p>
      <w:pPr>
        <w:spacing w:after="0" w:line="84" w:lineRule="exact"/>
        <w:rPr>
          <w:sz w:val="20"/>
          <w:szCs w:val="20"/>
          <w:color w:val="auto"/>
        </w:rPr>
      </w:pPr>
    </w:p>
    <w:p>
      <w:pPr>
        <w:jc w:val="both"/>
        <w:ind w:right="2939" w:firstLine="274"/>
        <w:spacing w:after="0" w:line="252" w:lineRule="auto"/>
        <w:rPr>
          <w:sz w:val="20"/>
          <w:szCs w:val="20"/>
          <w:color w:val="auto"/>
        </w:rPr>
      </w:pPr>
      <w:r>
        <w:rPr>
          <w:rFonts w:ascii="Times New Roman" w:cs="Times New Roman" w:eastAsia="Times New Roman" w:hAnsi="Times New Roman"/>
          <w:sz w:val="14"/>
          <w:szCs w:val="14"/>
          <w:color w:val="auto"/>
        </w:rPr>
        <w:t>The Policy includes the application, any attached riders, and any endorsements. Together they comprise the entire Policy and are made a part of the Policy when the insurance applied for is accepted. Any endorsement to the Policy must be approved by our President, Vice President or Secretary. No other persons have the authority to alter or change any terms, conditions, or agreements of the Policy, or to waive any provisions.</w:t>
      </w:r>
    </w:p>
    <w:p>
      <w:pPr>
        <w:spacing w:after="0" w:line="64" w:lineRule="exact"/>
        <w:rPr>
          <w:sz w:val="20"/>
          <w:szCs w:val="20"/>
          <w:color w:val="auto"/>
        </w:rPr>
      </w:pPr>
    </w:p>
    <w:p>
      <w:pPr>
        <w:jc w:val="both"/>
        <w:ind w:right="2939" w:firstLine="274"/>
        <w:spacing w:after="0" w:line="267" w:lineRule="auto"/>
        <w:rPr>
          <w:sz w:val="20"/>
          <w:szCs w:val="20"/>
          <w:color w:val="auto"/>
        </w:rPr>
      </w:pPr>
      <w:r>
        <w:rPr>
          <w:rFonts w:ascii="Times New Roman" w:cs="Times New Roman" w:eastAsia="Times New Roman" w:hAnsi="Times New Roman"/>
          <w:sz w:val="14"/>
          <w:szCs w:val="14"/>
          <w:color w:val="auto"/>
        </w:rPr>
        <w:t>The primary purpose of the Policy is to provide life insurance protection. Upon receipt of satisfactory proof of the death of the Insured, we pay the Policy Proceeds to the beneficiary of the Policy.</w:t>
      </w:r>
    </w:p>
    <w:p>
      <w:pPr>
        <w:spacing w:after="0" w:line="64" w:lineRule="exact"/>
        <w:rPr>
          <w:sz w:val="20"/>
          <w:szCs w:val="20"/>
          <w:color w:val="auto"/>
        </w:rPr>
      </w:pPr>
    </w:p>
    <w:p>
      <w:pPr>
        <w:jc w:val="both"/>
        <w:ind w:right="2939" w:firstLine="274"/>
        <w:spacing w:after="0" w:line="247" w:lineRule="auto"/>
        <w:rPr>
          <w:sz w:val="20"/>
          <w:szCs w:val="20"/>
          <w:color w:val="auto"/>
        </w:rPr>
      </w:pPr>
      <w:r>
        <w:rPr>
          <w:rFonts w:ascii="Times New Roman" w:cs="Times New Roman" w:eastAsia="Times New Roman" w:hAnsi="Times New Roman"/>
          <w:sz w:val="14"/>
          <w:szCs w:val="14"/>
          <w:color w:val="auto"/>
        </w:rPr>
        <w:t>The Policy also provides Owners with the opportunity for guaranteed distributions through the GDR. The GDR comes standard with the Policy and provides you with the opportunity for a specified amount of guaranteed distributions for a certain period of time. The minimum amount you can receive is guaranteed at issue. Distribution Payments will be based on the Cash Value at the time payments begin and subject to certain minimum and maximum limits. If necessary, we will increase your Policy’s Cash Value to cover any Distribution Payments. The Policy must be in force for at least 10 years before you are eligible to start Distribution Payments. In addition, the Policy cannot be a MEC and you must repay any Policy Loan Balance before Distributions Payments may begin. The GDR also has a Lifetime Lapse Prevention Benefit that guarantees that the Policy will not lapse, subject to certain conditions. The GDR also guarantees a minimum amount of Policy Proceeds ($10,000). See “GUARANTEED DISTRIBUTION RIDER.”</w:t>
      </w:r>
    </w:p>
    <w:p>
      <w:pPr>
        <w:spacing w:after="0" w:line="71" w:lineRule="exact"/>
        <w:rPr>
          <w:sz w:val="20"/>
          <w:szCs w:val="20"/>
          <w:color w:val="auto"/>
        </w:rPr>
      </w:pPr>
    </w:p>
    <w:p>
      <w:pPr>
        <w:jc w:val="both"/>
        <w:ind w:right="2939" w:firstLine="274"/>
        <w:spacing w:after="0" w:line="251" w:lineRule="auto"/>
        <w:rPr>
          <w:sz w:val="20"/>
          <w:szCs w:val="20"/>
          <w:color w:val="auto"/>
        </w:rPr>
      </w:pPr>
      <w:r>
        <w:rPr>
          <w:rFonts w:ascii="Times New Roman" w:cs="Times New Roman" w:eastAsia="Times New Roman" w:hAnsi="Times New Roman"/>
          <w:sz w:val="14"/>
          <w:szCs w:val="14"/>
          <w:color w:val="auto"/>
        </w:rPr>
        <w:t>When you purchase the Policy, you can choose one or more of the available Indexed Accounts and the Fixed Account. We are obligated to pay all money we owe under the Policy, including Policy Proceeds and Guaranteed Minimum Distribution Payments. Any such amount that exceeds the assets in the Separate Account is paid from our General Account. Our ability to do so is subject to our financial strength and claims-paying ability and is not guaranteed by any other party.</w:t>
      </w:r>
    </w:p>
    <w:p>
      <w:pPr>
        <w:spacing w:after="0" w:line="63" w:lineRule="exact"/>
        <w:rPr>
          <w:sz w:val="20"/>
          <w:szCs w:val="20"/>
          <w:color w:val="auto"/>
        </w:rPr>
      </w:pPr>
    </w:p>
    <w:p>
      <w:pPr>
        <w:jc w:val="both"/>
        <w:ind w:right="2939" w:firstLine="274"/>
        <w:spacing w:after="0" w:line="251" w:lineRule="auto"/>
        <w:rPr>
          <w:sz w:val="20"/>
          <w:szCs w:val="20"/>
          <w:color w:val="auto"/>
        </w:rPr>
      </w:pPr>
      <w:r>
        <w:rPr>
          <w:rFonts w:ascii="Times New Roman" w:cs="Times New Roman" w:eastAsia="Times New Roman" w:hAnsi="Times New Roman"/>
          <w:sz w:val="14"/>
          <w:szCs w:val="14"/>
          <w:color w:val="auto"/>
        </w:rPr>
        <w:t>The Policy is designed to be held over a long term, is not offered primarily as an investment, and should not be used as a short-term savings vehicle. Various negative consequences can occur if you fail to hold the Policy long-term. For example, if you Surrender your Policy, the Surrender charge could exceed the Cash Value of your Policy and you would receive no proceeds upon Surrender. In addition, before any applicable Segment Maturity Date, your Cash Surrender Value would be based on the Interim Segment Value.</w:t>
      </w:r>
    </w:p>
    <w:p>
      <w:pPr>
        <w:spacing w:after="0" w:line="63" w:lineRule="exact"/>
        <w:rPr>
          <w:sz w:val="20"/>
          <w:szCs w:val="20"/>
          <w:color w:val="auto"/>
        </w:rPr>
      </w:pPr>
    </w:p>
    <w:p>
      <w:pPr>
        <w:jc w:val="both"/>
        <w:ind w:right="2939" w:firstLine="274"/>
        <w:spacing w:after="0" w:line="271" w:lineRule="auto"/>
        <w:rPr>
          <w:sz w:val="20"/>
          <w:szCs w:val="20"/>
          <w:color w:val="auto"/>
        </w:rPr>
      </w:pPr>
      <w:r>
        <w:rPr>
          <w:rFonts w:ascii="Times New Roman" w:cs="Times New Roman" w:eastAsia="Times New Roman" w:hAnsi="Times New Roman"/>
          <w:sz w:val="13"/>
          <w:szCs w:val="13"/>
          <w:color w:val="auto"/>
        </w:rPr>
        <w:t>The Policy has features and benefits that may be appropriate for you based on your financial situation and objectives, but we are not a fiduciary and do not provide investment advice or make recommendations regarding insurance or investment products, or any securities transactions or investment strategies involving securities. You should ask your financial representative for guidance as to whether this Policy may be appropriate for you. Please bear in mind that your financial representative, or any financial firm or financial professional with whom you consult for advice, acts on your behalf, not ours. We are not party to any agreement between you and your financial professional. See “DISTRIBUTION OF THE POLICIES” for information on firms that sell the Policy.</w:t>
      </w:r>
    </w:p>
    <w:p>
      <w:pPr>
        <w:spacing w:after="0" w:line="53" w:lineRule="exact"/>
        <w:rPr>
          <w:sz w:val="20"/>
          <w:szCs w:val="20"/>
          <w:color w:val="auto"/>
        </w:rPr>
      </w:pPr>
    </w:p>
    <w:p>
      <w:pPr>
        <w:jc w:val="both"/>
        <w:ind w:right="2939" w:firstLine="274"/>
        <w:spacing w:after="0" w:line="256" w:lineRule="auto"/>
        <w:rPr>
          <w:sz w:val="20"/>
          <w:szCs w:val="20"/>
          <w:color w:val="auto"/>
        </w:rPr>
      </w:pPr>
      <w:r>
        <w:rPr>
          <w:rFonts w:ascii="Times New Roman" w:cs="Times New Roman" w:eastAsia="Times New Roman" w:hAnsi="Times New Roman"/>
          <w:sz w:val="14"/>
          <w:szCs w:val="14"/>
          <w:color w:val="auto"/>
        </w:rPr>
        <w:t>Generally, the Policy benefits from tax deferral. Tax deferral means that you are not taxed on any increase in your Policy’s Cash Value until a distribution or deemed distribution is made from your Policy, such as a Surrender or lapse of the Policy. (See “FEDERAL TAX CONSIDERATIONS.”)</w:t>
      </w:r>
    </w:p>
    <w:p>
      <w:pPr>
        <w:spacing w:after="0" w:line="61" w:lineRule="exact"/>
        <w:rPr>
          <w:sz w:val="20"/>
          <w:szCs w:val="20"/>
          <w:color w:val="auto"/>
        </w:rPr>
      </w:pPr>
    </w:p>
    <w:p>
      <w:pPr>
        <w:jc w:val="both"/>
        <w:ind w:right="2939" w:firstLine="274"/>
        <w:spacing w:after="0" w:line="256" w:lineRule="auto"/>
        <w:rPr>
          <w:sz w:val="20"/>
          <w:szCs w:val="20"/>
          <w:color w:val="auto"/>
        </w:rPr>
      </w:pPr>
      <w:r>
        <w:rPr>
          <w:rFonts w:ascii="Times New Roman" w:cs="Times New Roman" w:eastAsia="Times New Roman" w:hAnsi="Times New Roman"/>
          <w:sz w:val="14"/>
          <w:szCs w:val="14"/>
          <w:color w:val="auto"/>
        </w:rPr>
        <w:t>Our General Account consists of all assets owned by us other than those in the Separate Account and our other separate accounts. We have sole discretion over the investment of assets in the General Account and the Separate Account.</w:t>
      </w:r>
    </w:p>
    <w:p>
      <w:pPr>
        <w:spacing w:after="0" w:line="205"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4"/>
          <w:szCs w:val="14"/>
          <w:color w:val="auto"/>
        </w:rPr>
        <w:t>24</w:t>
      </w:r>
    </w:p>
    <w:p>
      <w:pPr>
        <w:sectPr>
          <w:pgSz w:w="11900" w:h="16838" w:orient="portrait"/>
          <w:cols w:equalWidth="0" w:num="1">
            <w:col w:w="9219"/>
          </w:cols>
          <w:pgMar w:left="1240" w:top="1083" w:right="1440" w:bottom="1440" w:gutter="0" w:footer="0" w:header="0"/>
        </w:sectPr>
      </w:pPr>
    </w:p>
    <w:bookmarkStart w:id="27" w:name="page28"/>
    <w:bookmarkEnd w:id="27"/>
    <w:p>
      <w:pPr>
        <w:jc w:val="both"/>
        <w:ind w:right="2939" w:firstLine="274"/>
        <w:spacing w:after="0" w:line="256"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422275</wp:posOffset>
            </wp:positionV>
            <wp:extent cx="719010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90105" cy="38735"/>
                    </a:xfrm>
                    <a:prstGeom prst="rect">
                      <a:avLst/>
                    </a:prstGeom>
                    <a:noFill/>
                  </pic:spPr>
                </pic:pic>
              </a:graphicData>
            </a:graphic>
          </wp:anchor>
        </w:drawing>
        <w:t>As Owner, you exercise all interests and rights under the Policy. You can change the Owner at any time, subject to our underwriting requirements. The Policy may be owned generally by more than one Owner. (See “OWNERSHIP PROVISIONS.”)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Rights Reserved By Us</w:t>
      </w:r>
    </w:p>
    <w:p>
      <w:pPr>
        <w:spacing w:after="0" w:line="90" w:lineRule="exact"/>
        <w:rPr>
          <w:sz w:val="20"/>
          <w:szCs w:val="20"/>
          <w:color w:val="auto"/>
        </w:rPr>
      </w:pPr>
    </w:p>
    <w:p>
      <w:pPr>
        <w:jc w:val="both"/>
        <w:ind w:right="2939" w:firstLine="274"/>
        <w:spacing w:after="0" w:line="256" w:lineRule="auto"/>
        <w:rPr>
          <w:sz w:val="20"/>
          <w:szCs w:val="20"/>
          <w:color w:val="auto"/>
        </w:rPr>
      </w:pPr>
      <w:r>
        <w:rPr>
          <w:rFonts w:ascii="Times New Roman" w:cs="Times New Roman" w:eastAsia="Times New Roman" w:hAnsi="Times New Roman"/>
          <w:sz w:val="14"/>
          <w:szCs w:val="14"/>
          <w:color w:val="auto"/>
        </w:rPr>
        <w:t>Upon notification to you, this Policy may be modified by us, but only if such modification is necessary to make changes as required by the Internal Revenue Code or by any other applicable law, regulation or interpretation in order to continue treatment of this Policy as life insurance.</w:t>
      </w:r>
    </w:p>
    <w:p>
      <w:pPr>
        <w:spacing w:after="0" w:line="71" w:lineRule="exact"/>
        <w:rPr>
          <w:sz w:val="20"/>
          <w:szCs w:val="20"/>
          <w:color w:val="auto"/>
        </w:rPr>
      </w:pPr>
    </w:p>
    <w:p>
      <w:pPr>
        <w:jc w:val="both"/>
        <w:ind w:right="2939" w:firstLine="274"/>
        <w:spacing w:after="0" w:line="267" w:lineRule="auto"/>
        <w:rPr>
          <w:sz w:val="20"/>
          <w:szCs w:val="20"/>
          <w:color w:val="auto"/>
        </w:rPr>
      </w:pPr>
      <w:r>
        <w:rPr>
          <w:rFonts w:ascii="Times New Roman" w:cs="Times New Roman" w:eastAsia="Times New Roman" w:hAnsi="Times New Roman"/>
          <w:sz w:val="14"/>
          <w:szCs w:val="14"/>
          <w:color w:val="auto"/>
        </w:rPr>
        <w:t>If we make any payment in good faith, relying on our records or evidence supplied to us, our duty will be fully discharged. We have the right to correct any errors in the Policy.</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Statements Made in the Application for the Policy</w:t>
      </w:r>
    </w:p>
    <w:p>
      <w:pPr>
        <w:spacing w:after="0" w:line="90" w:lineRule="exact"/>
        <w:rPr>
          <w:sz w:val="20"/>
          <w:szCs w:val="20"/>
          <w:color w:val="auto"/>
        </w:rPr>
      </w:pPr>
    </w:p>
    <w:p>
      <w:pPr>
        <w:jc w:val="both"/>
        <w:ind w:right="2939" w:firstLine="274"/>
        <w:spacing w:after="0" w:line="256" w:lineRule="auto"/>
        <w:rPr>
          <w:sz w:val="20"/>
          <w:szCs w:val="20"/>
          <w:color w:val="auto"/>
        </w:rPr>
      </w:pPr>
      <w:r>
        <w:rPr>
          <w:rFonts w:ascii="Times New Roman" w:cs="Times New Roman" w:eastAsia="Times New Roman" w:hAnsi="Times New Roman"/>
          <w:sz w:val="14"/>
          <w:szCs w:val="14"/>
          <w:color w:val="auto"/>
        </w:rPr>
        <w:t>In the absence of fraud, all statements made by the Insured or on the Insured’s behalf, or by the Owner or on the Owner’s behalf, will be deemed representations and not warranties. Material misstatements will not be used to void the Policy or any rider or to deny a claim unless made in the Application for the Policy or a rider.</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Misstatement of Age or Sex</w:t>
      </w:r>
    </w:p>
    <w:p>
      <w:pPr>
        <w:spacing w:after="0" w:line="100" w:lineRule="exact"/>
        <w:rPr>
          <w:sz w:val="20"/>
          <w:szCs w:val="20"/>
          <w:color w:val="auto"/>
        </w:rPr>
      </w:pPr>
    </w:p>
    <w:p>
      <w:pPr>
        <w:jc w:val="both"/>
        <w:ind w:right="2939" w:firstLine="274"/>
        <w:spacing w:after="0" w:line="252" w:lineRule="auto"/>
        <w:rPr>
          <w:sz w:val="20"/>
          <w:szCs w:val="20"/>
          <w:color w:val="auto"/>
        </w:rPr>
      </w:pPr>
      <w:r>
        <w:rPr>
          <w:rFonts w:ascii="Times New Roman" w:cs="Times New Roman" w:eastAsia="Times New Roman" w:hAnsi="Times New Roman"/>
          <w:sz w:val="14"/>
          <w:szCs w:val="14"/>
          <w:color w:val="auto"/>
        </w:rPr>
        <w:t>If we determine that there was a misstatement of age or sex reflected in the Policy, the death benefit will be recalculated based on the Annual Cost of Insurance Charge on the prior Policy Anniversary and the Annual Cost of Insurance Charge rate based on the correct age and sex. Future Annual Deductions will be based on the correct age and sex.</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Unisex Basis</w:t>
      </w:r>
    </w:p>
    <w:p>
      <w:pPr>
        <w:spacing w:after="0" w:line="100" w:lineRule="exact"/>
        <w:rPr>
          <w:sz w:val="20"/>
          <w:szCs w:val="20"/>
          <w:color w:val="auto"/>
        </w:rPr>
      </w:pPr>
    </w:p>
    <w:p>
      <w:pPr>
        <w:jc w:val="both"/>
        <w:ind w:right="2939" w:firstLine="274"/>
        <w:spacing w:after="0" w:line="267" w:lineRule="auto"/>
        <w:rPr>
          <w:sz w:val="20"/>
          <w:szCs w:val="20"/>
          <w:color w:val="auto"/>
        </w:rPr>
      </w:pPr>
      <w:r>
        <w:rPr>
          <w:rFonts w:ascii="Times New Roman" w:cs="Times New Roman" w:eastAsia="Times New Roman" w:hAnsi="Times New Roman"/>
          <w:sz w:val="14"/>
          <w:szCs w:val="14"/>
          <w:color w:val="auto"/>
        </w:rPr>
        <w:t>If the Policy is issued on a unisex basis, all rates, benefits and values that contain differences based on sex are modified to provide the same rates, benefits, and values regardless of sex.</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Incontestability Period</w:t>
      </w:r>
    </w:p>
    <w:p>
      <w:pPr>
        <w:spacing w:after="0" w:line="90" w:lineRule="exact"/>
        <w:rPr>
          <w:sz w:val="20"/>
          <w:szCs w:val="20"/>
          <w:color w:val="auto"/>
        </w:rPr>
      </w:pPr>
    </w:p>
    <w:p>
      <w:pPr>
        <w:jc w:val="both"/>
        <w:ind w:right="2939" w:firstLine="274"/>
        <w:spacing w:after="0" w:line="251" w:lineRule="auto"/>
        <w:rPr>
          <w:sz w:val="20"/>
          <w:szCs w:val="20"/>
          <w:color w:val="auto"/>
        </w:rPr>
      </w:pPr>
      <w:r>
        <w:rPr>
          <w:rFonts w:ascii="Times New Roman" w:cs="Times New Roman" w:eastAsia="Times New Roman" w:hAnsi="Times New Roman"/>
          <w:sz w:val="14"/>
          <w:szCs w:val="14"/>
          <w:color w:val="auto"/>
        </w:rPr>
        <w:t>We cannot contest the coverage after the Policy has been in force during the lifetime of the Insured for two years from its Policy Issue Date (the date we created your insurance policy). This provision will not apply to any rider that contains its own incontestability clause. If the Policy is reinstated, a new two-year contestability period, during the lifetime of the Insured, will begin as of the date the Policy was reinstated. The Policy will be contestable only as to statements made in the reinstatement application.</w:t>
      </w:r>
    </w:p>
    <w:p>
      <w:pPr>
        <w:spacing w:after="0" w:line="74" w:lineRule="exact"/>
        <w:rPr>
          <w:sz w:val="20"/>
          <w:szCs w:val="20"/>
          <w:color w:val="auto"/>
        </w:rPr>
      </w:pPr>
    </w:p>
    <w:p>
      <w:pPr>
        <w:jc w:val="both"/>
        <w:ind w:right="2939" w:firstLine="274"/>
        <w:spacing w:after="0" w:line="256" w:lineRule="auto"/>
        <w:rPr>
          <w:sz w:val="20"/>
          <w:szCs w:val="20"/>
          <w:color w:val="auto"/>
        </w:rPr>
      </w:pPr>
      <w:r>
        <w:rPr>
          <w:rFonts w:ascii="Times New Roman" w:cs="Times New Roman" w:eastAsia="Times New Roman" w:hAnsi="Times New Roman"/>
          <w:sz w:val="14"/>
          <w:szCs w:val="14"/>
          <w:color w:val="auto"/>
        </w:rPr>
        <w:t>If the Policy was issued as the result of the exercise of an option given in another policy and proof of insurability was not required, the contestable period applicable to the coverage resulting from the option exercise will end at the same time as it would have under the original policy.</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Replacement of Policies</w:t>
      </w:r>
    </w:p>
    <w:p>
      <w:pPr>
        <w:spacing w:after="0" w:line="90" w:lineRule="exact"/>
        <w:rPr>
          <w:sz w:val="20"/>
          <w:szCs w:val="20"/>
          <w:color w:val="auto"/>
        </w:rPr>
      </w:pPr>
    </w:p>
    <w:p>
      <w:pPr>
        <w:jc w:val="both"/>
        <w:ind w:right="2939" w:firstLine="274"/>
        <w:spacing w:after="0" w:line="270" w:lineRule="auto"/>
        <w:rPr>
          <w:sz w:val="20"/>
          <w:szCs w:val="20"/>
          <w:color w:val="auto"/>
        </w:rPr>
      </w:pPr>
      <w:r>
        <w:rPr>
          <w:rFonts w:ascii="Times New Roman" w:cs="Times New Roman" w:eastAsia="Times New Roman" w:hAnsi="Times New Roman"/>
          <w:sz w:val="13"/>
          <w:szCs w:val="13"/>
          <w:color w:val="auto"/>
        </w:rPr>
        <w:t>It may not be in your best interest to Surrender, lapse, change or borrow from existing life insurance policies or annuity contracts in connection with the purchase of the Policy. You should compare your existing insurance and the Policy carefully. You should replace your existing insurance only when you determine that the Policy is better for you. You may have to pay a Surrender charge on your existing insurance, and the Policy will impose a new Surrender charge period. You should talk to your financial professional or tax adviser to make sure the exchange will be tax-free. If you Surrender your existing policy for cash and then buy the Policy, you may have to pay a tax, including possibly a penalty tax, on the Surrender. Because we may not issue the Policy until we have received an initial premium from your existing insurance company, the issuance of the Policy may be delayed.</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Paid-Up Life Insurance Option</w:t>
      </w:r>
    </w:p>
    <w:p>
      <w:pPr>
        <w:spacing w:after="0" w:line="90" w:lineRule="exact"/>
        <w:rPr>
          <w:sz w:val="20"/>
          <w:szCs w:val="20"/>
          <w:color w:val="auto"/>
        </w:rPr>
      </w:pPr>
    </w:p>
    <w:p>
      <w:pPr>
        <w:jc w:val="both"/>
        <w:ind w:right="2939" w:firstLine="274"/>
        <w:spacing w:after="0" w:line="251" w:lineRule="auto"/>
        <w:rPr>
          <w:sz w:val="20"/>
          <w:szCs w:val="20"/>
          <w:color w:val="auto"/>
        </w:rPr>
      </w:pPr>
      <w:r>
        <w:rPr>
          <w:rFonts w:ascii="Times New Roman" w:cs="Times New Roman" w:eastAsia="Times New Roman" w:hAnsi="Times New Roman"/>
          <w:sz w:val="14"/>
          <w:szCs w:val="14"/>
          <w:color w:val="auto"/>
        </w:rPr>
        <w:t>Paid-Up Life Insurance (“Paid-Up Life Insurance”) is permanent life insurance with no further premiums due. The Paid-Up Life Insurance Option allows you to exchange your Policy while it is in force, on any Policy Anniversary before Attained Age 121, for a new policy that provides Paid-Up Life Insurance. Your request for the exchange must be in Good Order on or before the Policy Anniversary on which the exchange is to be effective. This Policy will be void as of the date of the exchange.</w:t>
      </w:r>
    </w:p>
    <w:p>
      <w:pPr>
        <w:spacing w:after="0" w:line="63" w:lineRule="exact"/>
        <w:rPr>
          <w:sz w:val="20"/>
          <w:szCs w:val="20"/>
          <w:color w:val="auto"/>
        </w:rPr>
      </w:pPr>
    </w:p>
    <w:p>
      <w:pPr>
        <w:jc w:val="both"/>
        <w:ind w:right="2939" w:firstLine="274"/>
        <w:spacing w:after="0" w:line="252" w:lineRule="auto"/>
        <w:rPr>
          <w:sz w:val="20"/>
          <w:szCs w:val="20"/>
          <w:color w:val="auto"/>
        </w:rPr>
      </w:pPr>
      <w:r>
        <w:rPr>
          <w:rFonts w:ascii="Times New Roman" w:cs="Times New Roman" w:eastAsia="Times New Roman" w:hAnsi="Times New Roman"/>
          <w:sz w:val="14"/>
          <w:szCs w:val="14"/>
          <w:color w:val="auto"/>
        </w:rPr>
        <w:t>Paid-Up Life Insurance will be provided by using the Cash Surrender Value of the Policy as a net single premium at the then current age of the Insured as calculated by the issuing company for that plan of insurance. The Paid-Up Life Insurance will be issued on a plan of insurance offered by us or one of our affiliates; and with a start date as of the date the Policy ends.</w:t>
      </w:r>
    </w:p>
    <w:p>
      <w:pPr>
        <w:spacing w:after="0" w:line="208"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4"/>
          <w:szCs w:val="14"/>
          <w:color w:val="auto"/>
        </w:rPr>
        <w:t>25</w:t>
      </w:r>
    </w:p>
    <w:p>
      <w:pPr>
        <w:sectPr>
          <w:pgSz w:w="11900" w:h="16838" w:orient="portrait"/>
          <w:cols w:equalWidth="0" w:num="1">
            <w:col w:w="9219"/>
          </w:cols>
          <w:pgMar w:left="1240" w:top="1083" w:right="1440" w:bottom="1440" w:gutter="0" w:footer="0" w:header="0"/>
        </w:sectPr>
      </w:pPr>
    </w:p>
    <w:bookmarkStart w:id="28" w:name="page29"/>
    <w:bookmarkEnd w:id="28"/>
    <w:p>
      <w:pPr>
        <w:ind w:left="276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422275</wp:posOffset>
            </wp:positionV>
            <wp:extent cx="719010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90105" cy="38735"/>
                    </a:xfrm>
                    <a:prstGeom prst="rect">
                      <a:avLst/>
                    </a:prstGeom>
                    <a:noFill/>
                  </pic:spPr>
                </pic:pic>
              </a:graphicData>
            </a:graphic>
          </wp:anchor>
        </w:drawing>
        <w:t>PREMIUMS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Flexible Premiums</w:t>
      </w:r>
    </w:p>
    <w:p>
      <w:pPr>
        <w:spacing w:after="0" w:line="90" w:lineRule="exact"/>
        <w:rPr>
          <w:sz w:val="20"/>
          <w:szCs w:val="20"/>
          <w:color w:val="auto"/>
        </w:rPr>
      </w:pPr>
    </w:p>
    <w:p>
      <w:pPr>
        <w:jc w:val="both"/>
        <w:ind w:right="2939" w:firstLine="274"/>
        <w:spacing w:after="0" w:line="249" w:lineRule="auto"/>
        <w:rPr>
          <w:sz w:val="20"/>
          <w:szCs w:val="20"/>
          <w:color w:val="auto"/>
        </w:rPr>
      </w:pPr>
      <w:r>
        <w:rPr>
          <w:rFonts w:ascii="Times New Roman" w:cs="Times New Roman" w:eastAsia="Times New Roman" w:hAnsi="Times New Roman"/>
          <w:sz w:val="14"/>
          <w:szCs w:val="14"/>
          <w:color w:val="auto"/>
        </w:rPr>
        <w:t xml:space="preserve">Subject to the limits described below, you choose the amount and frequency of premium payments. You select a Planned Premium Payment schedule, which consists of a first-year premium amount and an amount for subsequent premium payments. This schedule appears in your Policy. </w:t>
      </w:r>
      <w:r>
        <w:rPr>
          <w:rFonts w:ascii="Times New Roman" w:cs="Times New Roman" w:eastAsia="Times New Roman" w:hAnsi="Times New Roman"/>
          <w:sz w:val="14"/>
          <w:szCs w:val="14"/>
          <w:b w:val="1"/>
          <w:bCs w:val="1"/>
          <w:color w:val="auto"/>
        </w:rPr>
        <w:t>Your Planned Premium Payments will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 xml:space="preserve">not necessarily keep your Policy in force. </w:t>
      </w:r>
      <w:r>
        <w:rPr>
          <w:rFonts w:ascii="Times New Roman" w:cs="Times New Roman" w:eastAsia="Times New Roman" w:hAnsi="Times New Roman"/>
          <w:sz w:val="14"/>
          <w:szCs w:val="14"/>
          <w:color w:val="auto"/>
        </w:rPr>
        <w:t>You may skip Planned Premium Payments or make additional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payments. You should consider the risks of paying an insufficient amount of premiums (see “RISK FACTORS”). Additional payments could be subject to underwriting. No payment can be less than $1,000, except with our consent.</w:t>
      </w:r>
    </w:p>
    <w:p>
      <w:pPr>
        <w:spacing w:after="0" w:line="75" w:lineRule="exact"/>
        <w:rPr>
          <w:sz w:val="20"/>
          <w:szCs w:val="20"/>
          <w:color w:val="auto"/>
        </w:rPr>
      </w:pPr>
    </w:p>
    <w:p>
      <w:pPr>
        <w:jc w:val="both"/>
        <w:ind w:right="2939" w:firstLine="274"/>
        <w:spacing w:after="0" w:line="256" w:lineRule="auto"/>
        <w:rPr>
          <w:sz w:val="20"/>
          <w:szCs w:val="20"/>
          <w:color w:val="auto"/>
        </w:rPr>
      </w:pPr>
      <w:r>
        <w:rPr>
          <w:rFonts w:ascii="Times New Roman" w:cs="Times New Roman" w:eastAsia="Times New Roman" w:hAnsi="Times New Roman"/>
          <w:sz w:val="14"/>
          <w:szCs w:val="14"/>
          <w:color w:val="auto"/>
        </w:rPr>
        <w:t>A Percent of Premium Charge will be deducted from each premium we receive. Premiums paid after the first premium must be paid to our Administrative Office or as otherwise approved by us. A premium received within the Transfer Period will be applied as if it had been received on the anniversary.</w:t>
      </w:r>
    </w:p>
    <w:p>
      <w:pPr>
        <w:spacing w:after="0" w:line="71" w:lineRule="exact"/>
        <w:rPr>
          <w:sz w:val="20"/>
          <w:szCs w:val="20"/>
          <w:color w:val="auto"/>
        </w:rPr>
      </w:pPr>
    </w:p>
    <w:p>
      <w:pPr>
        <w:jc w:val="both"/>
        <w:ind w:right="2939" w:firstLine="274"/>
        <w:spacing w:after="0" w:line="271" w:lineRule="auto"/>
        <w:rPr>
          <w:sz w:val="20"/>
          <w:szCs w:val="20"/>
          <w:color w:val="auto"/>
        </w:rPr>
      </w:pPr>
      <w:r>
        <w:rPr>
          <w:rFonts w:ascii="Times New Roman" w:cs="Times New Roman" w:eastAsia="Times New Roman" w:hAnsi="Times New Roman"/>
          <w:sz w:val="13"/>
          <w:szCs w:val="13"/>
          <w:color w:val="auto"/>
        </w:rPr>
        <w:t>You can make Planned Premiums Payments on an annual, semi-annual, quarterly, or monthly schedule. We will send premium notices for annual, semi-annual, or quarterly Planned Premiums Payments, only if premium payments are not drawn directly from your checking account pursuant to the pre-authorized checking arrangement. You can change your Planned Premium Payment schedule by sending your request to us in Good Order at our Administrative Office. You may also change your Planned Premium Payments; however, a new Policy Specification page will not be sent to you. You may not make premium payments on or after the Policy Anniversary when the Insured reaches Attained Age 121, except for premiums required during the Grace Period.</w:t>
      </w:r>
    </w:p>
    <w:p>
      <w:pPr>
        <w:spacing w:after="0" w:line="53" w:lineRule="exact"/>
        <w:rPr>
          <w:sz w:val="20"/>
          <w:szCs w:val="20"/>
          <w:color w:val="auto"/>
        </w:rPr>
      </w:pPr>
    </w:p>
    <w:p>
      <w:pPr>
        <w:jc w:val="both"/>
        <w:ind w:right="2939" w:firstLine="274"/>
        <w:spacing w:after="0" w:line="251" w:lineRule="auto"/>
        <w:rPr>
          <w:sz w:val="20"/>
          <w:szCs w:val="20"/>
          <w:color w:val="auto"/>
        </w:rPr>
      </w:pPr>
      <w:r>
        <w:rPr>
          <w:rFonts w:ascii="Times New Roman" w:cs="Times New Roman" w:eastAsia="Times New Roman" w:hAnsi="Times New Roman"/>
          <w:sz w:val="14"/>
          <w:szCs w:val="14"/>
          <w:color w:val="auto"/>
        </w:rPr>
        <w:t>You may allocate Net Premiums among the Fixed Account and the Indexed Accounts. The Net Premium will be allocated according to the allocations you chose at the time you apply for the Policy. While your Policy is in force, you may request to change the allocation of future Net Premiums among the Fixed Account and Indexed Accounts. If an Indexed Account is not available, any amount allocated to that Indexed Account will automatically be allocated to the Fixed Account.</w:t>
      </w:r>
    </w:p>
    <w:p>
      <w:pPr>
        <w:spacing w:after="0" w:line="74" w:lineRule="exact"/>
        <w:rPr>
          <w:sz w:val="20"/>
          <w:szCs w:val="20"/>
          <w:color w:val="auto"/>
        </w:rPr>
      </w:pPr>
    </w:p>
    <w:p>
      <w:pPr>
        <w:jc w:val="both"/>
        <w:ind w:right="2939" w:firstLine="274"/>
        <w:spacing w:after="0" w:line="247" w:lineRule="auto"/>
        <w:rPr>
          <w:sz w:val="20"/>
          <w:szCs w:val="20"/>
          <w:color w:val="auto"/>
        </w:rPr>
      </w:pPr>
      <w:r>
        <w:rPr>
          <w:rFonts w:ascii="Times New Roman" w:cs="Times New Roman" w:eastAsia="Times New Roman" w:hAnsi="Times New Roman"/>
          <w:sz w:val="14"/>
          <w:szCs w:val="14"/>
          <w:color w:val="auto"/>
        </w:rPr>
        <w:t>If any premium payments under the Policy exceed the “7-pay limit” under Federal tax law, your Policy will become a MEC, and you may have more adverse tax consequences with respect to certain distributions than would otherwise be the case if premium payments did not exceed the “7-pay limit.” Information about your “7-pay limit” is found in your Policy illustration. If we receive a premium payment 30 days or less before the anniversary of the 7-pay testing period that exceeds the “7-pay limit” and would cause the Policy to become a MEC and waiting until the anniversary to apply that payment would prevent the Policy from becoming a MEC, we may retain the premium payment in a non-interest- bearing account and apply the payment to the Policy on the anniversary. If we follow this procedure, we will notify you and give you the option of having the premium payment applied to the Policy before the anniversary. Otherwise, if you make a premium payment that exceeds the “7-pay limit,” we will apply the payment to the Policy according to our standard procedures described below and notify you that the Policy has become a MEC.</w:t>
      </w:r>
    </w:p>
    <w:p>
      <w:pPr>
        <w:spacing w:after="0" w:line="70" w:lineRule="exact"/>
        <w:rPr>
          <w:sz w:val="20"/>
          <w:szCs w:val="20"/>
          <w:color w:val="auto"/>
        </w:rPr>
      </w:pPr>
    </w:p>
    <w:p>
      <w:pPr>
        <w:jc w:val="both"/>
        <w:ind w:right="2939" w:firstLine="274"/>
        <w:spacing w:after="0" w:line="252" w:lineRule="auto"/>
        <w:rPr>
          <w:sz w:val="20"/>
          <w:szCs w:val="20"/>
          <w:color w:val="auto"/>
        </w:rPr>
      </w:pPr>
      <w:r>
        <w:rPr>
          <w:rFonts w:ascii="Times New Roman" w:cs="Times New Roman" w:eastAsia="Times New Roman" w:hAnsi="Times New Roman"/>
          <w:sz w:val="14"/>
          <w:szCs w:val="14"/>
          <w:color w:val="auto"/>
        </w:rPr>
        <w:t>Under our current processing, if you have a loan and we receive a payment from you, we will treat it as a loan repayment, unless you request for us to treat it as a premium payment. See “REQUESTS AND ELECTIONS.” Loan repayments may be allocated in the same manner as Net Premium. We will not accept additional premium payments on and after the Distribution Start Date unless the GDR terminates.</w:t>
      </w:r>
    </w:p>
    <w:p>
      <w:pPr>
        <w:spacing w:after="0" w:line="60" w:lineRule="exact"/>
        <w:rPr>
          <w:sz w:val="20"/>
          <w:szCs w:val="20"/>
          <w:color w:val="auto"/>
        </w:rPr>
      </w:pPr>
    </w:p>
    <w:p>
      <w:pPr>
        <w:jc w:val="both"/>
        <w:ind w:right="2939" w:firstLine="274"/>
        <w:spacing w:after="0" w:line="273" w:lineRule="auto"/>
        <w:rPr>
          <w:sz w:val="20"/>
          <w:szCs w:val="20"/>
          <w:color w:val="auto"/>
        </w:rPr>
      </w:pPr>
      <w:r>
        <w:rPr>
          <w:rFonts w:ascii="Times New Roman" w:cs="Times New Roman" w:eastAsia="Times New Roman" w:hAnsi="Times New Roman"/>
          <w:sz w:val="14"/>
          <w:szCs w:val="14"/>
          <w:b w:val="1"/>
          <w:bCs w:val="1"/>
          <w:color w:val="auto"/>
        </w:rPr>
        <w:t xml:space="preserve">Attained Age 121. </w:t>
      </w:r>
      <w:r>
        <w:rPr>
          <w:rFonts w:ascii="Times New Roman" w:cs="Times New Roman" w:eastAsia="Times New Roman" w:hAnsi="Times New Roman"/>
          <w:sz w:val="14"/>
          <w:szCs w:val="14"/>
          <w:color w:val="auto"/>
        </w:rPr>
        <w:t>You may not make premium payments on or after the Policy Anniversary when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Insured reaches Attained Age 121, except for premiums required during the Grace Period.</w:t>
      </w:r>
    </w:p>
    <w:p>
      <w:pPr>
        <w:spacing w:after="0" w:line="210"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4"/>
          <w:szCs w:val="14"/>
          <w:b w:val="1"/>
          <w:bCs w:val="1"/>
          <w:color w:val="auto"/>
        </w:rPr>
        <w:t>INDEXED ACCOUNTS</w:t>
      </w:r>
    </w:p>
    <w:p>
      <w:pPr>
        <w:spacing w:after="0" w:line="75" w:lineRule="exact"/>
        <w:rPr>
          <w:sz w:val="20"/>
          <w:szCs w:val="20"/>
          <w:color w:val="auto"/>
        </w:rPr>
      </w:pPr>
    </w:p>
    <w:p>
      <w:pPr>
        <w:jc w:val="both"/>
        <w:ind w:right="2939" w:firstLine="274"/>
        <w:spacing w:after="0" w:line="248" w:lineRule="auto"/>
        <w:rPr>
          <w:sz w:val="20"/>
          <w:szCs w:val="20"/>
          <w:color w:val="auto"/>
        </w:rPr>
      </w:pPr>
      <w:r>
        <w:rPr>
          <w:rFonts w:ascii="Times New Roman" w:cs="Times New Roman" w:eastAsia="Times New Roman" w:hAnsi="Times New Roman"/>
          <w:sz w:val="14"/>
          <w:szCs w:val="14"/>
          <w:color w:val="auto"/>
        </w:rPr>
        <w:t>Brighthouse SmartGuard Plus</w:t>
      </w:r>
      <w:r>
        <w:rPr>
          <w:rFonts w:ascii="Times New Roman" w:cs="Times New Roman" w:eastAsia="Times New Roman" w:hAnsi="Times New Roman"/>
          <w:sz w:val="17"/>
          <w:szCs w:val="17"/>
          <w:color w:val="auto"/>
          <w:vertAlign w:val="superscript"/>
        </w:rPr>
        <w:t>SM</w:t>
      </w:r>
      <w:r>
        <w:rPr>
          <w:rFonts w:ascii="Times New Roman" w:cs="Times New Roman" w:eastAsia="Times New Roman" w:hAnsi="Times New Roman"/>
          <w:sz w:val="14"/>
          <w:szCs w:val="14"/>
          <w:color w:val="auto"/>
        </w:rPr>
        <w:t xml:space="preserve"> is an index-linked insurance policy. Its Indexed Accounts offer potential interest based upon Index performance. This potential interest—the Segment Performance Rate—may be a positive or negative percentage or zero.</w:t>
      </w:r>
    </w:p>
    <w:p>
      <w:pPr>
        <w:spacing w:after="0" w:line="66" w:lineRule="exact"/>
        <w:rPr>
          <w:sz w:val="20"/>
          <w:szCs w:val="20"/>
          <w:color w:val="auto"/>
        </w:rPr>
      </w:pPr>
    </w:p>
    <w:p>
      <w:pPr>
        <w:jc w:val="both"/>
        <w:ind w:right="2939" w:firstLine="274"/>
        <w:spacing w:after="0" w:line="267" w:lineRule="auto"/>
        <w:rPr>
          <w:sz w:val="20"/>
          <w:szCs w:val="20"/>
          <w:color w:val="auto"/>
        </w:rPr>
      </w:pPr>
      <w:r>
        <w:rPr>
          <w:rFonts w:ascii="Times New Roman" w:cs="Times New Roman" w:eastAsia="Times New Roman" w:hAnsi="Times New Roman"/>
          <w:sz w:val="14"/>
          <w:szCs w:val="14"/>
          <w:color w:val="auto"/>
        </w:rPr>
        <w:t>Based upon the Segment Index Performance of the Index associated with the Indexed Account, we calculate the Segment Value and Interim Segment Value, as follows:</w:t>
      </w:r>
    </w:p>
    <w:p>
      <w:pPr>
        <w:spacing w:after="0" w:line="53" w:lineRule="exact"/>
        <w:rPr>
          <w:sz w:val="20"/>
          <w:szCs w:val="20"/>
          <w:color w:val="auto"/>
        </w:rPr>
      </w:pPr>
    </w:p>
    <w:p>
      <w:pPr>
        <w:jc w:val="both"/>
        <w:ind w:left="440" w:right="2999" w:hanging="171"/>
        <w:spacing w:after="0" w:line="251" w:lineRule="auto"/>
        <w:tabs>
          <w:tab w:leader="none" w:pos="4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the Segment Maturity Date, a Segment Credit, which reflects the full downside protection of the Buffer Rate and the full upside potential of the Cap Rate, is applied to the current Segment Value to calculate the Segment Value on the Segment Maturity Date. The current Segment Value on any given date is the Segment Value as of the close of the prior day before any adjustments for transactions occurring on the present Business Day are taken into account.</w:t>
      </w:r>
    </w:p>
    <w:p>
      <w:pPr>
        <w:spacing w:after="0" w:line="63" w:lineRule="exact"/>
        <w:rPr>
          <w:rFonts w:ascii="Times New Roman" w:cs="Times New Roman" w:eastAsia="Times New Roman" w:hAnsi="Times New Roman"/>
          <w:sz w:val="14"/>
          <w:szCs w:val="14"/>
          <w:color w:val="auto"/>
        </w:rPr>
      </w:pPr>
    </w:p>
    <w:p>
      <w:pPr>
        <w:jc w:val="both"/>
        <w:ind w:left="440" w:right="2999" w:hanging="171"/>
        <w:spacing w:after="0" w:line="256" w:lineRule="auto"/>
        <w:tabs>
          <w:tab w:leader="none" w:pos="4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any Business Day prior to the Segment Maturity Date, we calculate Interim Segment Value. The Interim Segment Value on that day is the current Segment Value plus the Accrued Index Return, which reflects an Accrued Buffer Rate</w:t>
      </w:r>
    </w:p>
    <w:p>
      <w:pPr>
        <w:spacing w:after="0" w:line="205"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4"/>
          <w:szCs w:val="14"/>
          <w:color w:val="auto"/>
        </w:rPr>
        <w:t>26</w:t>
      </w:r>
    </w:p>
    <w:p>
      <w:pPr>
        <w:sectPr>
          <w:pgSz w:w="11900" w:h="16838" w:orient="portrait"/>
          <w:cols w:equalWidth="0" w:num="1">
            <w:col w:w="9219"/>
          </w:cols>
          <w:pgMar w:left="1240" w:top="1079" w:right="1440" w:bottom="1440" w:gutter="0" w:footer="0" w:header="0"/>
        </w:sectPr>
      </w:pPr>
    </w:p>
    <w:bookmarkStart w:id="29" w:name="page30"/>
    <w:bookmarkEnd w:id="29"/>
    <w:p>
      <w:pPr>
        <w:jc w:val="both"/>
        <w:ind w:left="440" w:right="2939"/>
        <w:spacing w:after="0" w:line="272"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179070</wp:posOffset>
            </wp:positionH>
            <wp:positionV relativeFrom="page">
              <wp:posOffset>422275</wp:posOffset>
            </wp:positionV>
            <wp:extent cx="719010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90105" cy="38735"/>
                    </a:xfrm>
                    <a:prstGeom prst="rect">
                      <a:avLst/>
                    </a:prstGeom>
                    <a:noFill/>
                  </pic:spPr>
                </pic:pic>
              </a:graphicData>
            </a:graphic>
          </wp:anchor>
        </w:drawing>
        <w:t>(less than the full downside protection of the Buffer Rate) and an Accrued Cap Rate (less than the full upside potential of the Cap Rate). The remaining Segment Value after a loan or Accelerated Death Benefit payment will be used as the new Segment Value for the remainder of the Segment Term or until you take another loan or request an Accelerated Death Benefit payment. The Interim Segment Value is the amount we use to determine the Indexed Account Cash Value prior to the Segment Maturity Date. The Indexed Account Cash Value is part of the Cash Value, which determines how much is available for the following:</w:t>
      </w:r>
    </w:p>
    <w:p>
      <w:pPr>
        <w:spacing w:after="0" w:line="53" w:lineRule="exact"/>
        <w:rPr>
          <w:sz w:val="20"/>
          <w:szCs w:val="20"/>
          <w:color w:val="auto"/>
        </w:rPr>
      </w:pPr>
    </w:p>
    <w:p>
      <w:pPr>
        <w:ind w:left="820" w:hanging="277"/>
        <w:spacing w:after="0"/>
        <w:tabs>
          <w:tab w:leader="none" w:pos="8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death benefits (including Policy Proceeds and an Accelerated Death Benefit payment);</w:t>
      </w:r>
    </w:p>
    <w:p>
      <w:pPr>
        <w:spacing w:after="0" w:line="85" w:lineRule="exact"/>
        <w:rPr>
          <w:rFonts w:ascii="Times New Roman" w:cs="Times New Roman" w:eastAsia="Times New Roman" w:hAnsi="Times New Roman"/>
          <w:sz w:val="14"/>
          <w:szCs w:val="14"/>
          <w:color w:val="auto"/>
        </w:rPr>
      </w:pPr>
    </w:p>
    <w:p>
      <w:pPr>
        <w:ind w:left="820" w:hanging="277"/>
        <w:spacing w:after="0"/>
        <w:tabs>
          <w:tab w:leader="none" w:pos="8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loans (not including loans in connection with Distribution Payments under the GDR);</w:t>
      </w:r>
    </w:p>
    <w:p>
      <w:pPr>
        <w:spacing w:after="0" w:line="85" w:lineRule="exact"/>
        <w:rPr>
          <w:rFonts w:ascii="Times New Roman" w:cs="Times New Roman" w:eastAsia="Times New Roman" w:hAnsi="Times New Roman"/>
          <w:sz w:val="14"/>
          <w:szCs w:val="14"/>
          <w:color w:val="auto"/>
        </w:rPr>
      </w:pPr>
    </w:p>
    <w:p>
      <w:pPr>
        <w:ind w:left="820" w:right="2999" w:hanging="277"/>
        <w:spacing w:after="0" w:line="267" w:lineRule="auto"/>
        <w:tabs>
          <w:tab w:leader="none" w:pos="8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transfers from Indexed Account Cash Value to the Fixed Account if you choose to start (or restart) Distribution Payments under the GDR; and</w:t>
      </w:r>
    </w:p>
    <w:p>
      <w:pPr>
        <w:spacing w:after="0" w:line="53" w:lineRule="exact"/>
        <w:rPr>
          <w:rFonts w:ascii="Times New Roman" w:cs="Times New Roman" w:eastAsia="Times New Roman" w:hAnsi="Times New Roman"/>
          <w:sz w:val="14"/>
          <w:szCs w:val="14"/>
          <w:color w:val="auto"/>
        </w:rPr>
      </w:pPr>
    </w:p>
    <w:p>
      <w:pPr>
        <w:ind w:left="820" w:hanging="277"/>
        <w:spacing w:after="0"/>
        <w:tabs>
          <w:tab w:leader="none" w:pos="8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Surrenders (including Surrenders in connection with the Free Look Period).</w:t>
      </w:r>
    </w:p>
    <w:p>
      <w:pPr>
        <w:spacing w:after="0" w:line="8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(See “INTERIM SEGMENT VALUE CALCULATION.”)</w:t>
      </w:r>
    </w:p>
    <w:p>
      <w:pPr>
        <w:spacing w:after="0" w:line="86" w:lineRule="exact"/>
        <w:rPr>
          <w:sz w:val="20"/>
          <w:szCs w:val="20"/>
          <w:color w:val="auto"/>
        </w:rPr>
      </w:pPr>
    </w:p>
    <w:p>
      <w:pPr>
        <w:jc w:val="both"/>
        <w:ind w:right="2939" w:firstLine="274"/>
        <w:spacing w:after="0" w:line="248" w:lineRule="auto"/>
        <w:rPr>
          <w:sz w:val="20"/>
          <w:szCs w:val="20"/>
          <w:color w:val="auto"/>
        </w:rPr>
      </w:pPr>
      <w:r>
        <w:rPr>
          <w:rFonts w:ascii="Times New Roman" w:cs="Times New Roman" w:eastAsia="Times New Roman" w:hAnsi="Times New Roman"/>
          <w:sz w:val="14"/>
          <w:szCs w:val="14"/>
          <w:color w:val="auto"/>
        </w:rPr>
        <w:t>Given that Segment Index Performance may be positive, zero or negative, your Accrued Index Return or Segment Credit may be positive, zero or negative. Therefore, it is possible for you to lose a portion of premium payments and any earnings invested in the Policy. The Accrued Index Return and Segment Credit are based on a certain amount of protection against decreases in the Closing Value of the Index and a limitation on increases in the Closing Value of the Index. The extent of the downside protection varies by the Buffer Rate you select. If you access amounts in the Indexed Accounts before the Segment Maturity Date, we will instead calculate an Interim Segment Value on each Business Day between the Segment Start Date and the Segment Maturity Date. (See “INTERIM SEGMENT VALUE CALCULATION.”)</w:t>
      </w:r>
    </w:p>
    <w:p>
      <w:pPr>
        <w:spacing w:after="0" w:line="68" w:lineRule="exact"/>
        <w:rPr>
          <w:sz w:val="20"/>
          <w:szCs w:val="20"/>
          <w:color w:val="auto"/>
        </w:rPr>
      </w:pPr>
    </w:p>
    <w:p>
      <w:pPr>
        <w:jc w:val="both"/>
        <w:ind w:right="2939" w:firstLine="274"/>
        <w:spacing w:after="0" w:line="274" w:lineRule="auto"/>
        <w:rPr>
          <w:sz w:val="20"/>
          <w:szCs w:val="20"/>
          <w:color w:val="auto"/>
        </w:rPr>
      </w:pPr>
      <w:r>
        <w:rPr>
          <w:rFonts w:ascii="Times New Roman" w:cs="Times New Roman" w:eastAsia="Times New Roman" w:hAnsi="Times New Roman"/>
          <w:sz w:val="13"/>
          <w:szCs w:val="13"/>
          <w:color w:val="auto"/>
        </w:rPr>
        <w:t>Prior to starting Distribution Payments under the GDR and when Distribution Payments are suspended or terminated, you have the opportunity to allocate your Net Premiums and unloaned Cash Value to any of the Indexed Accounts described below. We are not obligated to offer any one particular Indexed Account and your selling firm may limit the Indexed Accounts available through that firm when your Policy is issued. After the Policy is issued, there will always be one Indexed Account available with a minimum of 5% downside protection.</w:t>
      </w:r>
    </w:p>
    <w:p>
      <w:pPr>
        <w:spacing w:after="0" w:line="52" w:lineRule="exact"/>
        <w:rPr>
          <w:sz w:val="20"/>
          <w:szCs w:val="20"/>
          <w:color w:val="auto"/>
        </w:rPr>
      </w:pPr>
    </w:p>
    <w:p>
      <w:pPr>
        <w:jc w:val="both"/>
        <w:ind w:right="2939" w:firstLine="274"/>
        <w:spacing w:after="0" w:line="267" w:lineRule="auto"/>
        <w:rPr>
          <w:sz w:val="20"/>
          <w:szCs w:val="20"/>
          <w:color w:val="auto"/>
        </w:rPr>
      </w:pPr>
      <w:r>
        <w:rPr>
          <w:rFonts w:ascii="Times New Roman" w:cs="Times New Roman" w:eastAsia="Times New Roman" w:hAnsi="Times New Roman"/>
          <w:sz w:val="14"/>
          <w:szCs w:val="14"/>
          <w:color w:val="auto"/>
        </w:rPr>
        <w:t>The following chart lists the Indexed Accounts (each of which is issued with a Cap Rate, which will be announced prior to the Segment Start Date) available:</w:t>
      </w:r>
    </w:p>
    <w:p>
      <w:pPr>
        <w:spacing w:after="0" w:line="82" w:lineRule="exact"/>
        <w:rPr>
          <w:sz w:val="20"/>
          <w:szCs w:val="20"/>
          <w:color w:val="auto"/>
        </w:rPr>
      </w:pPr>
    </w:p>
    <w:tbl>
      <w:tblPr>
        <w:tblLayout w:type="fixed"/>
        <w:tblInd w:w="10" w:type="dxa"/>
        <w:tblCellMar>
          <w:top w:w="0" w:type="dxa"/>
          <w:left w:w="0" w:type="dxa"/>
          <w:bottom w:w="0" w:type="dxa"/>
          <w:right w:w="0" w:type="dxa"/>
        </w:tblCellMar>
      </w:tblPr>
      <w:tr>
        <w:trPr>
          <w:trHeight w:val="161"/>
        </w:trPr>
        <w:tc>
          <w:tcPr>
            <w:tcW w:w="1920" w:type="dxa"/>
            <w:vAlign w:val="bottom"/>
            <w:tcBorders>
              <w:top w:val="single" w:sz="8" w:color="auto"/>
              <w:left w:val="single" w:sz="8" w:color="auto"/>
            </w:tcBorders>
          </w:tcPr>
          <w:p>
            <w:pPr>
              <w:spacing w:after="0"/>
              <w:rPr>
                <w:sz w:val="13"/>
                <w:szCs w:val="13"/>
                <w:color w:val="auto"/>
              </w:rPr>
            </w:pPr>
          </w:p>
        </w:tc>
        <w:tc>
          <w:tcPr>
            <w:tcW w:w="4380" w:type="dxa"/>
            <w:vAlign w:val="bottom"/>
            <w:tcBorders>
              <w:top w:val="single" w:sz="8" w:color="auto"/>
              <w:right w:val="single" w:sz="8" w:color="auto"/>
            </w:tcBorders>
            <w:gridSpan w:val="2"/>
          </w:tcPr>
          <w:p>
            <w:pPr>
              <w:jc w:val="center"/>
              <w:ind w:right="1873"/>
              <w:spacing w:after="0"/>
              <w:rPr>
                <w:sz w:val="20"/>
                <w:szCs w:val="20"/>
                <w:color w:val="auto"/>
              </w:rPr>
            </w:pPr>
            <w:r>
              <w:rPr>
                <w:rFonts w:ascii="Times New Roman" w:cs="Times New Roman" w:eastAsia="Times New Roman" w:hAnsi="Times New Roman"/>
                <w:sz w:val="11"/>
                <w:szCs w:val="11"/>
                <w:b w:val="1"/>
                <w:bCs w:val="1"/>
                <w:color w:val="auto"/>
              </w:rPr>
              <w:t>INDEXED ACCOUNTS</w:t>
            </w:r>
          </w:p>
        </w:tc>
      </w:tr>
      <w:tr>
        <w:trPr>
          <w:trHeight w:val="144"/>
        </w:trPr>
        <w:tc>
          <w:tcPr>
            <w:tcW w:w="1920" w:type="dxa"/>
            <w:vAlign w:val="bottom"/>
            <w:tcBorders>
              <w:left w:val="single" w:sz="8" w:color="auto"/>
            </w:tcBorders>
          </w:tcPr>
          <w:p>
            <w:pPr>
              <w:spacing w:after="0"/>
              <w:rPr>
                <w:sz w:val="12"/>
                <w:szCs w:val="12"/>
                <w:color w:val="auto"/>
              </w:rPr>
            </w:pPr>
          </w:p>
        </w:tc>
        <w:tc>
          <w:tcPr>
            <w:tcW w:w="4380" w:type="dxa"/>
            <w:vAlign w:val="bottom"/>
            <w:tcBorders>
              <w:right w:val="single" w:sz="8" w:color="auto"/>
            </w:tcBorders>
            <w:gridSpan w:val="2"/>
          </w:tcPr>
          <w:p>
            <w:pPr>
              <w:jc w:val="center"/>
              <w:ind w:right="1873"/>
              <w:spacing w:after="0"/>
              <w:rPr>
                <w:sz w:val="20"/>
                <w:szCs w:val="20"/>
                <w:color w:val="auto"/>
              </w:rPr>
            </w:pPr>
            <w:r>
              <w:rPr>
                <w:rFonts w:ascii="Times New Roman" w:cs="Times New Roman" w:eastAsia="Times New Roman" w:hAnsi="Times New Roman"/>
                <w:sz w:val="11"/>
                <w:szCs w:val="11"/>
                <w:b w:val="1"/>
                <w:bCs w:val="1"/>
                <w:color w:val="auto"/>
              </w:rPr>
              <w:t>available before the Distribution Start Date</w:t>
            </w:r>
          </w:p>
        </w:tc>
      </w:tr>
      <w:tr>
        <w:trPr>
          <w:trHeight w:val="30"/>
        </w:trPr>
        <w:tc>
          <w:tcPr>
            <w:tcW w:w="1920" w:type="dxa"/>
            <w:vAlign w:val="bottom"/>
            <w:tcBorders>
              <w:left w:val="single" w:sz="8" w:color="auto"/>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140" w:type="dxa"/>
            <w:vAlign w:val="bottom"/>
            <w:tcBorders>
              <w:bottom w:val="single" w:sz="8" w:color="auto"/>
              <w:right w:val="single" w:sz="8" w:color="auto"/>
            </w:tcBorders>
          </w:tcPr>
          <w:p>
            <w:pPr>
              <w:spacing w:after="0"/>
              <w:rPr>
                <w:sz w:val="2"/>
                <w:szCs w:val="2"/>
                <w:color w:val="auto"/>
              </w:rPr>
            </w:pPr>
          </w:p>
        </w:tc>
      </w:tr>
      <w:tr>
        <w:trPr>
          <w:trHeight w:val="155"/>
        </w:trPr>
        <w:tc>
          <w:tcPr>
            <w:tcW w:w="1920" w:type="dxa"/>
            <w:vAlign w:val="bottom"/>
            <w:tcBorders>
              <w:left w:val="single" w:sz="8" w:color="auto"/>
              <w:bottom w:val="single" w:sz="8" w:color="auto"/>
            </w:tcBorders>
            <w:shd w:val="clear" w:color="auto" w:fill="F0FFFF"/>
          </w:tcPr>
          <w:p>
            <w:pPr>
              <w:ind w:left="1360"/>
              <w:spacing w:after="0"/>
              <w:rPr>
                <w:sz w:val="20"/>
                <w:szCs w:val="20"/>
                <w:color w:val="auto"/>
              </w:rPr>
            </w:pPr>
            <w:r>
              <w:rPr>
                <w:rFonts w:ascii="Times New Roman" w:cs="Times New Roman" w:eastAsia="Times New Roman" w:hAnsi="Times New Roman"/>
                <w:sz w:val="11"/>
                <w:szCs w:val="11"/>
                <w:b w:val="1"/>
                <w:bCs w:val="1"/>
                <w:color w:val="auto"/>
              </w:rPr>
              <w:t>TERM</w:t>
            </w:r>
          </w:p>
        </w:tc>
        <w:tc>
          <w:tcPr>
            <w:tcW w:w="1240" w:type="dxa"/>
            <w:vAlign w:val="bottom"/>
            <w:tcBorders>
              <w:bottom w:val="single" w:sz="8" w:color="auto"/>
              <w:right w:val="single" w:sz="8" w:color="auto"/>
            </w:tcBorders>
            <w:shd w:val="clear" w:color="auto" w:fill="F0FFFF"/>
          </w:tcPr>
          <w:p>
            <w:pPr>
              <w:spacing w:after="0"/>
              <w:rPr>
                <w:sz w:val="13"/>
                <w:szCs w:val="13"/>
                <w:color w:val="auto"/>
              </w:rPr>
            </w:pPr>
          </w:p>
        </w:tc>
        <w:tc>
          <w:tcPr>
            <w:tcW w:w="314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1"/>
                <w:szCs w:val="11"/>
                <w:b w:val="1"/>
                <w:bCs w:val="1"/>
                <w:color w:val="auto"/>
              </w:rPr>
              <w:t>INDEXED ACCOUNT</w:t>
            </w:r>
          </w:p>
        </w:tc>
      </w:tr>
      <w:tr>
        <w:trPr>
          <w:trHeight w:val="172"/>
        </w:trPr>
        <w:tc>
          <w:tcPr>
            <w:tcW w:w="1920" w:type="dxa"/>
            <w:vAlign w:val="bottom"/>
            <w:tcBorders>
              <w:left w:val="single" w:sz="8" w:color="auto"/>
            </w:tcBorders>
          </w:tcPr>
          <w:p>
            <w:pPr>
              <w:spacing w:after="0"/>
              <w:rPr>
                <w:sz w:val="14"/>
                <w:szCs w:val="14"/>
                <w:color w:val="auto"/>
              </w:rPr>
            </w:pPr>
          </w:p>
        </w:tc>
        <w:tc>
          <w:tcPr>
            <w:tcW w:w="4380" w:type="dxa"/>
            <w:vAlign w:val="bottom"/>
            <w:tcBorders>
              <w:right w:val="single" w:sz="8" w:color="auto"/>
            </w:tcBorders>
            <w:gridSpan w:val="2"/>
          </w:tcPr>
          <w:p>
            <w:pPr>
              <w:jc w:val="center"/>
              <w:ind w:right="1873"/>
              <w:spacing w:after="0"/>
              <w:rPr>
                <w:sz w:val="20"/>
                <w:szCs w:val="20"/>
                <w:color w:val="auto"/>
              </w:rPr>
            </w:pPr>
            <w:r>
              <w:rPr>
                <w:rFonts w:ascii="Times New Roman" w:cs="Times New Roman" w:eastAsia="Times New Roman" w:hAnsi="Times New Roman"/>
                <w:sz w:val="14"/>
                <w:szCs w:val="14"/>
                <w:color w:val="auto"/>
                <w:w w:val="98"/>
              </w:rPr>
              <w:t>BUFFER 100</w:t>
            </w:r>
          </w:p>
        </w:tc>
      </w:tr>
      <w:tr>
        <w:trPr>
          <w:trHeight w:val="176"/>
        </w:trPr>
        <w:tc>
          <w:tcPr>
            <w:tcW w:w="1920" w:type="dxa"/>
            <w:vAlign w:val="bottom"/>
            <w:tcBorders>
              <w:left w:val="single" w:sz="8" w:color="auto"/>
            </w:tcBorders>
          </w:tcPr>
          <w:p>
            <w:pPr>
              <w:spacing w:after="0"/>
              <w:rPr>
                <w:sz w:val="15"/>
                <w:szCs w:val="15"/>
                <w:color w:val="auto"/>
              </w:rPr>
            </w:pPr>
          </w:p>
        </w:tc>
        <w:tc>
          <w:tcPr>
            <w:tcW w:w="4380" w:type="dxa"/>
            <w:vAlign w:val="bottom"/>
            <w:tcBorders>
              <w:right w:val="single" w:sz="8" w:color="auto"/>
            </w:tcBorders>
            <w:gridSpan w:val="2"/>
          </w:tcPr>
          <w:p>
            <w:pPr>
              <w:jc w:val="center"/>
              <w:ind w:right="1873"/>
              <w:spacing w:after="0"/>
              <w:rPr>
                <w:sz w:val="20"/>
                <w:szCs w:val="20"/>
                <w:color w:val="auto"/>
              </w:rPr>
            </w:pPr>
            <w:r>
              <w:rPr>
                <w:rFonts w:ascii="Times New Roman" w:cs="Times New Roman" w:eastAsia="Times New Roman" w:hAnsi="Times New Roman"/>
                <w:sz w:val="14"/>
                <w:szCs w:val="14"/>
                <w:color w:val="auto"/>
                <w:w w:val="97"/>
              </w:rPr>
              <w:t>(100% downside protection)</w:t>
            </w:r>
          </w:p>
        </w:tc>
      </w:tr>
      <w:tr>
        <w:trPr>
          <w:trHeight w:val="22"/>
        </w:trPr>
        <w:tc>
          <w:tcPr>
            <w:tcW w:w="1920" w:type="dxa"/>
            <w:vAlign w:val="bottom"/>
            <w:tcBorders>
              <w:left w:val="single" w:sz="8" w:color="auto"/>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140" w:type="dxa"/>
            <w:vAlign w:val="bottom"/>
            <w:tcBorders>
              <w:bottom w:val="single" w:sz="8" w:color="auto"/>
              <w:right w:val="single" w:sz="8" w:color="auto"/>
            </w:tcBorders>
          </w:tcPr>
          <w:p>
            <w:pPr>
              <w:spacing w:after="0" w:line="20" w:lineRule="exact"/>
              <w:rPr>
                <w:sz w:val="1"/>
                <w:szCs w:val="1"/>
                <w:color w:val="auto"/>
              </w:rPr>
            </w:pPr>
          </w:p>
        </w:tc>
      </w:tr>
      <w:tr>
        <w:trPr>
          <w:trHeight w:val="158"/>
        </w:trPr>
        <w:tc>
          <w:tcPr>
            <w:tcW w:w="1920" w:type="dxa"/>
            <w:vAlign w:val="bottom"/>
            <w:tcBorders>
              <w:left w:val="single" w:sz="8" w:color="auto"/>
            </w:tcBorders>
            <w:shd w:val="clear" w:color="auto" w:fill="F0FFFF"/>
          </w:tcPr>
          <w:p>
            <w:pPr>
              <w:ind w:left="1360"/>
              <w:spacing w:after="0" w:line="158" w:lineRule="exact"/>
              <w:rPr>
                <w:sz w:val="20"/>
                <w:szCs w:val="20"/>
                <w:color w:val="auto"/>
              </w:rPr>
            </w:pPr>
            <w:r>
              <w:rPr>
                <w:rFonts w:ascii="Times New Roman" w:cs="Times New Roman" w:eastAsia="Times New Roman" w:hAnsi="Times New Roman"/>
                <w:sz w:val="14"/>
                <w:szCs w:val="14"/>
                <w:color w:val="auto"/>
              </w:rPr>
              <w:t>1 Year</w:t>
            </w:r>
          </w:p>
        </w:tc>
        <w:tc>
          <w:tcPr>
            <w:tcW w:w="1240" w:type="dxa"/>
            <w:vAlign w:val="bottom"/>
            <w:tcBorders>
              <w:right w:val="single" w:sz="8" w:color="auto"/>
            </w:tcBorders>
            <w:shd w:val="clear" w:color="auto" w:fill="F0FFFF"/>
          </w:tcPr>
          <w:p>
            <w:pPr>
              <w:spacing w:after="0"/>
              <w:rPr>
                <w:sz w:val="13"/>
                <w:szCs w:val="13"/>
                <w:color w:val="auto"/>
              </w:rPr>
            </w:pPr>
          </w:p>
        </w:tc>
        <w:tc>
          <w:tcPr>
            <w:tcW w:w="3140" w:type="dxa"/>
            <w:vAlign w:val="bottom"/>
            <w:tcBorders>
              <w:right w:val="single" w:sz="8" w:color="auto"/>
            </w:tcBorders>
            <w:shd w:val="clear" w:color="auto" w:fill="F0FFFF"/>
          </w:tcPr>
          <w:p>
            <w:pPr>
              <w:jc w:val="center"/>
              <w:spacing w:after="0" w:line="159" w:lineRule="exact"/>
              <w:rPr>
                <w:sz w:val="20"/>
                <w:szCs w:val="20"/>
                <w:color w:val="auto"/>
              </w:rPr>
            </w:pPr>
            <w:r>
              <w:rPr>
                <w:rFonts w:ascii="Times New Roman" w:cs="Times New Roman" w:eastAsia="Times New Roman" w:hAnsi="Times New Roman"/>
                <w:sz w:val="14"/>
                <w:szCs w:val="14"/>
                <w:color w:val="auto"/>
                <w:w w:val="94"/>
              </w:rPr>
              <w:t>S&amp;P 500</w:t>
            </w:r>
            <w:r>
              <w:rPr>
                <w:rFonts w:ascii="Times New Roman" w:cs="Times New Roman" w:eastAsia="Times New Roman" w:hAnsi="Times New Roman"/>
                <w:sz w:val="17"/>
                <w:szCs w:val="17"/>
                <w:color w:val="auto"/>
                <w:w w:val="94"/>
                <w:vertAlign w:val="superscript"/>
              </w:rPr>
              <w:t>®</w:t>
            </w:r>
            <w:r>
              <w:rPr>
                <w:rFonts w:ascii="Times New Roman" w:cs="Times New Roman" w:eastAsia="Times New Roman" w:hAnsi="Times New Roman"/>
                <w:sz w:val="14"/>
                <w:szCs w:val="14"/>
                <w:color w:val="auto"/>
                <w:w w:val="94"/>
              </w:rPr>
              <w:t xml:space="preserve"> Index</w:t>
            </w:r>
          </w:p>
        </w:tc>
      </w:tr>
      <w:tr>
        <w:trPr>
          <w:trHeight w:val="190"/>
        </w:trPr>
        <w:tc>
          <w:tcPr>
            <w:tcW w:w="1920" w:type="dxa"/>
            <w:vAlign w:val="bottom"/>
            <w:tcBorders>
              <w:left w:val="single" w:sz="8" w:color="auto"/>
            </w:tcBorders>
            <w:shd w:val="clear" w:color="auto" w:fill="F0FFFF"/>
          </w:tcPr>
          <w:p>
            <w:pPr>
              <w:spacing w:after="0"/>
              <w:rPr>
                <w:sz w:val="16"/>
                <w:szCs w:val="16"/>
                <w:color w:val="auto"/>
              </w:rPr>
            </w:pPr>
          </w:p>
        </w:tc>
        <w:tc>
          <w:tcPr>
            <w:tcW w:w="1240" w:type="dxa"/>
            <w:vAlign w:val="bottom"/>
            <w:tcBorders>
              <w:right w:val="single" w:sz="8" w:color="auto"/>
            </w:tcBorders>
            <w:shd w:val="clear" w:color="auto" w:fill="F0FFFF"/>
          </w:tcPr>
          <w:p>
            <w:pPr>
              <w:spacing w:after="0"/>
              <w:rPr>
                <w:sz w:val="16"/>
                <w:szCs w:val="16"/>
                <w:color w:val="auto"/>
              </w:rPr>
            </w:pPr>
          </w:p>
        </w:tc>
        <w:tc>
          <w:tcPr>
            <w:tcW w:w="3140" w:type="dxa"/>
            <w:vAlign w:val="bottom"/>
            <w:tcBorders>
              <w:right w:val="single" w:sz="8" w:color="auto"/>
            </w:tcBorders>
            <w:shd w:val="clear" w:color="auto" w:fill="F0FFFF"/>
          </w:tcPr>
          <w:p>
            <w:pPr>
              <w:jc w:val="center"/>
              <w:spacing w:after="0" w:line="189" w:lineRule="exact"/>
              <w:rPr>
                <w:sz w:val="20"/>
                <w:szCs w:val="20"/>
                <w:color w:val="auto"/>
              </w:rPr>
            </w:pPr>
            <w:r>
              <w:rPr>
                <w:rFonts w:ascii="Times New Roman" w:cs="Times New Roman" w:eastAsia="Times New Roman" w:hAnsi="Times New Roman"/>
                <w:sz w:val="14"/>
                <w:szCs w:val="14"/>
                <w:color w:val="auto"/>
                <w:w w:val="97"/>
              </w:rPr>
              <w:t>Russell 2000</w:t>
            </w:r>
            <w:r>
              <w:rPr>
                <w:rFonts w:ascii="Times New Roman" w:cs="Times New Roman" w:eastAsia="Times New Roman" w:hAnsi="Times New Roman"/>
                <w:sz w:val="17"/>
                <w:szCs w:val="17"/>
                <w:color w:val="auto"/>
                <w:w w:val="97"/>
                <w:vertAlign w:val="superscript"/>
              </w:rPr>
              <w:t>®</w:t>
            </w:r>
            <w:r>
              <w:rPr>
                <w:rFonts w:ascii="Times New Roman" w:cs="Times New Roman" w:eastAsia="Times New Roman" w:hAnsi="Times New Roman"/>
                <w:sz w:val="14"/>
                <w:szCs w:val="14"/>
                <w:color w:val="auto"/>
                <w:w w:val="97"/>
              </w:rPr>
              <w:t xml:space="preserve"> Index</w:t>
            </w:r>
          </w:p>
        </w:tc>
      </w:tr>
      <w:tr>
        <w:trPr>
          <w:trHeight w:val="203"/>
        </w:trPr>
        <w:tc>
          <w:tcPr>
            <w:tcW w:w="1920" w:type="dxa"/>
            <w:vAlign w:val="bottom"/>
            <w:tcBorders>
              <w:left w:val="single" w:sz="8" w:color="auto"/>
              <w:bottom w:val="single" w:sz="8" w:color="F0FFFF"/>
            </w:tcBorders>
            <w:shd w:val="clear" w:color="auto" w:fill="F0FFFF"/>
          </w:tcPr>
          <w:p>
            <w:pPr>
              <w:spacing w:after="0"/>
              <w:rPr>
                <w:sz w:val="17"/>
                <w:szCs w:val="17"/>
                <w:color w:val="auto"/>
              </w:rPr>
            </w:pPr>
          </w:p>
        </w:tc>
        <w:tc>
          <w:tcPr>
            <w:tcW w:w="1240" w:type="dxa"/>
            <w:vAlign w:val="bottom"/>
            <w:tcBorders>
              <w:bottom w:val="single" w:sz="8" w:color="F0FFFF"/>
              <w:right w:val="single" w:sz="8" w:color="auto"/>
            </w:tcBorders>
            <w:shd w:val="clear" w:color="auto" w:fill="F0FFFF"/>
          </w:tcPr>
          <w:p>
            <w:pPr>
              <w:spacing w:after="0"/>
              <w:rPr>
                <w:sz w:val="17"/>
                <w:szCs w:val="17"/>
                <w:color w:val="auto"/>
              </w:rPr>
            </w:pPr>
          </w:p>
        </w:tc>
        <w:tc>
          <w:tcPr>
            <w:tcW w:w="314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color w:val="auto"/>
                <w:w w:val="98"/>
              </w:rPr>
              <w:t>MSCI EAFE Index</w:t>
            </w:r>
          </w:p>
        </w:tc>
      </w:tr>
      <w:tr>
        <w:trPr>
          <w:trHeight w:val="163"/>
        </w:trPr>
        <w:tc>
          <w:tcPr>
            <w:tcW w:w="1920" w:type="dxa"/>
            <w:vAlign w:val="bottom"/>
            <w:tcBorders>
              <w:top w:val="single" w:sz="8" w:color="auto"/>
              <w:left w:val="single" w:sz="8" w:color="auto"/>
            </w:tcBorders>
          </w:tcPr>
          <w:p>
            <w:pPr>
              <w:spacing w:after="0"/>
              <w:rPr>
                <w:sz w:val="14"/>
                <w:szCs w:val="14"/>
                <w:color w:val="auto"/>
              </w:rPr>
            </w:pPr>
          </w:p>
        </w:tc>
        <w:tc>
          <w:tcPr>
            <w:tcW w:w="4380" w:type="dxa"/>
            <w:vAlign w:val="bottom"/>
            <w:tcBorders>
              <w:top w:val="single" w:sz="8" w:color="auto"/>
              <w:right w:val="single" w:sz="8" w:color="auto"/>
            </w:tcBorders>
            <w:gridSpan w:val="2"/>
          </w:tcPr>
          <w:p>
            <w:pPr>
              <w:jc w:val="center"/>
              <w:ind w:right="1873"/>
              <w:spacing w:after="0"/>
              <w:rPr>
                <w:sz w:val="20"/>
                <w:szCs w:val="20"/>
                <w:color w:val="auto"/>
              </w:rPr>
            </w:pPr>
            <w:r>
              <w:rPr>
                <w:rFonts w:ascii="Times New Roman" w:cs="Times New Roman" w:eastAsia="Times New Roman" w:hAnsi="Times New Roman"/>
                <w:sz w:val="14"/>
                <w:szCs w:val="14"/>
                <w:color w:val="auto"/>
                <w:w w:val="96"/>
              </w:rPr>
              <w:t>BUFFER 20</w:t>
            </w:r>
          </w:p>
        </w:tc>
      </w:tr>
      <w:tr>
        <w:trPr>
          <w:trHeight w:val="176"/>
        </w:trPr>
        <w:tc>
          <w:tcPr>
            <w:tcW w:w="1920" w:type="dxa"/>
            <w:vAlign w:val="bottom"/>
            <w:tcBorders>
              <w:left w:val="single" w:sz="8" w:color="auto"/>
            </w:tcBorders>
          </w:tcPr>
          <w:p>
            <w:pPr>
              <w:spacing w:after="0"/>
              <w:rPr>
                <w:sz w:val="15"/>
                <w:szCs w:val="15"/>
                <w:color w:val="auto"/>
              </w:rPr>
            </w:pPr>
          </w:p>
        </w:tc>
        <w:tc>
          <w:tcPr>
            <w:tcW w:w="4380" w:type="dxa"/>
            <w:vAlign w:val="bottom"/>
            <w:tcBorders>
              <w:right w:val="single" w:sz="8" w:color="auto"/>
            </w:tcBorders>
            <w:gridSpan w:val="2"/>
          </w:tcPr>
          <w:p>
            <w:pPr>
              <w:jc w:val="center"/>
              <w:ind w:right="1873"/>
              <w:spacing w:after="0"/>
              <w:rPr>
                <w:sz w:val="20"/>
                <w:szCs w:val="20"/>
                <w:color w:val="auto"/>
              </w:rPr>
            </w:pPr>
            <w:r>
              <w:rPr>
                <w:rFonts w:ascii="Times New Roman" w:cs="Times New Roman" w:eastAsia="Times New Roman" w:hAnsi="Times New Roman"/>
                <w:sz w:val="14"/>
                <w:szCs w:val="14"/>
                <w:color w:val="auto"/>
                <w:w w:val="97"/>
              </w:rPr>
              <w:t>(up to 20% downside protection)</w:t>
            </w:r>
          </w:p>
        </w:tc>
      </w:tr>
      <w:tr>
        <w:trPr>
          <w:trHeight w:val="22"/>
        </w:trPr>
        <w:tc>
          <w:tcPr>
            <w:tcW w:w="1920" w:type="dxa"/>
            <w:vAlign w:val="bottom"/>
            <w:tcBorders>
              <w:left w:val="single" w:sz="8" w:color="auto"/>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140" w:type="dxa"/>
            <w:vAlign w:val="bottom"/>
            <w:tcBorders>
              <w:bottom w:val="single" w:sz="8" w:color="auto"/>
              <w:right w:val="single" w:sz="8" w:color="auto"/>
            </w:tcBorders>
          </w:tcPr>
          <w:p>
            <w:pPr>
              <w:spacing w:after="0" w:line="20" w:lineRule="exact"/>
              <w:rPr>
                <w:sz w:val="1"/>
                <w:szCs w:val="1"/>
                <w:color w:val="auto"/>
              </w:rPr>
            </w:pPr>
          </w:p>
        </w:tc>
      </w:tr>
      <w:tr>
        <w:trPr>
          <w:trHeight w:val="158"/>
        </w:trPr>
        <w:tc>
          <w:tcPr>
            <w:tcW w:w="1920" w:type="dxa"/>
            <w:vAlign w:val="bottom"/>
            <w:tcBorders>
              <w:left w:val="single" w:sz="8" w:color="auto"/>
            </w:tcBorders>
            <w:shd w:val="clear" w:color="auto" w:fill="F0FFFF"/>
          </w:tcPr>
          <w:p>
            <w:pPr>
              <w:ind w:left="1360"/>
              <w:spacing w:after="0" w:line="158" w:lineRule="exact"/>
              <w:rPr>
                <w:sz w:val="20"/>
                <w:szCs w:val="20"/>
                <w:color w:val="auto"/>
              </w:rPr>
            </w:pPr>
            <w:r>
              <w:rPr>
                <w:rFonts w:ascii="Times New Roman" w:cs="Times New Roman" w:eastAsia="Times New Roman" w:hAnsi="Times New Roman"/>
                <w:sz w:val="14"/>
                <w:szCs w:val="14"/>
                <w:color w:val="auto"/>
              </w:rPr>
              <w:t>1 Year</w:t>
            </w:r>
          </w:p>
        </w:tc>
        <w:tc>
          <w:tcPr>
            <w:tcW w:w="1240" w:type="dxa"/>
            <w:vAlign w:val="bottom"/>
            <w:tcBorders>
              <w:right w:val="single" w:sz="8" w:color="auto"/>
            </w:tcBorders>
            <w:shd w:val="clear" w:color="auto" w:fill="F0FFFF"/>
          </w:tcPr>
          <w:p>
            <w:pPr>
              <w:spacing w:after="0"/>
              <w:rPr>
                <w:sz w:val="13"/>
                <w:szCs w:val="13"/>
                <w:color w:val="auto"/>
              </w:rPr>
            </w:pPr>
          </w:p>
        </w:tc>
        <w:tc>
          <w:tcPr>
            <w:tcW w:w="3140" w:type="dxa"/>
            <w:vAlign w:val="bottom"/>
            <w:tcBorders>
              <w:right w:val="single" w:sz="8" w:color="auto"/>
            </w:tcBorders>
            <w:shd w:val="clear" w:color="auto" w:fill="F0FFFF"/>
          </w:tcPr>
          <w:p>
            <w:pPr>
              <w:jc w:val="center"/>
              <w:spacing w:after="0" w:line="159" w:lineRule="exact"/>
              <w:rPr>
                <w:sz w:val="20"/>
                <w:szCs w:val="20"/>
                <w:color w:val="auto"/>
              </w:rPr>
            </w:pPr>
            <w:r>
              <w:rPr>
                <w:rFonts w:ascii="Times New Roman" w:cs="Times New Roman" w:eastAsia="Times New Roman" w:hAnsi="Times New Roman"/>
                <w:sz w:val="14"/>
                <w:szCs w:val="14"/>
                <w:color w:val="auto"/>
                <w:w w:val="94"/>
              </w:rPr>
              <w:t>S&amp;P 500</w:t>
            </w:r>
            <w:r>
              <w:rPr>
                <w:rFonts w:ascii="Times New Roman" w:cs="Times New Roman" w:eastAsia="Times New Roman" w:hAnsi="Times New Roman"/>
                <w:sz w:val="17"/>
                <w:szCs w:val="17"/>
                <w:color w:val="auto"/>
                <w:w w:val="94"/>
                <w:vertAlign w:val="superscript"/>
              </w:rPr>
              <w:t>®</w:t>
            </w:r>
            <w:r>
              <w:rPr>
                <w:rFonts w:ascii="Times New Roman" w:cs="Times New Roman" w:eastAsia="Times New Roman" w:hAnsi="Times New Roman"/>
                <w:sz w:val="14"/>
                <w:szCs w:val="14"/>
                <w:color w:val="auto"/>
                <w:w w:val="94"/>
              </w:rPr>
              <w:t xml:space="preserve"> Index</w:t>
            </w:r>
          </w:p>
        </w:tc>
      </w:tr>
      <w:tr>
        <w:trPr>
          <w:trHeight w:val="190"/>
        </w:trPr>
        <w:tc>
          <w:tcPr>
            <w:tcW w:w="1920" w:type="dxa"/>
            <w:vAlign w:val="bottom"/>
            <w:tcBorders>
              <w:left w:val="single" w:sz="8" w:color="auto"/>
            </w:tcBorders>
            <w:shd w:val="clear" w:color="auto" w:fill="F0FFFF"/>
          </w:tcPr>
          <w:p>
            <w:pPr>
              <w:spacing w:after="0"/>
              <w:rPr>
                <w:sz w:val="16"/>
                <w:szCs w:val="16"/>
                <w:color w:val="auto"/>
              </w:rPr>
            </w:pPr>
          </w:p>
        </w:tc>
        <w:tc>
          <w:tcPr>
            <w:tcW w:w="1240" w:type="dxa"/>
            <w:vAlign w:val="bottom"/>
            <w:tcBorders>
              <w:right w:val="single" w:sz="8" w:color="auto"/>
            </w:tcBorders>
            <w:shd w:val="clear" w:color="auto" w:fill="F0FFFF"/>
          </w:tcPr>
          <w:p>
            <w:pPr>
              <w:spacing w:after="0"/>
              <w:rPr>
                <w:sz w:val="16"/>
                <w:szCs w:val="16"/>
                <w:color w:val="auto"/>
              </w:rPr>
            </w:pPr>
          </w:p>
        </w:tc>
        <w:tc>
          <w:tcPr>
            <w:tcW w:w="3140" w:type="dxa"/>
            <w:vAlign w:val="bottom"/>
            <w:tcBorders>
              <w:right w:val="single" w:sz="8" w:color="auto"/>
            </w:tcBorders>
            <w:shd w:val="clear" w:color="auto" w:fill="F0FFFF"/>
          </w:tcPr>
          <w:p>
            <w:pPr>
              <w:jc w:val="center"/>
              <w:spacing w:after="0" w:line="189" w:lineRule="exact"/>
              <w:rPr>
                <w:sz w:val="20"/>
                <w:szCs w:val="20"/>
                <w:color w:val="auto"/>
              </w:rPr>
            </w:pPr>
            <w:r>
              <w:rPr>
                <w:rFonts w:ascii="Times New Roman" w:cs="Times New Roman" w:eastAsia="Times New Roman" w:hAnsi="Times New Roman"/>
                <w:sz w:val="14"/>
                <w:szCs w:val="14"/>
                <w:color w:val="auto"/>
                <w:w w:val="97"/>
              </w:rPr>
              <w:t>Russell 2000</w:t>
            </w:r>
            <w:r>
              <w:rPr>
                <w:rFonts w:ascii="Times New Roman" w:cs="Times New Roman" w:eastAsia="Times New Roman" w:hAnsi="Times New Roman"/>
                <w:sz w:val="17"/>
                <w:szCs w:val="17"/>
                <w:color w:val="auto"/>
                <w:w w:val="97"/>
                <w:vertAlign w:val="superscript"/>
              </w:rPr>
              <w:t>®</w:t>
            </w:r>
            <w:r>
              <w:rPr>
                <w:rFonts w:ascii="Times New Roman" w:cs="Times New Roman" w:eastAsia="Times New Roman" w:hAnsi="Times New Roman"/>
                <w:sz w:val="14"/>
                <w:szCs w:val="14"/>
                <w:color w:val="auto"/>
                <w:w w:val="97"/>
              </w:rPr>
              <w:t xml:space="preserve"> Index</w:t>
            </w:r>
          </w:p>
        </w:tc>
      </w:tr>
      <w:tr>
        <w:trPr>
          <w:trHeight w:val="203"/>
        </w:trPr>
        <w:tc>
          <w:tcPr>
            <w:tcW w:w="1920" w:type="dxa"/>
            <w:vAlign w:val="bottom"/>
            <w:tcBorders>
              <w:left w:val="single" w:sz="8" w:color="auto"/>
              <w:bottom w:val="single" w:sz="8" w:color="F0FFFF"/>
            </w:tcBorders>
            <w:shd w:val="clear" w:color="auto" w:fill="F0FFFF"/>
          </w:tcPr>
          <w:p>
            <w:pPr>
              <w:spacing w:after="0"/>
              <w:rPr>
                <w:sz w:val="17"/>
                <w:szCs w:val="17"/>
                <w:color w:val="auto"/>
              </w:rPr>
            </w:pPr>
          </w:p>
        </w:tc>
        <w:tc>
          <w:tcPr>
            <w:tcW w:w="1240" w:type="dxa"/>
            <w:vAlign w:val="bottom"/>
            <w:tcBorders>
              <w:bottom w:val="single" w:sz="8" w:color="F0FFFF"/>
              <w:right w:val="single" w:sz="8" w:color="auto"/>
            </w:tcBorders>
            <w:shd w:val="clear" w:color="auto" w:fill="F0FFFF"/>
          </w:tcPr>
          <w:p>
            <w:pPr>
              <w:spacing w:after="0"/>
              <w:rPr>
                <w:sz w:val="17"/>
                <w:szCs w:val="17"/>
                <w:color w:val="auto"/>
              </w:rPr>
            </w:pPr>
          </w:p>
        </w:tc>
        <w:tc>
          <w:tcPr>
            <w:tcW w:w="314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color w:val="auto"/>
                <w:w w:val="98"/>
              </w:rPr>
              <w:t>MSCI EAFE Index</w:t>
            </w:r>
          </w:p>
        </w:tc>
      </w:tr>
      <w:tr>
        <w:trPr>
          <w:trHeight w:val="163"/>
        </w:trPr>
        <w:tc>
          <w:tcPr>
            <w:tcW w:w="1920" w:type="dxa"/>
            <w:vAlign w:val="bottom"/>
            <w:tcBorders>
              <w:top w:val="single" w:sz="8" w:color="auto"/>
              <w:left w:val="single" w:sz="8" w:color="auto"/>
            </w:tcBorders>
          </w:tcPr>
          <w:p>
            <w:pPr>
              <w:spacing w:after="0"/>
              <w:rPr>
                <w:sz w:val="14"/>
                <w:szCs w:val="14"/>
                <w:color w:val="auto"/>
              </w:rPr>
            </w:pPr>
          </w:p>
        </w:tc>
        <w:tc>
          <w:tcPr>
            <w:tcW w:w="4380" w:type="dxa"/>
            <w:vAlign w:val="bottom"/>
            <w:tcBorders>
              <w:top w:val="single" w:sz="8" w:color="auto"/>
              <w:right w:val="single" w:sz="8" w:color="auto"/>
            </w:tcBorders>
            <w:gridSpan w:val="2"/>
          </w:tcPr>
          <w:p>
            <w:pPr>
              <w:jc w:val="center"/>
              <w:ind w:right="1873"/>
              <w:spacing w:after="0"/>
              <w:rPr>
                <w:sz w:val="20"/>
                <w:szCs w:val="20"/>
                <w:color w:val="auto"/>
              </w:rPr>
            </w:pPr>
            <w:r>
              <w:rPr>
                <w:rFonts w:ascii="Times New Roman" w:cs="Times New Roman" w:eastAsia="Times New Roman" w:hAnsi="Times New Roman"/>
                <w:sz w:val="14"/>
                <w:szCs w:val="14"/>
                <w:color w:val="auto"/>
                <w:w w:val="96"/>
              </w:rPr>
              <w:t>BUFFER 15</w:t>
            </w:r>
          </w:p>
        </w:tc>
      </w:tr>
      <w:tr>
        <w:trPr>
          <w:trHeight w:val="176"/>
        </w:trPr>
        <w:tc>
          <w:tcPr>
            <w:tcW w:w="1920" w:type="dxa"/>
            <w:vAlign w:val="bottom"/>
            <w:tcBorders>
              <w:left w:val="single" w:sz="8" w:color="auto"/>
            </w:tcBorders>
          </w:tcPr>
          <w:p>
            <w:pPr>
              <w:spacing w:after="0"/>
              <w:rPr>
                <w:sz w:val="15"/>
                <w:szCs w:val="15"/>
                <w:color w:val="auto"/>
              </w:rPr>
            </w:pPr>
          </w:p>
        </w:tc>
        <w:tc>
          <w:tcPr>
            <w:tcW w:w="4380" w:type="dxa"/>
            <w:vAlign w:val="bottom"/>
            <w:tcBorders>
              <w:right w:val="single" w:sz="8" w:color="auto"/>
            </w:tcBorders>
            <w:gridSpan w:val="2"/>
          </w:tcPr>
          <w:p>
            <w:pPr>
              <w:jc w:val="center"/>
              <w:ind w:right="1873"/>
              <w:spacing w:after="0"/>
              <w:rPr>
                <w:sz w:val="20"/>
                <w:szCs w:val="20"/>
                <w:color w:val="auto"/>
              </w:rPr>
            </w:pPr>
            <w:r>
              <w:rPr>
                <w:rFonts w:ascii="Times New Roman" w:cs="Times New Roman" w:eastAsia="Times New Roman" w:hAnsi="Times New Roman"/>
                <w:sz w:val="14"/>
                <w:szCs w:val="14"/>
                <w:color w:val="auto"/>
                <w:w w:val="97"/>
              </w:rPr>
              <w:t>(up to 15% downside protection)</w:t>
            </w:r>
          </w:p>
        </w:tc>
      </w:tr>
      <w:tr>
        <w:trPr>
          <w:trHeight w:val="22"/>
        </w:trPr>
        <w:tc>
          <w:tcPr>
            <w:tcW w:w="1920" w:type="dxa"/>
            <w:vAlign w:val="bottom"/>
            <w:tcBorders>
              <w:left w:val="single" w:sz="8" w:color="auto"/>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140" w:type="dxa"/>
            <w:vAlign w:val="bottom"/>
            <w:tcBorders>
              <w:bottom w:val="single" w:sz="8" w:color="auto"/>
              <w:right w:val="single" w:sz="8" w:color="auto"/>
            </w:tcBorders>
          </w:tcPr>
          <w:p>
            <w:pPr>
              <w:spacing w:after="0" w:line="20" w:lineRule="exact"/>
              <w:rPr>
                <w:sz w:val="1"/>
                <w:szCs w:val="1"/>
                <w:color w:val="auto"/>
              </w:rPr>
            </w:pPr>
          </w:p>
        </w:tc>
      </w:tr>
      <w:tr>
        <w:trPr>
          <w:trHeight w:val="158"/>
        </w:trPr>
        <w:tc>
          <w:tcPr>
            <w:tcW w:w="1920" w:type="dxa"/>
            <w:vAlign w:val="bottom"/>
            <w:tcBorders>
              <w:left w:val="single" w:sz="8" w:color="auto"/>
            </w:tcBorders>
            <w:shd w:val="clear" w:color="auto" w:fill="F0FFFF"/>
          </w:tcPr>
          <w:p>
            <w:pPr>
              <w:ind w:left="1360"/>
              <w:spacing w:after="0" w:line="158" w:lineRule="exact"/>
              <w:rPr>
                <w:sz w:val="20"/>
                <w:szCs w:val="20"/>
                <w:color w:val="auto"/>
              </w:rPr>
            </w:pPr>
            <w:r>
              <w:rPr>
                <w:rFonts w:ascii="Times New Roman" w:cs="Times New Roman" w:eastAsia="Times New Roman" w:hAnsi="Times New Roman"/>
                <w:sz w:val="14"/>
                <w:szCs w:val="14"/>
                <w:color w:val="auto"/>
              </w:rPr>
              <w:t>1 Year</w:t>
            </w:r>
          </w:p>
        </w:tc>
        <w:tc>
          <w:tcPr>
            <w:tcW w:w="1240" w:type="dxa"/>
            <w:vAlign w:val="bottom"/>
            <w:tcBorders>
              <w:right w:val="single" w:sz="8" w:color="auto"/>
            </w:tcBorders>
            <w:shd w:val="clear" w:color="auto" w:fill="F0FFFF"/>
          </w:tcPr>
          <w:p>
            <w:pPr>
              <w:spacing w:after="0"/>
              <w:rPr>
                <w:sz w:val="13"/>
                <w:szCs w:val="13"/>
                <w:color w:val="auto"/>
              </w:rPr>
            </w:pPr>
          </w:p>
        </w:tc>
        <w:tc>
          <w:tcPr>
            <w:tcW w:w="3140" w:type="dxa"/>
            <w:vAlign w:val="bottom"/>
            <w:tcBorders>
              <w:right w:val="single" w:sz="8" w:color="auto"/>
            </w:tcBorders>
            <w:shd w:val="clear" w:color="auto" w:fill="F0FFFF"/>
          </w:tcPr>
          <w:p>
            <w:pPr>
              <w:jc w:val="center"/>
              <w:spacing w:after="0" w:line="159" w:lineRule="exact"/>
              <w:rPr>
                <w:sz w:val="20"/>
                <w:szCs w:val="20"/>
                <w:color w:val="auto"/>
              </w:rPr>
            </w:pPr>
            <w:r>
              <w:rPr>
                <w:rFonts w:ascii="Times New Roman" w:cs="Times New Roman" w:eastAsia="Times New Roman" w:hAnsi="Times New Roman"/>
                <w:sz w:val="14"/>
                <w:szCs w:val="14"/>
                <w:color w:val="auto"/>
                <w:w w:val="94"/>
              </w:rPr>
              <w:t>S&amp;P 500</w:t>
            </w:r>
            <w:r>
              <w:rPr>
                <w:rFonts w:ascii="Times New Roman" w:cs="Times New Roman" w:eastAsia="Times New Roman" w:hAnsi="Times New Roman"/>
                <w:sz w:val="17"/>
                <w:szCs w:val="17"/>
                <w:color w:val="auto"/>
                <w:w w:val="94"/>
                <w:vertAlign w:val="superscript"/>
              </w:rPr>
              <w:t>®</w:t>
            </w:r>
            <w:r>
              <w:rPr>
                <w:rFonts w:ascii="Times New Roman" w:cs="Times New Roman" w:eastAsia="Times New Roman" w:hAnsi="Times New Roman"/>
                <w:sz w:val="14"/>
                <w:szCs w:val="14"/>
                <w:color w:val="auto"/>
                <w:w w:val="94"/>
              </w:rPr>
              <w:t xml:space="preserve"> Index</w:t>
            </w:r>
          </w:p>
        </w:tc>
      </w:tr>
      <w:tr>
        <w:trPr>
          <w:trHeight w:val="190"/>
        </w:trPr>
        <w:tc>
          <w:tcPr>
            <w:tcW w:w="1920" w:type="dxa"/>
            <w:vAlign w:val="bottom"/>
            <w:tcBorders>
              <w:left w:val="single" w:sz="8" w:color="auto"/>
            </w:tcBorders>
            <w:shd w:val="clear" w:color="auto" w:fill="F0FFFF"/>
          </w:tcPr>
          <w:p>
            <w:pPr>
              <w:spacing w:after="0"/>
              <w:rPr>
                <w:sz w:val="16"/>
                <w:szCs w:val="16"/>
                <w:color w:val="auto"/>
              </w:rPr>
            </w:pPr>
          </w:p>
        </w:tc>
        <w:tc>
          <w:tcPr>
            <w:tcW w:w="1240" w:type="dxa"/>
            <w:vAlign w:val="bottom"/>
            <w:tcBorders>
              <w:right w:val="single" w:sz="8" w:color="auto"/>
            </w:tcBorders>
            <w:shd w:val="clear" w:color="auto" w:fill="F0FFFF"/>
          </w:tcPr>
          <w:p>
            <w:pPr>
              <w:spacing w:after="0"/>
              <w:rPr>
                <w:sz w:val="16"/>
                <w:szCs w:val="16"/>
                <w:color w:val="auto"/>
              </w:rPr>
            </w:pPr>
          </w:p>
        </w:tc>
        <w:tc>
          <w:tcPr>
            <w:tcW w:w="3140" w:type="dxa"/>
            <w:vAlign w:val="bottom"/>
            <w:tcBorders>
              <w:right w:val="single" w:sz="8" w:color="auto"/>
            </w:tcBorders>
            <w:shd w:val="clear" w:color="auto" w:fill="F0FFFF"/>
          </w:tcPr>
          <w:p>
            <w:pPr>
              <w:jc w:val="center"/>
              <w:spacing w:after="0" w:line="189" w:lineRule="exact"/>
              <w:rPr>
                <w:sz w:val="20"/>
                <w:szCs w:val="20"/>
                <w:color w:val="auto"/>
              </w:rPr>
            </w:pPr>
            <w:r>
              <w:rPr>
                <w:rFonts w:ascii="Times New Roman" w:cs="Times New Roman" w:eastAsia="Times New Roman" w:hAnsi="Times New Roman"/>
                <w:sz w:val="14"/>
                <w:szCs w:val="14"/>
                <w:color w:val="auto"/>
                <w:w w:val="97"/>
              </w:rPr>
              <w:t>Russell 2000</w:t>
            </w:r>
            <w:r>
              <w:rPr>
                <w:rFonts w:ascii="Times New Roman" w:cs="Times New Roman" w:eastAsia="Times New Roman" w:hAnsi="Times New Roman"/>
                <w:sz w:val="17"/>
                <w:szCs w:val="17"/>
                <w:color w:val="auto"/>
                <w:w w:val="97"/>
                <w:vertAlign w:val="superscript"/>
              </w:rPr>
              <w:t>®</w:t>
            </w:r>
            <w:r>
              <w:rPr>
                <w:rFonts w:ascii="Times New Roman" w:cs="Times New Roman" w:eastAsia="Times New Roman" w:hAnsi="Times New Roman"/>
                <w:sz w:val="14"/>
                <w:szCs w:val="14"/>
                <w:color w:val="auto"/>
                <w:w w:val="97"/>
              </w:rPr>
              <w:t xml:space="preserve"> Index</w:t>
            </w:r>
          </w:p>
        </w:tc>
      </w:tr>
      <w:tr>
        <w:trPr>
          <w:trHeight w:val="203"/>
        </w:trPr>
        <w:tc>
          <w:tcPr>
            <w:tcW w:w="1920" w:type="dxa"/>
            <w:vAlign w:val="bottom"/>
            <w:tcBorders>
              <w:left w:val="single" w:sz="8" w:color="auto"/>
              <w:bottom w:val="single" w:sz="8" w:color="F0FFFF"/>
            </w:tcBorders>
            <w:shd w:val="clear" w:color="auto" w:fill="F0FFFF"/>
          </w:tcPr>
          <w:p>
            <w:pPr>
              <w:spacing w:after="0"/>
              <w:rPr>
                <w:sz w:val="17"/>
                <w:szCs w:val="17"/>
                <w:color w:val="auto"/>
              </w:rPr>
            </w:pPr>
          </w:p>
        </w:tc>
        <w:tc>
          <w:tcPr>
            <w:tcW w:w="1240" w:type="dxa"/>
            <w:vAlign w:val="bottom"/>
            <w:tcBorders>
              <w:bottom w:val="single" w:sz="8" w:color="F0FFFF"/>
              <w:right w:val="single" w:sz="8" w:color="auto"/>
            </w:tcBorders>
            <w:shd w:val="clear" w:color="auto" w:fill="F0FFFF"/>
          </w:tcPr>
          <w:p>
            <w:pPr>
              <w:spacing w:after="0"/>
              <w:rPr>
                <w:sz w:val="17"/>
                <w:szCs w:val="17"/>
                <w:color w:val="auto"/>
              </w:rPr>
            </w:pPr>
          </w:p>
        </w:tc>
        <w:tc>
          <w:tcPr>
            <w:tcW w:w="314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color w:val="auto"/>
                <w:w w:val="98"/>
              </w:rPr>
              <w:t>MSCI EAFE Index</w:t>
            </w:r>
          </w:p>
        </w:tc>
      </w:tr>
      <w:tr>
        <w:trPr>
          <w:trHeight w:val="163"/>
        </w:trPr>
        <w:tc>
          <w:tcPr>
            <w:tcW w:w="1920" w:type="dxa"/>
            <w:vAlign w:val="bottom"/>
            <w:tcBorders>
              <w:top w:val="single" w:sz="8" w:color="auto"/>
              <w:left w:val="single" w:sz="8" w:color="auto"/>
            </w:tcBorders>
          </w:tcPr>
          <w:p>
            <w:pPr>
              <w:spacing w:after="0"/>
              <w:rPr>
                <w:sz w:val="14"/>
                <w:szCs w:val="14"/>
                <w:color w:val="auto"/>
              </w:rPr>
            </w:pPr>
          </w:p>
        </w:tc>
        <w:tc>
          <w:tcPr>
            <w:tcW w:w="4380" w:type="dxa"/>
            <w:vAlign w:val="bottom"/>
            <w:tcBorders>
              <w:top w:val="single" w:sz="8" w:color="auto"/>
              <w:right w:val="single" w:sz="8" w:color="auto"/>
            </w:tcBorders>
            <w:gridSpan w:val="2"/>
          </w:tcPr>
          <w:p>
            <w:pPr>
              <w:jc w:val="center"/>
              <w:ind w:right="1873"/>
              <w:spacing w:after="0"/>
              <w:rPr>
                <w:sz w:val="20"/>
                <w:szCs w:val="20"/>
                <w:color w:val="auto"/>
              </w:rPr>
            </w:pPr>
            <w:r>
              <w:rPr>
                <w:rFonts w:ascii="Times New Roman" w:cs="Times New Roman" w:eastAsia="Times New Roman" w:hAnsi="Times New Roman"/>
                <w:sz w:val="14"/>
                <w:szCs w:val="14"/>
                <w:color w:val="auto"/>
                <w:w w:val="96"/>
              </w:rPr>
              <w:t>BUFFER 10</w:t>
            </w:r>
          </w:p>
        </w:tc>
      </w:tr>
      <w:tr>
        <w:trPr>
          <w:trHeight w:val="176"/>
        </w:trPr>
        <w:tc>
          <w:tcPr>
            <w:tcW w:w="1920" w:type="dxa"/>
            <w:vAlign w:val="bottom"/>
            <w:tcBorders>
              <w:left w:val="single" w:sz="8" w:color="auto"/>
            </w:tcBorders>
          </w:tcPr>
          <w:p>
            <w:pPr>
              <w:spacing w:after="0"/>
              <w:rPr>
                <w:sz w:val="15"/>
                <w:szCs w:val="15"/>
                <w:color w:val="auto"/>
              </w:rPr>
            </w:pPr>
          </w:p>
        </w:tc>
        <w:tc>
          <w:tcPr>
            <w:tcW w:w="4380" w:type="dxa"/>
            <w:vAlign w:val="bottom"/>
            <w:tcBorders>
              <w:right w:val="single" w:sz="8" w:color="auto"/>
            </w:tcBorders>
            <w:gridSpan w:val="2"/>
          </w:tcPr>
          <w:p>
            <w:pPr>
              <w:jc w:val="center"/>
              <w:ind w:right="1873"/>
              <w:spacing w:after="0"/>
              <w:rPr>
                <w:sz w:val="20"/>
                <w:szCs w:val="20"/>
                <w:color w:val="auto"/>
              </w:rPr>
            </w:pPr>
            <w:r>
              <w:rPr>
                <w:rFonts w:ascii="Times New Roman" w:cs="Times New Roman" w:eastAsia="Times New Roman" w:hAnsi="Times New Roman"/>
                <w:sz w:val="14"/>
                <w:szCs w:val="14"/>
                <w:color w:val="auto"/>
                <w:w w:val="97"/>
              </w:rPr>
              <w:t>(up to 10% downside protection)</w:t>
            </w:r>
          </w:p>
        </w:tc>
      </w:tr>
      <w:tr>
        <w:trPr>
          <w:trHeight w:val="22"/>
        </w:trPr>
        <w:tc>
          <w:tcPr>
            <w:tcW w:w="1920" w:type="dxa"/>
            <w:vAlign w:val="bottom"/>
            <w:tcBorders>
              <w:left w:val="single" w:sz="8" w:color="auto"/>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140" w:type="dxa"/>
            <w:vAlign w:val="bottom"/>
            <w:tcBorders>
              <w:bottom w:val="single" w:sz="8" w:color="auto"/>
              <w:right w:val="single" w:sz="8" w:color="auto"/>
            </w:tcBorders>
          </w:tcPr>
          <w:p>
            <w:pPr>
              <w:spacing w:after="0" w:line="20" w:lineRule="exact"/>
              <w:rPr>
                <w:sz w:val="1"/>
                <w:szCs w:val="1"/>
                <w:color w:val="auto"/>
              </w:rPr>
            </w:pPr>
          </w:p>
        </w:tc>
      </w:tr>
      <w:tr>
        <w:trPr>
          <w:trHeight w:val="137"/>
        </w:trPr>
        <w:tc>
          <w:tcPr>
            <w:tcW w:w="1920" w:type="dxa"/>
            <w:vAlign w:val="bottom"/>
            <w:tcBorders>
              <w:left w:val="single" w:sz="8" w:color="auto"/>
            </w:tcBorders>
            <w:shd w:val="clear" w:color="auto" w:fill="F0FFFF"/>
          </w:tcPr>
          <w:p>
            <w:pPr>
              <w:ind w:left="1360"/>
              <w:spacing w:after="0" w:line="137" w:lineRule="exact"/>
              <w:rPr>
                <w:sz w:val="20"/>
                <w:szCs w:val="20"/>
                <w:color w:val="auto"/>
              </w:rPr>
            </w:pPr>
            <w:r>
              <w:rPr>
                <w:rFonts w:ascii="Times New Roman" w:cs="Times New Roman" w:eastAsia="Times New Roman" w:hAnsi="Times New Roman"/>
                <w:sz w:val="14"/>
                <w:szCs w:val="14"/>
                <w:color w:val="auto"/>
              </w:rPr>
              <w:t>1 Year</w:t>
            </w:r>
          </w:p>
        </w:tc>
        <w:tc>
          <w:tcPr>
            <w:tcW w:w="1240" w:type="dxa"/>
            <w:vAlign w:val="bottom"/>
            <w:tcBorders>
              <w:right w:val="single" w:sz="8" w:color="auto"/>
            </w:tcBorders>
            <w:shd w:val="clear" w:color="auto" w:fill="F0FFFF"/>
          </w:tcPr>
          <w:p>
            <w:pPr>
              <w:spacing w:after="0"/>
              <w:rPr>
                <w:sz w:val="11"/>
                <w:szCs w:val="11"/>
                <w:color w:val="auto"/>
              </w:rPr>
            </w:pPr>
          </w:p>
        </w:tc>
        <w:tc>
          <w:tcPr>
            <w:tcW w:w="3140" w:type="dxa"/>
            <w:vAlign w:val="bottom"/>
            <w:tcBorders>
              <w:right w:val="single" w:sz="8" w:color="auto"/>
            </w:tcBorders>
            <w:shd w:val="clear" w:color="auto" w:fill="F0FFFF"/>
          </w:tcPr>
          <w:p>
            <w:pPr>
              <w:jc w:val="center"/>
              <w:spacing w:after="0" w:line="138" w:lineRule="exact"/>
              <w:rPr>
                <w:sz w:val="20"/>
                <w:szCs w:val="20"/>
                <w:color w:val="auto"/>
              </w:rPr>
            </w:pPr>
            <w:r>
              <w:rPr>
                <w:rFonts w:ascii="Times New Roman" w:cs="Times New Roman" w:eastAsia="Times New Roman" w:hAnsi="Times New Roman"/>
                <w:sz w:val="12"/>
                <w:szCs w:val="12"/>
                <w:color w:val="auto"/>
              </w:rPr>
              <w:t>S&amp;P 500</w:t>
            </w:r>
            <w:r>
              <w:rPr>
                <w:rFonts w:ascii="Times New Roman" w:cs="Times New Roman" w:eastAsia="Times New Roman" w:hAnsi="Times New Roman"/>
                <w:sz w:val="15"/>
                <w:szCs w:val="15"/>
                <w:color w:val="auto"/>
                <w:vertAlign w:val="superscript"/>
              </w:rPr>
              <w:t>®</w:t>
            </w:r>
            <w:r>
              <w:rPr>
                <w:rFonts w:ascii="Times New Roman" w:cs="Times New Roman" w:eastAsia="Times New Roman" w:hAnsi="Times New Roman"/>
                <w:sz w:val="12"/>
                <w:szCs w:val="12"/>
                <w:color w:val="auto"/>
              </w:rPr>
              <w:t xml:space="preserve"> Index</w:t>
            </w:r>
          </w:p>
        </w:tc>
      </w:tr>
      <w:tr>
        <w:trPr>
          <w:trHeight w:val="169"/>
        </w:trPr>
        <w:tc>
          <w:tcPr>
            <w:tcW w:w="1920" w:type="dxa"/>
            <w:vAlign w:val="bottom"/>
            <w:tcBorders>
              <w:left w:val="single" w:sz="8" w:color="auto"/>
            </w:tcBorders>
            <w:shd w:val="clear" w:color="auto" w:fill="F0FFFF"/>
          </w:tcPr>
          <w:p>
            <w:pPr>
              <w:spacing w:after="0"/>
              <w:rPr>
                <w:sz w:val="14"/>
                <w:szCs w:val="14"/>
                <w:color w:val="auto"/>
              </w:rPr>
            </w:pPr>
          </w:p>
        </w:tc>
        <w:tc>
          <w:tcPr>
            <w:tcW w:w="1240" w:type="dxa"/>
            <w:vAlign w:val="bottom"/>
            <w:tcBorders>
              <w:right w:val="single" w:sz="8" w:color="auto"/>
            </w:tcBorders>
            <w:shd w:val="clear" w:color="auto" w:fill="F0FFFF"/>
          </w:tcPr>
          <w:p>
            <w:pPr>
              <w:spacing w:after="0"/>
              <w:rPr>
                <w:sz w:val="14"/>
                <w:szCs w:val="14"/>
                <w:color w:val="auto"/>
              </w:rPr>
            </w:pPr>
          </w:p>
        </w:tc>
        <w:tc>
          <w:tcPr>
            <w:tcW w:w="3140" w:type="dxa"/>
            <w:vAlign w:val="bottom"/>
            <w:tcBorders>
              <w:right w:val="single" w:sz="8" w:color="auto"/>
            </w:tcBorders>
            <w:shd w:val="clear" w:color="auto" w:fill="F0FFFF"/>
          </w:tcPr>
          <w:p>
            <w:pPr>
              <w:jc w:val="center"/>
              <w:spacing w:after="0" w:line="169" w:lineRule="exact"/>
              <w:rPr>
                <w:sz w:val="20"/>
                <w:szCs w:val="20"/>
                <w:color w:val="auto"/>
              </w:rPr>
            </w:pPr>
            <w:r>
              <w:rPr>
                <w:rFonts w:ascii="Times New Roman" w:cs="Times New Roman" w:eastAsia="Times New Roman" w:hAnsi="Times New Roman"/>
                <w:sz w:val="14"/>
                <w:szCs w:val="14"/>
                <w:color w:val="auto"/>
                <w:w w:val="97"/>
              </w:rPr>
              <w:t>Russell 2000</w:t>
            </w:r>
            <w:r>
              <w:rPr>
                <w:rFonts w:ascii="Times New Roman" w:cs="Times New Roman" w:eastAsia="Times New Roman" w:hAnsi="Times New Roman"/>
                <w:sz w:val="17"/>
                <w:szCs w:val="17"/>
                <w:color w:val="auto"/>
                <w:w w:val="97"/>
                <w:vertAlign w:val="superscript"/>
              </w:rPr>
              <w:t>®</w:t>
            </w:r>
            <w:r>
              <w:rPr>
                <w:rFonts w:ascii="Times New Roman" w:cs="Times New Roman" w:eastAsia="Times New Roman" w:hAnsi="Times New Roman"/>
                <w:sz w:val="14"/>
                <w:szCs w:val="14"/>
                <w:color w:val="auto"/>
                <w:w w:val="97"/>
              </w:rPr>
              <w:t xml:space="preserve"> Index</w:t>
            </w:r>
          </w:p>
        </w:tc>
      </w:tr>
      <w:tr>
        <w:trPr>
          <w:trHeight w:val="203"/>
        </w:trPr>
        <w:tc>
          <w:tcPr>
            <w:tcW w:w="1920" w:type="dxa"/>
            <w:vAlign w:val="bottom"/>
            <w:tcBorders>
              <w:left w:val="single" w:sz="8" w:color="auto"/>
              <w:bottom w:val="single" w:sz="8" w:color="F0FFFF"/>
            </w:tcBorders>
            <w:shd w:val="clear" w:color="auto" w:fill="F0FFFF"/>
          </w:tcPr>
          <w:p>
            <w:pPr>
              <w:spacing w:after="0"/>
              <w:rPr>
                <w:sz w:val="17"/>
                <w:szCs w:val="17"/>
                <w:color w:val="auto"/>
              </w:rPr>
            </w:pPr>
          </w:p>
        </w:tc>
        <w:tc>
          <w:tcPr>
            <w:tcW w:w="1240" w:type="dxa"/>
            <w:vAlign w:val="bottom"/>
            <w:tcBorders>
              <w:bottom w:val="single" w:sz="8" w:color="F0FFFF"/>
              <w:right w:val="single" w:sz="8" w:color="auto"/>
            </w:tcBorders>
            <w:shd w:val="clear" w:color="auto" w:fill="F0FFFF"/>
          </w:tcPr>
          <w:p>
            <w:pPr>
              <w:spacing w:after="0"/>
              <w:rPr>
                <w:sz w:val="17"/>
                <w:szCs w:val="17"/>
                <w:color w:val="auto"/>
              </w:rPr>
            </w:pPr>
          </w:p>
        </w:tc>
        <w:tc>
          <w:tcPr>
            <w:tcW w:w="314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color w:val="auto"/>
                <w:w w:val="98"/>
              </w:rPr>
              <w:t>MSCI EAFE Index</w:t>
            </w:r>
          </w:p>
        </w:tc>
      </w:tr>
      <w:tr>
        <w:trPr>
          <w:trHeight w:val="431"/>
        </w:trPr>
        <w:tc>
          <w:tcPr>
            <w:tcW w:w="1920" w:type="dxa"/>
            <w:vAlign w:val="bottom"/>
            <w:tcBorders>
              <w:top w:val="single" w:sz="8" w:color="auto"/>
            </w:tcBorders>
          </w:tcPr>
          <w:p>
            <w:pPr>
              <w:spacing w:after="0"/>
              <w:rPr>
                <w:sz w:val="24"/>
                <w:szCs w:val="24"/>
                <w:color w:val="auto"/>
              </w:rPr>
            </w:pPr>
          </w:p>
        </w:tc>
        <w:tc>
          <w:tcPr>
            <w:tcW w:w="4380" w:type="dxa"/>
            <w:vAlign w:val="bottom"/>
            <w:tcBorders>
              <w:top w:val="single" w:sz="8" w:color="auto"/>
            </w:tcBorders>
            <w:gridSpan w:val="2"/>
          </w:tcPr>
          <w:p>
            <w:pPr>
              <w:jc w:val="center"/>
              <w:ind w:right="1853"/>
              <w:spacing w:after="0"/>
              <w:rPr>
                <w:sz w:val="20"/>
                <w:szCs w:val="20"/>
                <w:color w:val="auto"/>
              </w:rPr>
            </w:pPr>
            <w:r>
              <w:rPr>
                <w:rFonts w:ascii="Times New Roman" w:cs="Times New Roman" w:eastAsia="Times New Roman" w:hAnsi="Times New Roman"/>
                <w:sz w:val="14"/>
                <w:szCs w:val="14"/>
                <w:color w:val="auto"/>
                <w:w w:val="99"/>
              </w:rPr>
              <w:t>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-2983230</wp:posOffset>
            </wp:positionV>
            <wp:extent cx="3983990" cy="2089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983990" cy="20891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-2656840</wp:posOffset>
            </wp:positionV>
            <wp:extent cx="3983990" cy="2419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983990" cy="24193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-2056130</wp:posOffset>
            </wp:positionV>
            <wp:extent cx="3983990" cy="2419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983990" cy="24193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-1455420</wp:posOffset>
            </wp:positionV>
            <wp:extent cx="3983990" cy="2419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983990" cy="24193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-854075</wp:posOffset>
            </wp:positionV>
            <wp:extent cx="3983990" cy="2419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983990" cy="241935"/>
                    </a:xfrm>
                    <a:prstGeom prst="rect">
                      <a:avLst/>
                    </a:prstGeom>
                    <a:noFill/>
                  </pic:spPr>
                </pic:pic>
              </a:graphicData>
            </a:graphic>
          </wp:anchor>
        </w:drawing>
      </w:r>
    </w:p>
    <w:p>
      <w:pPr>
        <w:sectPr>
          <w:pgSz w:w="11900" w:h="16838" w:orient="portrait"/>
          <w:cols w:equalWidth="0" w:num="1">
            <w:col w:w="9219"/>
          </w:cols>
          <w:pgMar w:left="1240" w:top="1083" w:right="1440" w:bottom="1440" w:gutter="0" w:footer="0" w:header="0"/>
        </w:sectPr>
      </w:pPr>
    </w:p>
    <w:bookmarkStart w:id="30" w:name="page31"/>
    <w:bookmarkEnd w:id="30"/>
    <w:p>
      <w:pPr>
        <w:jc w:val="both"/>
        <w:ind w:right="2939" w:firstLine="274"/>
        <w:spacing w:after="0" w:line="25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422275</wp:posOffset>
            </wp:positionV>
            <wp:extent cx="719010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90105" cy="38735"/>
                    </a:xfrm>
                    <a:prstGeom prst="rect">
                      <a:avLst/>
                    </a:prstGeom>
                    <a:noFill/>
                  </pic:spPr>
                </pic:pic>
              </a:graphicData>
            </a:graphic>
          </wp:anchor>
        </w:drawing>
        <w:t>On each Indexed Account Segment Start Date, we establish a Cap Rate for each Segment Term. The initial Cap Rate, as applicable, for each Indexed Account is established on the Policy Start Date. Thereafter the Cap Rate, as applicable, for each subsequent Indexed Account is established for each subsequent Segment Term. See “Cap Rate”. The Indices are described in more detail below, under the heading “Indices.”</w:t>
      </w:r>
    </w:p>
    <w:p>
      <w:pPr>
        <w:spacing w:after="0" w:line="60" w:lineRule="exact"/>
        <w:rPr>
          <w:sz w:val="20"/>
          <w:szCs w:val="20"/>
          <w:color w:val="auto"/>
        </w:rPr>
      </w:pPr>
    </w:p>
    <w:p>
      <w:pPr>
        <w:jc w:val="both"/>
        <w:ind w:right="2939" w:firstLine="274"/>
        <w:spacing w:after="0" w:line="254" w:lineRule="auto"/>
        <w:rPr>
          <w:sz w:val="20"/>
          <w:szCs w:val="20"/>
          <w:color w:val="auto"/>
        </w:rPr>
      </w:pPr>
      <w:r>
        <w:rPr>
          <w:rFonts w:ascii="Times New Roman" w:cs="Times New Roman" w:eastAsia="Times New Roman" w:hAnsi="Times New Roman"/>
          <w:sz w:val="14"/>
          <w:szCs w:val="14"/>
          <w:b w:val="1"/>
          <w:bCs w:val="1"/>
          <w:color w:val="auto"/>
        </w:rPr>
        <w:t xml:space="preserve">Please note, Indexed Accounts with higher Buffer Rates tend to have lower Cap Rates than other Indexed Accounts that use the same Index and Segment Term but provide lower Buffer Rates. </w:t>
      </w:r>
      <w:r>
        <w:rPr>
          <w:rFonts w:ascii="Times New Roman" w:cs="Times New Roman" w:eastAsia="Times New Roman" w:hAnsi="Times New Roman"/>
          <w:sz w:val="14"/>
          <w:szCs w:val="14"/>
          <w:color w:val="auto"/>
        </w:rPr>
        <w:t>For example,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 S&amp;P 500® Index with a Buffer 20 will tend to have a Cap Rate that is lower than an S&amp;P 500® Index with a Buffer 10.</w:t>
      </w:r>
    </w:p>
    <w:p>
      <w:pPr>
        <w:spacing w:after="0" w:line="63" w:lineRule="exact"/>
        <w:rPr>
          <w:sz w:val="20"/>
          <w:szCs w:val="20"/>
          <w:color w:val="auto"/>
        </w:rPr>
      </w:pPr>
    </w:p>
    <w:p>
      <w:pPr>
        <w:jc w:val="both"/>
        <w:ind w:right="2939" w:firstLine="274"/>
        <w:spacing w:after="0" w:line="252" w:lineRule="auto"/>
        <w:rPr>
          <w:sz w:val="20"/>
          <w:szCs w:val="20"/>
          <w:color w:val="auto"/>
        </w:rPr>
      </w:pPr>
      <w:r>
        <w:rPr>
          <w:rFonts w:ascii="Times New Roman" w:cs="Times New Roman" w:eastAsia="Times New Roman" w:hAnsi="Times New Roman"/>
          <w:sz w:val="14"/>
          <w:szCs w:val="14"/>
          <w:color w:val="auto"/>
        </w:rPr>
        <w:t>We reserve the right to change or stop offering any of the Indexed Accounts or suspend offering any of the Indexed Accounts. After your Policy is issued, there will always be one Indexed Account available with a minimum of 5% downside protection. We may also add Indexed Accounts in the future. All Indexed Accounts may not be available through every selling broker-dealer.</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Indexed Account Factors</w:t>
      </w:r>
    </w:p>
    <w:p>
      <w:pPr>
        <w:spacing w:after="0" w:line="90" w:lineRule="exact"/>
        <w:rPr>
          <w:sz w:val="20"/>
          <w:szCs w:val="20"/>
          <w:color w:val="auto"/>
        </w:rPr>
      </w:pPr>
    </w:p>
    <w:p>
      <w:pPr>
        <w:jc w:val="both"/>
        <w:ind w:right="2939" w:firstLine="274"/>
        <w:spacing w:after="0" w:line="267" w:lineRule="auto"/>
        <w:rPr>
          <w:sz w:val="20"/>
          <w:szCs w:val="20"/>
          <w:color w:val="auto"/>
        </w:rPr>
      </w:pPr>
      <w:r>
        <w:rPr>
          <w:rFonts w:ascii="Times New Roman" w:cs="Times New Roman" w:eastAsia="Times New Roman" w:hAnsi="Times New Roman"/>
          <w:sz w:val="14"/>
          <w:szCs w:val="14"/>
          <w:color w:val="auto"/>
        </w:rPr>
        <w:t>The Indexed Account Factors consist of an Index, Segment Term, Holding Account interest rate, a Buffer Rate, and a Cap Rate.</w:t>
      </w:r>
    </w:p>
    <w:p>
      <w:pPr>
        <w:spacing w:after="0" w:line="53" w:lineRule="exact"/>
        <w:rPr>
          <w:sz w:val="20"/>
          <w:szCs w:val="20"/>
          <w:color w:val="auto"/>
        </w:rPr>
      </w:pPr>
    </w:p>
    <w:p>
      <w:pPr>
        <w:jc w:val="both"/>
        <w:ind w:right="2939" w:firstLine="274"/>
        <w:spacing w:after="0" w:line="251" w:lineRule="auto"/>
        <w:rPr>
          <w:sz w:val="20"/>
          <w:szCs w:val="20"/>
          <w:color w:val="auto"/>
        </w:rPr>
      </w:pPr>
      <w:r>
        <w:rPr>
          <w:rFonts w:ascii="Times New Roman" w:cs="Times New Roman" w:eastAsia="Times New Roman" w:hAnsi="Times New Roman"/>
          <w:sz w:val="14"/>
          <w:szCs w:val="14"/>
          <w:color w:val="auto"/>
        </w:rPr>
        <w:t>Indexed Account Factors are used in calculating Accrued Index Return for Interim Segment Value, the Segment Credit for Segment Value on Segment Maturity Date, and, if applicable, any interest credited to amounts in the Holding Account. Indexed Account Factors, except for the Holding Account interest rate, apply from the Segment Start Date to the Segment Maturity Date. Each Holding Account has its own Holding Account interest rate, which is declared periodically by us. See “HOLDING ACCOUNTS.”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Indexed Account Segment (“Segment”)</w:t>
      </w:r>
    </w:p>
    <w:p>
      <w:pPr>
        <w:spacing w:after="0" w:line="90" w:lineRule="exact"/>
        <w:rPr>
          <w:sz w:val="20"/>
          <w:szCs w:val="20"/>
          <w:color w:val="auto"/>
        </w:rPr>
      </w:pPr>
    </w:p>
    <w:p>
      <w:pPr>
        <w:jc w:val="both"/>
        <w:ind w:right="2939" w:firstLine="274"/>
        <w:spacing w:after="0" w:line="248" w:lineRule="auto"/>
        <w:rPr>
          <w:sz w:val="20"/>
          <w:szCs w:val="20"/>
          <w:color w:val="auto"/>
        </w:rPr>
      </w:pPr>
      <w:r>
        <w:rPr>
          <w:rFonts w:ascii="Times New Roman" w:cs="Times New Roman" w:eastAsia="Times New Roman" w:hAnsi="Times New Roman"/>
          <w:sz w:val="14"/>
          <w:szCs w:val="14"/>
          <w:color w:val="auto"/>
        </w:rPr>
        <w:t>On the Policy Start Date, a Segment is created when any part of the initial Net Premium is allocated to that Indexed Account. After the Policy Start Date, a Segment is created when a transfer of Cash Value is made to that Indexed Account. Cash Value can be transferred to an Indexed Account only on a Policy Anniversary. Under our current administrative procedures, we will allow you to make transfers during the Transfer Period, and we will treat the transfer as if it occurred on the Policy Anniversary. The date a Segment is created is called the Segment Start Date. The Segment Maturity Date is the last date of the Segment Term. This date will always be a Policy Anniversary. Any Segment in effect at the time of Policy lapse will not be reinstated upon Reinstatement of the Policy.</w:t>
      </w:r>
    </w:p>
    <w:p>
      <w:pPr>
        <w:spacing w:after="0" w:line="68" w:lineRule="exact"/>
        <w:rPr>
          <w:sz w:val="20"/>
          <w:szCs w:val="20"/>
          <w:color w:val="auto"/>
        </w:rPr>
      </w:pPr>
    </w:p>
    <w:p>
      <w:pPr>
        <w:jc w:val="both"/>
        <w:ind w:right="2939" w:firstLine="274"/>
        <w:spacing w:after="0" w:line="252" w:lineRule="auto"/>
        <w:rPr>
          <w:sz w:val="20"/>
          <w:szCs w:val="20"/>
          <w:color w:val="auto"/>
        </w:rPr>
      </w:pPr>
      <w:r>
        <w:rPr>
          <w:rFonts w:ascii="Times New Roman" w:cs="Times New Roman" w:eastAsia="Times New Roman" w:hAnsi="Times New Roman"/>
          <w:sz w:val="14"/>
          <w:szCs w:val="14"/>
          <w:color w:val="auto"/>
        </w:rPr>
        <w:t>The Indices are described in more detail below, under the heading “Indices.” For each new Indexed Account we declare a new Cap Rate, as applicable, for each Segment Term. The initial Cap Rate, as applicable, for each Indexed Account is declared on the Policy Start Date. Thereafter the Cap Rate, as applicable, for each subsequent Indexed Account is declared for each subsequent Segment Term. See “Cap Rate”.</w:t>
      </w:r>
    </w:p>
    <w:p>
      <w:pPr>
        <w:spacing w:after="0" w:line="225"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4"/>
          <w:szCs w:val="14"/>
          <w:b w:val="1"/>
          <w:bCs w:val="1"/>
          <w:color w:val="auto"/>
        </w:rPr>
        <w:t>SEGMENT TERM</w:t>
      </w:r>
    </w:p>
    <w:p>
      <w:pPr>
        <w:spacing w:after="0" w:line="90" w:lineRule="exact"/>
        <w:rPr>
          <w:sz w:val="20"/>
          <w:szCs w:val="20"/>
          <w:color w:val="auto"/>
        </w:rPr>
      </w:pPr>
    </w:p>
    <w:p>
      <w:pPr>
        <w:jc w:val="both"/>
        <w:ind w:right="2939" w:firstLine="274"/>
        <w:spacing w:after="0" w:line="256" w:lineRule="auto"/>
        <w:rPr>
          <w:sz w:val="20"/>
          <w:szCs w:val="20"/>
          <w:color w:val="auto"/>
        </w:rPr>
      </w:pPr>
      <w:r>
        <w:rPr>
          <w:rFonts w:ascii="Times New Roman" w:cs="Times New Roman" w:eastAsia="Times New Roman" w:hAnsi="Times New Roman"/>
          <w:sz w:val="14"/>
          <w:szCs w:val="14"/>
          <w:color w:val="auto"/>
        </w:rPr>
        <w:t>The Segment Term is the period of time that an Indexed Account’s performance is linked to the return of an Index. For all Indexed Accounts we currently offer Segment Terms of 1 year. A Segment Term(s) begins on the Segment Start Date and ends on a Segment Maturity Date.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Segment Start Date</w:t>
      </w:r>
    </w:p>
    <w:p>
      <w:pPr>
        <w:spacing w:after="0" w:line="90" w:lineRule="exact"/>
        <w:rPr>
          <w:sz w:val="20"/>
          <w:szCs w:val="20"/>
          <w:color w:val="auto"/>
        </w:rPr>
      </w:pPr>
    </w:p>
    <w:p>
      <w:pPr>
        <w:jc w:val="both"/>
        <w:ind w:right="2939" w:firstLine="274"/>
        <w:spacing w:after="0" w:line="252" w:lineRule="auto"/>
        <w:rPr>
          <w:sz w:val="20"/>
          <w:szCs w:val="20"/>
          <w:color w:val="auto"/>
        </w:rPr>
      </w:pPr>
      <w:r>
        <w:rPr>
          <w:rFonts w:ascii="Times New Roman" w:cs="Times New Roman" w:eastAsia="Times New Roman" w:hAnsi="Times New Roman"/>
          <w:sz w:val="14"/>
          <w:szCs w:val="14"/>
          <w:color w:val="auto"/>
        </w:rPr>
        <w:t>For initial Net Premium allocated to an Indexed Account, the Segment Start Date is the Policy Start Date. The Segment Maturity Date is the Policy Anniversary coinciding with the 1-year Segment Term for the Indexed Account you have selected. The Segment Start Date for each subsequent Segment Term will always be a Policy Anniversary.</w:t>
      </w:r>
    </w:p>
    <w:p>
      <w:pPr>
        <w:spacing w:after="0" w:line="64" w:lineRule="exact"/>
        <w:rPr>
          <w:sz w:val="20"/>
          <w:szCs w:val="20"/>
          <w:color w:val="auto"/>
        </w:rPr>
      </w:pPr>
    </w:p>
    <w:p>
      <w:pPr>
        <w:jc w:val="both"/>
        <w:ind w:right="2939" w:firstLine="274"/>
        <w:spacing w:after="0" w:line="251" w:lineRule="auto"/>
        <w:rPr>
          <w:sz w:val="20"/>
          <w:szCs w:val="20"/>
          <w:color w:val="auto"/>
        </w:rPr>
      </w:pPr>
      <w:r>
        <w:rPr>
          <w:rFonts w:ascii="Times New Roman" w:cs="Times New Roman" w:eastAsia="Times New Roman" w:hAnsi="Times New Roman"/>
          <w:sz w:val="14"/>
          <w:szCs w:val="14"/>
          <w:color w:val="auto"/>
        </w:rPr>
        <w:t>We will send you written notification thirty (30) days in advance of the maturing Segments in which you are currently invested. The notification will include a list of all Indexed Accounts that will be available to you at your next Segment Start Date, specifically applicable Cap Rates. You may also obtain the new Cap Rates by accessing the Company’s website at https://www.brighthousefinancial.com/products/rates/ where at least two months of renewal Cap Rates are posted – i.e., for the current month and the following month.</w:t>
      </w:r>
    </w:p>
    <w:p>
      <w:pPr>
        <w:spacing w:after="0" w:line="200" w:lineRule="exact"/>
        <w:rPr>
          <w:sz w:val="20"/>
          <w:szCs w:val="20"/>
          <w:color w:val="auto"/>
        </w:rPr>
      </w:pPr>
    </w:p>
    <w:p>
      <w:pPr>
        <w:spacing w:after="0" w:line="336"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4"/>
          <w:szCs w:val="14"/>
          <w:color w:val="auto"/>
        </w:rPr>
        <w:t>28</w:t>
      </w:r>
    </w:p>
    <w:p>
      <w:pPr>
        <w:sectPr>
          <w:pgSz w:w="11900" w:h="16838" w:orient="portrait"/>
          <w:cols w:equalWidth="0" w:num="1">
            <w:col w:w="9219"/>
          </w:cols>
          <w:pgMar w:left="1240" w:top="1083" w:right="1440"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422275</wp:posOffset>
            </wp:positionV>
            <wp:extent cx="719010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90105" cy="38735"/>
                    </a:xfrm>
                    <a:prstGeom prst="rect">
                      <a:avLst/>
                    </a:prstGeom>
                    <a:noFill/>
                  </pic:spPr>
                </pic:pic>
              </a:graphicData>
            </a:graphic>
          </wp:anchor>
        </w:drawing>
        <w:t>Segment Maturity Date</w:t>
      </w:r>
    </w:p>
    <w:p>
      <w:pPr>
        <w:spacing w:after="0" w:line="100" w:lineRule="exact"/>
        <w:rPr>
          <w:sz w:val="20"/>
          <w:szCs w:val="20"/>
          <w:color w:val="auto"/>
        </w:rPr>
      </w:pPr>
    </w:p>
    <w:p>
      <w:pPr>
        <w:jc w:val="both"/>
        <w:ind w:right="2939" w:firstLine="274"/>
        <w:spacing w:after="0" w:line="271" w:lineRule="auto"/>
        <w:rPr>
          <w:sz w:val="20"/>
          <w:szCs w:val="20"/>
          <w:color w:val="auto"/>
        </w:rPr>
      </w:pPr>
      <w:r>
        <w:rPr>
          <w:rFonts w:ascii="Times New Roman" w:cs="Times New Roman" w:eastAsia="Times New Roman" w:hAnsi="Times New Roman"/>
          <w:sz w:val="13"/>
          <w:szCs w:val="13"/>
          <w:color w:val="auto"/>
        </w:rPr>
        <w:t>At the Segment Maturity Date, the Segment Value allocated to the maturing Indexed Account will automatically be renewed into the same Indexed Account unless you instruct us to transfer such amount into a different Indexed Account(s) or the Fixed Account or have elected the automatic Cash Value rebalancing program. Under our current administrative procedures, you have the Transfer Period to notify us that you want to transfer some or all of your Segment Value to a new Indexed Account(s) or the Fixed Account. The request to transfer must be received at our Administrative Office. See “REQUESTS AND ELECTIONS.” For renewals into the same Indexed Account, a new Cap Rate will apply, which could be higher, lower or equal to the prior Cap Rate.</w:t>
      </w:r>
    </w:p>
    <w:p>
      <w:pPr>
        <w:spacing w:after="0" w:line="213" w:lineRule="exact"/>
        <w:rPr>
          <w:sz w:val="20"/>
          <w:szCs w:val="20"/>
          <w:color w:val="auto"/>
        </w:rPr>
      </w:pPr>
    </w:p>
    <w:p>
      <w:pPr>
        <w:jc w:val="center"/>
        <w:ind w:right="2939"/>
        <w:spacing w:after="0"/>
        <w:rPr>
          <w:sz w:val="20"/>
          <w:szCs w:val="20"/>
          <w:color w:val="auto"/>
        </w:rPr>
      </w:pPr>
      <w:r>
        <w:rPr>
          <w:rFonts w:ascii="Times New Roman" w:cs="Times New Roman" w:eastAsia="Times New Roman" w:hAnsi="Times New Roman"/>
          <w:sz w:val="14"/>
          <w:szCs w:val="14"/>
          <w:b w:val="1"/>
          <w:bCs w:val="1"/>
          <w:color w:val="auto"/>
        </w:rPr>
        <w:t>INDICES</w:t>
      </w:r>
    </w:p>
    <w:p>
      <w:pPr>
        <w:spacing w:after="0" w:line="100" w:lineRule="exact"/>
        <w:rPr>
          <w:sz w:val="20"/>
          <w:szCs w:val="20"/>
          <w:color w:val="auto"/>
        </w:rPr>
      </w:pPr>
    </w:p>
    <w:p>
      <w:pPr>
        <w:jc w:val="both"/>
        <w:ind w:right="2939" w:firstLine="274"/>
        <w:spacing w:after="0" w:line="252" w:lineRule="auto"/>
        <w:rPr>
          <w:sz w:val="20"/>
          <w:szCs w:val="20"/>
          <w:color w:val="auto"/>
        </w:rPr>
      </w:pPr>
      <w:r>
        <w:rPr>
          <w:rFonts w:ascii="Times New Roman" w:cs="Times New Roman" w:eastAsia="Times New Roman" w:hAnsi="Times New Roman"/>
          <w:sz w:val="14"/>
          <w:szCs w:val="14"/>
          <w:color w:val="auto"/>
        </w:rPr>
        <w:t>The Segment Performance Rate of an Indexed Account is based on the performance of the associated Index. We currently offer Indexed Accounts with indices based on the performance of securities. In the future we may offer Indexed Accounts based on other types of indices. We may also add or remove indices for new Policies at our discretion.</w:t>
      </w:r>
    </w:p>
    <w:p>
      <w:pPr>
        <w:spacing w:after="0" w:line="6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Indices are currently available:</w:t>
      </w:r>
    </w:p>
    <w:p>
      <w:pPr>
        <w:spacing w:after="0" w:line="81" w:lineRule="exact"/>
        <w:rPr>
          <w:sz w:val="20"/>
          <w:szCs w:val="20"/>
          <w:color w:val="auto"/>
        </w:rPr>
      </w:pPr>
    </w:p>
    <w:p>
      <w:pPr>
        <w:jc w:val="both"/>
        <w:ind w:right="2939" w:firstLine="274"/>
        <w:spacing w:after="0" w:line="237" w:lineRule="auto"/>
        <w:rPr>
          <w:sz w:val="20"/>
          <w:szCs w:val="20"/>
          <w:color w:val="auto"/>
        </w:rPr>
      </w:pPr>
      <w:r>
        <w:rPr>
          <w:rFonts w:ascii="Times New Roman" w:cs="Times New Roman" w:eastAsia="Times New Roman" w:hAnsi="Times New Roman"/>
          <w:sz w:val="14"/>
          <w:szCs w:val="14"/>
          <w:i w:val="1"/>
          <w:iCs w:val="1"/>
          <w:color w:val="auto"/>
        </w:rPr>
        <w:t>S&amp;P 500</w:t>
      </w:r>
      <w:r>
        <w:rPr>
          <w:rFonts w:ascii="Times New Roman" w:cs="Times New Roman" w:eastAsia="Times New Roman" w:hAnsi="Times New Roman"/>
          <w:sz w:val="17"/>
          <w:szCs w:val="17"/>
          <w:i w:val="1"/>
          <w:iCs w:val="1"/>
          <w:color w:val="auto"/>
          <w:vertAlign w:val="superscript"/>
        </w:rPr>
        <w:t>®</w:t>
      </w:r>
      <w:r>
        <w:rPr>
          <w:rFonts w:ascii="Times New Roman" w:cs="Times New Roman" w:eastAsia="Times New Roman" w:hAnsi="Times New Roman"/>
          <w:sz w:val="14"/>
          <w:szCs w:val="14"/>
          <w:i w:val="1"/>
          <w:iCs w:val="1"/>
          <w:color w:val="auto"/>
        </w:rPr>
        <w:t xml:space="preserve"> Index (Price Return Index). </w:t>
      </w:r>
      <w:r>
        <w:rPr>
          <w:rFonts w:ascii="Times New Roman" w:cs="Times New Roman" w:eastAsia="Times New Roman" w:hAnsi="Times New Roman"/>
          <w:sz w:val="14"/>
          <w:szCs w:val="14"/>
          <w:color w:val="auto"/>
        </w:rPr>
        <w:t>The S&amp;P 500</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Index includes 500 large cap stocks from leading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companies in leading industries of the U.S. economy, capturing approximately 80% coverage of U.S. equities by market capitalization. The S&amp;P 500</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4"/>
          <w:szCs w:val="14"/>
          <w:color w:val="auto"/>
        </w:rPr>
        <w:t xml:space="preserve"> Index does not include dividends declared by any of the companies in this Index.</w:t>
      </w:r>
    </w:p>
    <w:p>
      <w:pPr>
        <w:spacing w:after="0" w:line="67" w:lineRule="exact"/>
        <w:rPr>
          <w:sz w:val="20"/>
          <w:szCs w:val="20"/>
          <w:color w:val="auto"/>
        </w:rPr>
      </w:pPr>
    </w:p>
    <w:p>
      <w:pPr>
        <w:jc w:val="both"/>
        <w:ind w:right="2939" w:firstLine="274"/>
        <w:spacing w:after="0" w:line="229" w:lineRule="auto"/>
        <w:rPr>
          <w:sz w:val="20"/>
          <w:szCs w:val="20"/>
          <w:color w:val="auto"/>
        </w:rPr>
      </w:pPr>
      <w:r>
        <w:rPr>
          <w:rFonts w:ascii="Times New Roman" w:cs="Times New Roman" w:eastAsia="Times New Roman" w:hAnsi="Times New Roman"/>
          <w:sz w:val="14"/>
          <w:szCs w:val="14"/>
          <w:i w:val="1"/>
          <w:iCs w:val="1"/>
          <w:color w:val="auto"/>
        </w:rPr>
        <w:t>Russell 2000</w:t>
      </w:r>
      <w:r>
        <w:rPr>
          <w:rFonts w:ascii="Times New Roman" w:cs="Times New Roman" w:eastAsia="Times New Roman" w:hAnsi="Times New Roman"/>
          <w:sz w:val="17"/>
          <w:szCs w:val="17"/>
          <w:i w:val="1"/>
          <w:iCs w:val="1"/>
          <w:color w:val="auto"/>
          <w:vertAlign w:val="superscript"/>
        </w:rPr>
        <w:t>®</w:t>
      </w:r>
      <w:r>
        <w:rPr>
          <w:rFonts w:ascii="Times New Roman" w:cs="Times New Roman" w:eastAsia="Times New Roman" w:hAnsi="Times New Roman"/>
          <w:sz w:val="14"/>
          <w:szCs w:val="14"/>
          <w:i w:val="1"/>
          <w:iCs w:val="1"/>
          <w:color w:val="auto"/>
        </w:rPr>
        <w:t xml:space="preserve"> Index (Price Return Index). </w:t>
      </w:r>
      <w:r>
        <w:rPr>
          <w:rFonts w:ascii="Times New Roman" w:cs="Times New Roman" w:eastAsia="Times New Roman" w:hAnsi="Times New Roman"/>
          <w:sz w:val="14"/>
          <w:szCs w:val="14"/>
          <w:color w:val="auto"/>
        </w:rPr>
        <w:t>The Russell 2000</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Index measures the performance of the small-cap segment of the U.S. equity universe. The Russell 2000 is a subset of the Russell 3000</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4"/>
          <w:szCs w:val="14"/>
          <w:color w:val="auto"/>
        </w:rPr>
        <w:t xml:space="preserve"> Index representing approximately 10% of the total market capitalization of that index. It includes approximately 2000 of the smallest securities based on a combination of their market cap and current index membership. The Russell 2000</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4"/>
          <w:szCs w:val="14"/>
          <w:color w:val="auto"/>
        </w:rPr>
        <w:t>Index does not include dividends declared by any of the companies in this Index.</w:t>
      </w:r>
    </w:p>
    <w:p>
      <w:pPr>
        <w:spacing w:after="0" w:line="80" w:lineRule="exact"/>
        <w:rPr>
          <w:sz w:val="20"/>
          <w:szCs w:val="20"/>
          <w:color w:val="auto"/>
        </w:rPr>
      </w:pPr>
    </w:p>
    <w:p>
      <w:pPr>
        <w:jc w:val="both"/>
        <w:ind w:right="2939" w:firstLine="274"/>
        <w:spacing w:after="0" w:line="249" w:lineRule="auto"/>
        <w:rPr>
          <w:sz w:val="20"/>
          <w:szCs w:val="20"/>
          <w:color w:val="auto"/>
        </w:rPr>
      </w:pPr>
      <w:r>
        <w:rPr>
          <w:rFonts w:ascii="Times New Roman" w:cs="Times New Roman" w:eastAsia="Times New Roman" w:hAnsi="Times New Roman"/>
          <w:sz w:val="14"/>
          <w:szCs w:val="14"/>
          <w:i w:val="1"/>
          <w:iCs w:val="1"/>
          <w:color w:val="auto"/>
        </w:rPr>
        <w:t xml:space="preserve">MSCI EAFE Index (Price Return Index). </w:t>
      </w:r>
      <w:r>
        <w:rPr>
          <w:rFonts w:ascii="Times New Roman" w:cs="Times New Roman" w:eastAsia="Times New Roman" w:hAnsi="Times New Roman"/>
          <w:sz w:val="14"/>
          <w:szCs w:val="14"/>
          <w:color w:val="auto"/>
        </w:rPr>
        <w:t>The MSCI EAFE Index (Europe, Australasia, Far East) is a free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float-adjusted market capitalization index that is designed to measure the equity market performance of developed markets, excluding the US &amp; Canada. As of the date of this prospectus the MSCI EAFE Index consists of the following 21 developed market country indices: Australia, Austria, Belgium, Denmark, Finland, France, Germany, Hong Kong, Ireland, Israel, Italy, Japan, the Netherlands, New Zealand, Norway, Portugal, Singapore, Spain, Sweden, Switzerland, and the United Kingdom. The MSCI EAFE Index does not include dividends declared by any of the companies in this Index. Index Value and Index Performance will be calculated without any exchange rate adjustment.</w:t>
      </w:r>
    </w:p>
    <w:p>
      <w:pPr>
        <w:spacing w:after="0" w:line="6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See Appendix A for important information regarding the publishers of the Indices.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Discontinuation or Substantial Change to an Index.</w:t>
      </w:r>
    </w:p>
    <w:p>
      <w:pPr>
        <w:spacing w:after="0" w:line="90" w:lineRule="exact"/>
        <w:rPr>
          <w:sz w:val="20"/>
          <w:szCs w:val="20"/>
          <w:color w:val="auto"/>
        </w:rPr>
      </w:pPr>
    </w:p>
    <w:p>
      <w:pPr>
        <w:jc w:val="both"/>
        <w:ind w:right="2939" w:firstLine="274"/>
        <w:spacing w:after="0" w:line="247" w:lineRule="auto"/>
        <w:rPr>
          <w:sz w:val="20"/>
          <w:szCs w:val="20"/>
          <w:color w:val="auto"/>
        </w:rPr>
      </w:pPr>
      <w:r>
        <w:rPr>
          <w:rFonts w:ascii="Times New Roman" w:cs="Times New Roman" w:eastAsia="Times New Roman" w:hAnsi="Times New Roman"/>
          <w:sz w:val="14"/>
          <w:szCs w:val="14"/>
          <w:color w:val="auto"/>
        </w:rPr>
        <w:t>If any Index is discontinued or we determine that our use of such Index should be discontinued because we are no longer licensed to use the Index, the method of calculation is substantially changed, or if Index Values become unavailable for any reason, we may substitute a comparable index with a similar investment objective and risk profile. The substituted index may not be acceptable to you. We will send you written notification thirty (30) days in advance of such substitution or as soon as reasonably possible. Upon substitution of an Index, we will calculate your Segment Index Performance on the existing Index up until the date of substitution and the substitute Index from the date of substitution to the Segment Maturity Date. The Segment Index Performance as of the Segment Maturity Date will be equal to the return from having invested in the initial Index up to the substitution date and then investing in the substitute Index from the date of substitution to the Segment Maturity Date, based on the following formula: (initial Index at Index substitution date ÷ initial Index at Segment Start Date) x (substituted Index at Segment Maturity Date ÷ substituted Index at substitution date) – 1. An Index substitution will not change the Segment Term, Buffer Rate, or Cap Rate for an existing Indexed Account. The performance of the new Index may not be as good as the one that it substituted and as a result your Segment Index Performance may have been better if there had been no substitution.</w:t>
      </w:r>
    </w:p>
    <w:p>
      <w:pPr>
        <w:spacing w:after="0" w:line="6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See Appendix B for an Index substitution Segment Value example.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Closing Value of the Index</w:t>
      </w:r>
    </w:p>
    <w:p>
      <w:pPr>
        <w:spacing w:after="0" w:line="90" w:lineRule="exact"/>
        <w:rPr>
          <w:sz w:val="20"/>
          <w:szCs w:val="20"/>
          <w:color w:val="auto"/>
        </w:rPr>
      </w:pPr>
    </w:p>
    <w:p>
      <w:pPr>
        <w:jc w:val="both"/>
        <w:ind w:right="2939" w:firstLine="274"/>
        <w:spacing w:after="0" w:line="252" w:lineRule="auto"/>
        <w:rPr>
          <w:sz w:val="20"/>
          <w:szCs w:val="20"/>
          <w:color w:val="auto"/>
        </w:rPr>
      </w:pPr>
      <w:r>
        <w:rPr>
          <w:rFonts w:ascii="Times New Roman" w:cs="Times New Roman" w:eastAsia="Times New Roman" w:hAnsi="Times New Roman"/>
          <w:sz w:val="14"/>
          <w:szCs w:val="14"/>
          <w:color w:val="auto"/>
        </w:rPr>
        <w:t>The Closing Value of the Index, on a Business Day, is the published Closing Value on that Business Day. The Closing Value on any day that is not a Business Day is the value as of the prior Business Day. We will use consistent sources to obtain Closing Values. If these sources are no longer available for specific indices, we will select an alternative published source(s) for these Closing Values.</w:t>
      </w:r>
    </w:p>
    <w:p>
      <w:pPr>
        <w:spacing w:after="0" w:line="208"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4"/>
          <w:szCs w:val="14"/>
          <w:color w:val="auto"/>
        </w:rPr>
        <w:t>29</w:t>
      </w:r>
    </w:p>
    <w:p>
      <w:pPr>
        <w:sectPr>
          <w:pgSz w:w="11900" w:h="16838" w:orient="portrait"/>
          <w:cols w:equalWidth="0" w:num="1">
            <w:col w:w="9219"/>
          </w:cols>
          <w:pgMar w:left="1240" w:top="1079" w:right="1440"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422275</wp:posOffset>
            </wp:positionV>
            <wp:extent cx="719010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90105" cy="38735"/>
                    </a:xfrm>
                    <a:prstGeom prst="rect">
                      <a:avLst/>
                    </a:prstGeom>
                    <a:noFill/>
                  </pic:spPr>
                </pic:pic>
              </a:graphicData>
            </a:graphic>
          </wp:anchor>
        </w:drawing>
        <w:t>Segment Index Performance</w:t>
      </w:r>
    </w:p>
    <w:p>
      <w:pPr>
        <w:spacing w:after="0" w:line="100" w:lineRule="exact"/>
        <w:rPr>
          <w:sz w:val="20"/>
          <w:szCs w:val="20"/>
          <w:color w:val="auto"/>
        </w:rPr>
      </w:pPr>
    </w:p>
    <w:p>
      <w:pPr>
        <w:jc w:val="both"/>
        <w:ind w:right="2939" w:firstLine="274"/>
        <w:spacing w:after="0" w:line="252" w:lineRule="auto"/>
        <w:rPr>
          <w:sz w:val="20"/>
          <w:szCs w:val="20"/>
          <w:color w:val="auto"/>
        </w:rPr>
      </w:pPr>
      <w:r>
        <w:rPr>
          <w:rFonts w:ascii="Times New Roman" w:cs="Times New Roman" w:eastAsia="Times New Roman" w:hAnsi="Times New Roman"/>
          <w:sz w:val="14"/>
          <w:szCs w:val="14"/>
          <w:color w:val="auto"/>
        </w:rPr>
        <w:t>The Segment Performance Rate of a Segment is based, in part, on the performance of an Index. Segment Index Performance is the percentage change in the Closing Value of the Index measured from the Segment Start Date to any day, including the Segment Maturity Date, during the Segment Term. The Segment Index Performance can be positive, zero or negative.</w:t>
      </w:r>
    </w:p>
    <w:p>
      <w:pPr>
        <w:spacing w:after="0" w:line="225"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4"/>
          <w:szCs w:val="14"/>
          <w:b w:val="1"/>
          <w:bCs w:val="1"/>
          <w:color w:val="auto"/>
        </w:rPr>
        <w:t>BUFFER RATES</w:t>
      </w:r>
    </w:p>
    <w:p>
      <w:pPr>
        <w:spacing w:after="0" w:line="100" w:lineRule="exact"/>
        <w:rPr>
          <w:sz w:val="20"/>
          <w:szCs w:val="20"/>
          <w:color w:val="auto"/>
        </w:rPr>
      </w:pPr>
    </w:p>
    <w:p>
      <w:pPr>
        <w:jc w:val="both"/>
        <w:ind w:right="2939" w:firstLine="274"/>
        <w:spacing w:after="0" w:line="249" w:lineRule="auto"/>
        <w:rPr>
          <w:sz w:val="20"/>
          <w:szCs w:val="20"/>
          <w:color w:val="auto"/>
        </w:rPr>
      </w:pPr>
      <w:r>
        <w:rPr>
          <w:rFonts w:ascii="Times New Roman" w:cs="Times New Roman" w:eastAsia="Times New Roman" w:hAnsi="Times New Roman"/>
          <w:sz w:val="14"/>
          <w:szCs w:val="14"/>
          <w:color w:val="auto"/>
        </w:rPr>
        <w:t xml:space="preserve">The Buffer Rate is accrued from the Segment Start Date to the Segment Maturity Date, and the full Buffer Rate only applies if you hold the Indexed Account until the Segment Maturity Date. The Buffer Rate for each Indexed Account is the maximum amount of any negative Segment Index Performance we protect you from at the Segment Maturity Date. Any negative Segment Index Performance beyond the Buffer Rate will reduce the Segment Maturity Value. </w:t>
      </w:r>
      <w:r>
        <w:rPr>
          <w:rFonts w:ascii="Times New Roman" w:cs="Times New Roman" w:eastAsia="Times New Roman" w:hAnsi="Times New Roman"/>
          <w:sz w:val="14"/>
          <w:szCs w:val="14"/>
          <w:b w:val="1"/>
          <w:bCs w:val="1"/>
          <w:color w:val="auto"/>
        </w:rPr>
        <w:t>If Segment Index Performance is negative, the Segment Performance Rate can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never be greater than zero.</w:t>
      </w:r>
    </w:p>
    <w:p>
      <w:pPr>
        <w:spacing w:after="0" w:line="6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We currently offer the following Buffer Rates: Buffer 10, Buffer 15, Buffer 20 and Buffer 100:</w:t>
      </w:r>
    </w:p>
    <w:p>
      <w:pPr>
        <w:spacing w:after="0" w:line="115" w:lineRule="exact"/>
        <w:rPr>
          <w:sz w:val="20"/>
          <w:szCs w:val="20"/>
          <w:color w:val="auto"/>
        </w:rPr>
      </w:pPr>
    </w:p>
    <w:tbl>
      <w:tblPr>
        <w:tblLayout w:type="fixed"/>
        <w:tblInd w:w="1410" w:type="dxa"/>
        <w:tblCellMar>
          <w:top w:w="0" w:type="dxa"/>
          <w:left w:w="0" w:type="dxa"/>
          <w:bottom w:w="0" w:type="dxa"/>
          <w:right w:w="0" w:type="dxa"/>
        </w:tblCellMar>
      </w:tblPr>
      <w:tr>
        <w:trPr>
          <w:trHeight w:val="180"/>
        </w:trPr>
        <w:tc>
          <w:tcPr>
            <w:tcW w:w="1740" w:type="dxa"/>
            <w:vAlign w:val="bottom"/>
            <w:tcBorders>
              <w:top w:val="single" w:sz="8" w:color="auto"/>
              <w:left w:val="single" w:sz="8" w:color="auto"/>
              <w:bottom w:val="single" w:sz="8" w:color="auto"/>
              <w:right w:val="single" w:sz="8" w:color="auto"/>
            </w:tcBorders>
          </w:tcPr>
          <w:p>
            <w:pPr>
              <w:jc w:val="center"/>
              <w:ind w:right="14"/>
              <w:spacing w:after="0"/>
              <w:rPr>
                <w:sz w:val="20"/>
                <w:szCs w:val="20"/>
                <w:color w:val="auto"/>
              </w:rPr>
            </w:pPr>
            <w:r>
              <w:rPr>
                <w:rFonts w:ascii="Times New Roman" w:cs="Times New Roman" w:eastAsia="Times New Roman" w:hAnsi="Times New Roman"/>
                <w:sz w:val="11"/>
                <w:szCs w:val="11"/>
                <w:b w:val="1"/>
                <w:bCs w:val="1"/>
                <w:color w:val="auto"/>
                <w:w w:val="97"/>
              </w:rPr>
              <w:t>Buffer Rate</w:t>
            </w:r>
          </w:p>
        </w:tc>
        <w:tc>
          <w:tcPr>
            <w:tcW w:w="17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Downside Protection</w:t>
            </w:r>
          </w:p>
        </w:tc>
      </w:tr>
      <w:tr>
        <w:trPr>
          <w:trHeight w:val="211"/>
        </w:trPr>
        <w:tc>
          <w:tcPr>
            <w:tcW w:w="1740" w:type="dxa"/>
            <w:vAlign w:val="bottom"/>
            <w:tcBorders>
              <w:left w:val="single" w:sz="8" w:color="auto"/>
              <w:bottom w:val="single" w:sz="8" w:color="F0FFFF"/>
              <w:right w:val="single" w:sz="8" w:color="auto"/>
            </w:tcBorders>
            <w:shd w:val="clear" w:color="auto" w:fill="F0FFFF"/>
          </w:tcPr>
          <w:p>
            <w:pPr>
              <w:jc w:val="center"/>
              <w:ind w:right="14"/>
              <w:spacing w:after="0"/>
              <w:rPr>
                <w:sz w:val="20"/>
                <w:szCs w:val="20"/>
                <w:color w:val="auto"/>
              </w:rPr>
            </w:pPr>
            <w:r>
              <w:rPr>
                <w:rFonts w:ascii="Times New Roman" w:cs="Times New Roman" w:eastAsia="Times New Roman" w:hAnsi="Times New Roman"/>
                <w:sz w:val="14"/>
                <w:szCs w:val="14"/>
                <w:color w:val="auto"/>
                <w:w w:val="99"/>
              </w:rPr>
              <w:t>Buffer 10</w:t>
            </w:r>
          </w:p>
        </w:tc>
        <w:tc>
          <w:tcPr>
            <w:tcW w:w="174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color w:val="auto"/>
                <w:w w:val="97"/>
              </w:rPr>
              <w:t>up to 10%</w:t>
            </w:r>
          </w:p>
        </w:tc>
      </w:tr>
      <w:tr>
        <w:trPr>
          <w:trHeight w:val="174"/>
        </w:trPr>
        <w:tc>
          <w:tcPr>
            <w:tcW w:w="1740" w:type="dxa"/>
            <w:vAlign w:val="bottom"/>
            <w:tcBorders>
              <w:top w:val="single" w:sz="8" w:color="auto"/>
              <w:left w:val="single" w:sz="8" w:color="auto"/>
              <w:right w:val="single" w:sz="8" w:color="auto"/>
            </w:tcBorders>
          </w:tcPr>
          <w:p>
            <w:pPr>
              <w:jc w:val="center"/>
              <w:ind w:right="14"/>
              <w:spacing w:after="0"/>
              <w:rPr>
                <w:sz w:val="20"/>
                <w:szCs w:val="20"/>
                <w:color w:val="auto"/>
              </w:rPr>
            </w:pPr>
            <w:r>
              <w:rPr>
                <w:rFonts w:ascii="Times New Roman" w:cs="Times New Roman" w:eastAsia="Times New Roman" w:hAnsi="Times New Roman"/>
                <w:sz w:val="14"/>
                <w:szCs w:val="14"/>
                <w:color w:val="auto"/>
                <w:w w:val="99"/>
              </w:rPr>
              <w:t>Buffer 15</w:t>
            </w:r>
          </w:p>
        </w:tc>
        <w:tc>
          <w:tcPr>
            <w:tcW w:w="17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up to 15%</w:t>
            </w:r>
          </w:p>
        </w:tc>
      </w:tr>
      <w:tr>
        <w:trPr>
          <w:trHeight w:val="22"/>
        </w:trPr>
        <w:tc>
          <w:tcPr>
            <w:tcW w:w="17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r>
      <w:tr>
        <w:trPr>
          <w:trHeight w:val="201"/>
        </w:trPr>
        <w:tc>
          <w:tcPr>
            <w:tcW w:w="1740" w:type="dxa"/>
            <w:vAlign w:val="bottom"/>
            <w:tcBorders>
              <w:left w:val="single" w:sz="8" w:color="auto"/>
              <w:bottom w:val="single" w:sz="8" w:color="F0FFFF"/>
              <w:right w:val="single" w:sz="8" w:color="auto"/>
            </w:tcBorders>
            <w:shd w:val="clear" w:color="auto" w:fill="F0FFFF"/>
          </w:tcPr>
          <w:p>
            <w:pPr>
              <w:jc w:val="center"/>
              <w:ind w:right="14"/>
              <w:spacing w:after="0"/>
              <w:rPr>
                <w:sz w:val="20"/>
                <w:szCs w:val="20"/>
                <w:color w:val="auto"/>
              </w:rPr>
            </w:pPr>
            <w:r>
              <w:rPr>
                <w:rFonts w:ascii="Times New Roman" w:cs="Times New Roman" w:eastAsia="Times New Roman" w:hAnsi="Times New Roman"/>
                <w:sz w:val="14"/>
                <w:szCs w:val="14"/>
                <w:color w:val="auto"/>
                <w:w w:val="99"/>
              </w:rPr>
              <w:t>Buffer 20</w:t>
            </w:r>
          </w:p>
        </w:tc>
        <w:tc>
          <w:tcPr>
            <w:tcW w:w="174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color w:val="auto"/>
                <w:w w:val="97"/>
              </w:rPr>
              <w:t>up to 20%</w:t>
            </w:r>
          </w:p>
        </w:tc>
      </w:tr>
      <w:tr>
        <w:trPr>
          <w:trHeight w:val="181"/>
        </w:trPr>
        <w:tc>
          <w:tcPr>
            <w:tcW w:w="1740" w:type="dxa"/>
            <w:vAlign w:val="bottom"/>
            <w:tcBorders>
              <w:top w:val="single" w:sz="8" w:color="auto"/>
              <w:left w:val="single" w:sz="8" w:color="auto"/>
              <w:bottom w:val="single" w:sz="8" w:color="auto"/>
              <w:right w:val="single" w:sz="8" w:color="auto"/>
            </w:tcBorders>
          </w:tcPr>
          <w:p>
            <w:pPr>
              <w:jc w:val="center"/>
              <w:ind w:right="14"/>
              <w:spacing w:after="0"/>
              <w:rPr>
                <w:sz w:val="20"/>
                <w:szCs w:val="20"/>
                <w:color w:val="auto"/>
              </w:rPr>
            </w:pPr>
            <w:r>
              <w:rPr>
                <w:rFonts w:ascii="Times New Roman" w:cs="Times New Roman" w:eastAsia="Times New Roman" w:hAnsi="Times New Roman"/>
                <w:sz w:val="14"/>
                <w:szCs w:val="14"/>
                <w:color w:val="auto"/>
                <w:w w:val="94"/>
              </w:rPr>
              <w:t>Buffer 100</w:t>
            </w:r>
          </w:p>
        </w:tc>
        <w:tc>
          <w:tcPr>
            <w:tcW w:w="17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900430</wp:posOffset>
            </wp:positionH>
            <wp:positionV relativeFrom="paragraph">
              <wp:posOffset>-662305</wp:posOffset>
            </wp:positionV>
            <wp:extent cx="2188210" cy="1174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188210" cy="117475"/>
                    </a:xfrm>
                    <a:prstGeom prst="rect">
                      <a:avLst/>
                    </a:prstGeom>
                    <a:noFill/>
                  </pic:spPr>
                </pic:pic>
              </a:graphicData>
            </a:graphic>
          </wp:anchor>
        </w:drawing>
        <w:drawing>
          <wp:anchor simplePos="0" relativeHeight="251657728" behindDoc="1" locked="0" layoutInCell="0" allowOverlap="1">
            <wp:simplePos x="0" y="0"/>
            <wp:positionH relativeFrom="column">
              <wp:posOffset>900430</wp:posOffset>
            </wp:positionH>
            <wp:positionV relativeFrom="paragraph">
              <wp:posOffset>-407670</wp:posOffset>
            </wp:positionV>
            <wp:extent cx="2188210"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188210" cy="137160"/>
                    </a:xfrm>
                    <a:prstGeom prst="rect">
                      <a:avLst/>
                    </a:prstGeom>
                    <a:noFill/>
                  </pic:spPr>
                </pic:pic>
              </a:graphicData>
            </a:graphic>
          </wp:anchor>
        </w:drawing>
        <w:drawing>
          <wp:anchor simplePos="0" relativeHeight="251657728" behindDoc="1" locked="0" layoutInCell="0" allowOverlap="1">
            <wp:simplePos x="0" y="0"/>
            <wp:positionH relativeFrom="column">
              <wp:posOffset>900430</wp:posOffset>
            </wp:positionH>
            <wp:positionV relativeFrom="paragraph">
              <wp:posOffset>-133350</wp:posOffset>
            </wp:positionV>
            <wp:extent cx="2188210" cy="1238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188210" cy="123825"/>
                    </a:xfrm>
                    <a:prstGeom prst="rect">
                      <a:avLst/>
                    </a:prstGeom>
                    <a:noFill/>
                  </pic:spPr>
                </pic:pic>
              </a:graphicData>
            </a:graphic>
          </wp:anchor>
        </w:drawing>
      </w:r>
    </w:p>
    <w:p>
      <w:pPr>
        <w:spacing w:after="0" w:line="127" w:lineRule="exact"/>
        <w:rPr>
          <w:sz w:val="20"/>
          <w:szCs w:val="20"/>
          <w:color w:val="auto"/>
        </w:rPr>
      </w:pPr>
    </w:p>
    <w:p>
      <w:pPr>
        <w:jc w:val="both"/>
        <w:ind w:right="2939" w:firstLine="274"/>
        <w:spacing w:after="0" w:line="256" w:lineRule="auto"/>
        <w:rPr>
          <w:sz w:val="20"/>
          <w:szCs w:val="20"/>
          <w:color w:val="auto"/>
        </w:rPr>
      </w:pPr>
      <w:r>
        <w:rPr>
          <w:rFonts w:ascii="Times New Roman" w:cs="Times New Roman" w:eastAsia="Times New Roman" w:hAnsi="Times New Roman"/>
          <w:sz w:val="14"/>
          <w:szCs w:val="14"/>
          <w:color w:val="auto"/>
        </w:rPr>
        <w:t xml:space="preserve">For example, a -15% Segment Index Performance with a 10% Buffer Rate will result in a -5% Segment Performance Rate; or a -10% Segment Index Performance with a 20% Buffer Rate will result in a 0% Segment Performance Rate. </w:t>
      </w:r>
      <w:r>
        <w:rPr>
          <w:rFonts w:ascii="Times New Roman" w:cs="Times New Roman" w:eastAsia="Times New Roman" w:hAnsi="Times New Roman"/>
          <w:sz w:val="14"/>
          <w:szCs w:val="14"/>
          <w:b w:val="1"/>
          <w:bCs w:val="1"/>
          <w:color w:val="auto"/>
        </w:rPr>
        <w:t>The Buffer Rate may vary between Indexed Accounts and is an annual rate.</w:t>
      </w:r>
    </w:p>
    <w:p>
      <w:pPr>
        <w:spacing w:after="0" w:line="67" w:lineRule="exact"/>
        <w:rPr>
          <w:sz w:val="20"/>
          <w:szCs w:val="20"/>
          <w:color w:val="auto"/>
        </w:rPr>
      </w:pPr>
    </w:p>
    <w:p>
      <w:pPr>
        <w:jc w:val="both"/>
        <w:ind w:right="2939" w:firstLine="274"/>
        <w:spacing w:after="0" w:line="254" w:lineRule="auto"/>
        <w:rPr>
          <w:sz w:val="20"/>
          <w:szCs w:val="20"/>
          <w:color w:val="auto"/>
        </w:rPr>
      </w:pPr>
      <w:r>
        <w:rPr>
          <w:rFonts w:ascii="Times New Roman" w:cs="Times New Roman" w:eastAsia="Times New Roman" w:hAnsi="Times New Roman"/>
          <w:sz w:val="14"/>
          <w:szCs w:val="14"/>
          <w:b w:val="1"/>
          <w:bCs w:val="1"/>
          <w:color w:val="auto"/>
        </w:rPr>
        <w:t>In deciding whether to choose an Indexed Account with a higher Buffer Rate, you should consider that Indexed Accounts with higher Buffer Rates tend to have lower Cap Rates than Indexed Accounts with lower Buffer Rates that have the same Index and Segment Term. This is because higher Buffer Rates offer greater downside protection.</w:t>
      </w:r>
    </w:p>
    <w:p>
      <w:pPr>
        <w:spacing w:after="0" w:line="224" w:lineRule="exact"/>
        <w:rPr>
          <w:sz w:val="20"/>
          <w:szCs w:val="20"/>
          <w:color w:val="auto"/>
        </w:rPr>
      </w:pPr>
    </w:p>
    <w:p>
      <w:pPr>
        <w:jc w:val="center"/>
        <w:ind w:right="2939"/>
        <w:spacing w:after="0"/>
        <w:rPr>
          <w:sz w:val="20"/>
          <w:szCs w:val="20"/>
          <w:color w:val="auto"/>
        </w:rPr>
      </w:pPr>
      <w:r>
        <w:rPr>
          <w:rFonts w:ascii="Times New Roman" w:cs="Times New Roman" w:eastAsia="Times New Roman" w:hAnsi="Times New Roman"/>
          <w:sz w:val="14"/>
          <w:szCs w:val="14"/>
          <w:b w:val="1"/>
          <w:bCs w:val="1"/>
          <w:color w:val="auto"/>
        </w:rPr>
        <w:t>CAP RATE</w:t>
      </w:r>
    </w:p>
    <w:p>
      <w:pPr>
        <w:spacing w:after="0" w:line="90" w:lineRule="exact"/>
        <w:rPr>
          <w:sz w:val="20"/>
          <w:szCs w:val="20"/>
          <w:color w:val="auto"/>
        </w:rPr>
      </w:pPr>
    </w:p>
    <w:p>
      <w:pPr>
        <w:jc w:val="both"/>
        <w:ind w:right="2939" w:firstLine="274"/>
        <w:spacing w:after="0" w:line="248" w:lineRule="auto"/>
        <w:rPr>
          <w:sz w:val="20"/>
          <w:szCs w:val="20"/>
          <w:color w:val="auto"/>
        </w:rPr>
      </w:pPr>
      <w:r>
        <w:rPr>
          <w:rFonts w:ascii="Times New Roman" w:cs="Times New Roman" w:eastAsia="Times New Roman" w:hAnsi="Times New Roman"/>
          <w:sz w:val="14"/>
          <w:szCs w:val="14"/>
          <w:color w:val="auto"/>
        </w:rPr>
        <w:t>The Cap Rate is measured from the Segment Start Date to the Segment Maturity Date, and the full Cap Rate only applies if you hold the Indexed Account until the Segment Maturity Date. The Cap Rate is the maximum rate that may be credited at the Segment Maturity Date based on Segment Index Performance. For example, a 15% Segment Index Performance with a 10% Cap Rate will result in a 10% Segment Performance Rate; or a 5% Segment Index Performance with a 10% Cap Rate will result in a 5% Segment Performance Rate. The Cap Rate may vary between Indexed Accounts and is an annual rate but not a guaranteed rate of return. A new Cap Rate is declared for each new Segment Term, and such rate will not be less than the guaranteed minimum Cap Rate stated in your Policy, which will not be less than 3%.</w:t>
      </w:r>
    </w:p>
    <w:p>
      <w:pPr>
        <w:spacing w:after="0" w:line="68" w:lineRule="exact"/>
        <w:rPr>
          <w:sz w:val="20"/>
          <w:szCs w:val="20"/>
          <w:color w:val="auto"/>
        </w:rPr>
      </w:pPr>
    </w:p>
    <w:p>
      <w:pPr>
        <w:jc w:val="both"/>
        <w:ind w:right="2939" w:firstLine="274"/>
        <w:spacing w:after="0" w:line="251" w:lineRule="auto"/>
        <w:rPr>
          <w:sz w:val="20"/>
          <w:szCs w:val="20"/>
          <w:color w:val="auto"/>
        </w:rPr>
      </w:pPr>
      <w:r>
        <w:rPr>
          <w:rFonts w:ascii="Times New Roman" w:cs="Times New Roman" w:eastAsia="Times New Roman" w:hAnsi="Times New Roman"/>
          <w:sz w:val="14"/>
          <w:szCs w:val="14"/>
          <w:color w:val="auto"/>
        </w:rPr>
        <w:t>A thirty (30) day advance written notification will be mailed to you indicating your maturing Segments, the Indexed Accounts that will be available upon your next Segment Start Date, and the new Cap Rates and current interest rate for the Fixed Account. At the Segment Maturity Date, the Segment Value will automatically be renewed into the same Indexed Account, with the new Cap Rate, unless you elect to transfer such amount into a different Indexed Account(s) or the Fixed Account. See “TRANSFERS.”</w:t>
      </w:r>
    </w:p>
    <w:p>
      <w:pPr>
        <w:spacing w:after="0" w:line="22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4"/>
          <w:szCs w:val="14"/>
          <w:b w:val="1"/>
          <w:bCs w:val="1"/>
          <w:color w:val="auto"/>
        </w:rPr>
        <w:t>ADDITION OR DISCONTINUANCE OF AN INDEXED ACCOUNT</w:t>
      </w:r>
    </w:p>
    <w:p>
      <w:pPr>
        <w:spacing w:after="0" w:line="90" w:lineRule="exact"/>
        <w:rPr>
          <w:sz w:val="20"/>
          <w:szCs w:val="20"/>
          <w:color w:val="auto"/>
        </w:rPr>
      </w:pPr>
    </w:p>
    <w:p>
      <w:pPr>
        <w:jc w:val="both"/>
        <w:ind w:right="2939" w:firstLine="274"/>
        <w:spacing w:after="0" w:line="247" w:lineRule="auto"/>
        <w:rPr>
          <w:sz w:val="20"/>
          <w:szCs w:val="20"/>
          <w:color w:val="auto"/>
        </w:rPr>
      </w:pPr>
      <w:r>
        <w:rPr>
          <w:rFonts w:ascii="Times New Roman" w:cs="Times New Roman" w:eastAsia="Times New Roman" w:hAnsi="Times New Roman"/>
          <w:sz w:val="14"/>
          <w:szCs w:val="14"/>
          <w:color w:val="auto"/>
        </w:rPr>
        <w:t>The Indexed Account Factors for each Indexed Account, except for the Holding Account interest rate, apply from the Segment Start Date to the Segment Maturity Date. We can add or discontinue any Indexed Account for transfers, renewals and/or new allocations of Net Premiums prior to the start of a new Segment Term. You bear the risk that an Indexed Account in which you initially allocate to will not continue to be available in the future. While we are not obligated to offer any one particular Indexed Account, there will always be one Indexed Account available with a minimum of 5% downside protection. When a change is made to an Indexed Account or an Index, we will send a notification describing any changes to the Indexed Account, as required by law. This change will take effect under your Policy as of the next Policy Anniversary for any transfers and/or Net Premium allocations into the Indexed Account(s). If you are currently allocated to an Indexed Account that is no longer available, you will remain in that Indexed Account until the Segment Maturity Date. For more on transfers and renewals, see “TRANSFERS.”</w:t>
      </w:r>
    </w:p>
    <w:p>
      <w:pPr>
        <w:spacing w:after="0" w:line="204"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4"/>
          <w:szCs w:val="14"/>
          <w:color w:val="auto"/>
        </w:rPr>
        <w:t>30</w:t>
      </w:r>
    </w:p>
    <w:p>
      <w:pPr>
        <w:sectPr>
          <w:pgSz w:w="11900" w:h="16838" w:orient="portrait"/>
          <w:cols w:equalWidth="0" w:num="1">
            <w:col w:w="9219"/>
          </w:cols>
          <w:pgMar w:left="1240" w:top="1079" w:right="1440" w:bottom="1440" w:gutter="0" w:footer="0" w:header="0"/>
        </w:sectPr>
      </w:pPr>
    </w:p>
    <w:bookmarkStart w:id="33" w:name="page34"/>
    <w:bookmarkEnd w:id="33"/>
    <w:p>
      <w:pPr>
        <w:ind w:left="240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422275</wp:posOffset>
            </wp:positionV>
            <wp:extent cx="719010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90105" cy="38735"/>
                    </a:xfrm>
                    <a:prstGeom prst="rect">
                      <a:avLst/>
                    </a:prstGeom>
                    <a:noFill/>
                  </pic:spPr>
                </pic:pic>
              </a:graphicData>
            </a:graphic>
          </wp:anchor>
        </w:drawing>
        <w:t>HOLDING ACCOUNTS</w:t>
      </w:r>
    </w:p>
    <w:p>
      <w:pPr>
        <w:spacing w:after="0" w:line="100" w:lineRule="exact"/>
        <w:rPr>
          <w:sz w:val="20"/>
          <w:szCs w:val="20"/>
          <w:color w:val="auto"/>
        </w:rPr>
      </w:pPr>
    </w:p>
    <w:p>
      <w:pPr>
        <w:jc w:val="both"/>
        <w:ind w:right="2939" w:firstLine="274"/>
        <w:spacing w:after="0" w:line="249" w:lineRule="auto"/>
        <w:rPr>
          <w:sz w:val="20"/>
          <w:szCs w:val="20"/>
          <w:color w:val="auto"/>
        </w:rPr>
      </w:pPr>
      <w:r>
        <w:rPr>
          <w:rFonts w:ascii="Times New Roman" w:cs="Times New Roman" w:eastAsia="Times New Roman" w:hAnsi="Times New Roman"/>
          <w:sz w:val="14"/>
          <w:szCs w:val="14"/>
          <w:color w:val="auto"/>
        </w:rPr>
        <w:t>Each Indexed Account has an associated Holding Account. When you can allocate new premium or a loan repayment to an Indexed Account outside of the Transfer Period, the amounts will remain in the associated Holding Account until the Policy Anniversary (i.e., the next Segment Start Date) when such amounts will automatically transfer to the Indexed Accounts according to your latest instructions on file with us. The Holding Accounts are part of our General Account. Future Net Premiums and loan repayments allocated to the Fixed Account will always go directly into the Fixed Account.</w:t>
      </w:r>
    </w:p>
    <w:p>
      <w:pPr>
        <w:spacing w:after="0" w:line="68" w:lineRule="exact"/>
        <w:rPr>
          <w:sz w:val="20"/>
          <w:szCs w:val="20"/>
          <w:color w:val="auto"/>
        </w:rPr>
      </w:pPr>
    </w:p>
    <w:p>
      <w:pPr>
        <w:jc w:val="both"/>
        <w:ind w:right="2939" w:firstLine="274"/>
        <w:spacing w:after="0" w:line="249" w:lineRule="auto"/>
        <w:rPr>
          <w:sz w:val="20"/>
          <w:szCs w:val="20"/>
          <w:color w:val="auto"/>
        </w:rPr>
      </w:pPr>
      <w:r>
        <w:rPr>
          <w:rFonts w:ascii="Times New Roman" w:cs="Times New Roman" w:eastAsia="Times New Roman" w:hAnsi="Times New Roman"/>
          <w:sz w:val="14"/>
          <w:szCs w:val="14"/>
          <w:color w:val="auto"/>
        </w:rPr>
        <w:t>Each Holding Account has its own Holding Account interest rate and interest is credited daily at an effective annual rate that we declare periodically. The Holding Account guaranteed minimum interest rate for all Holding Accounts will not be less than 1%. The Holding Account guaranteed minimum interest rate for each Holding Account that applies to your Policy can be found in the Policy specifications pages. We refer to the Holding Account guaranteed minimum interest rate as the Guaranteed Minimum Holding Account Interest Rate in the Policy specifications pages. Your financial representative can tell you the current interest rates that apply to the Holding Accounts. We reserve the right to change the Holding Account interest rates.</w:t>
      </w:r>
    </w:p>
    <w:p>
      <w:pPr>
        <w:spacing w:after="0" w:line="75" w:lineRule="exact"/>
        <w:rPr>
          <w:sz w:val="20"/>
          <w:szCs w:val="20"/>
          <w:color w:val="auto"/>
        </w:rPr>
      </w:pPr>
    </w:p>
    <w:p>
      <w:pPr>
        <w:jc w:val="both"/>
        <w:ind w:right="2939" w:firstLine="274"/>
        <w:spacing w:after="0" w:line="252" w:lineRule="auto"/>
        <w:rPr>
          <w:sz w:val="20"/>
          <w:szCs w:val="20"/>
          <w:color w:val="auto"/>
        </w:rPr>
      </w:pPr>
      <w:r>
        <w:rPr>
          <w:rFonts w:ascii="Times New Roman" w:cs="Times New Roman" w:eastAsia="Times New Roman" w:hAnsi="Times New Roman"/>
          <w:sz w:val="14"/>
          <w:szCs w:val="14"/>
          <w:color w:val="auto"/>
        </w:rPr>
        <w:t>We will transfer the Cash Value in a Holding Account (“Holding Account Cash Value”) to the associated Indexed Account on the Policy Anniversary. Under our current administrative procedures, we will allow you to make transfers during the Transfer Period, and we will treat the transfer as if it occurred on the Policy Anniversary.</w:t>
      </w:r>
    </w:p>
    <w:p>
      <w:pPr>
        <w:spacing w:after="0" w:line="75" w:lineRule="exact"/>
        <w:rPr>
          <w:sz w:val="20"/>
          <w:szCs w:val="20"/>
          <w:color w:val="auto"/>
        </w:rPr>
      </w:pPr>
    </w:p>
    <w:p>
      <w:pPr>
        <w:jc w:val="both"/>
        <w:ind w:right="2939" w:firstLine="274"/>
        <w:spacing w:after="0" w:line="256" w:lineRule="auto"/>
        <w:rPr>
          <w:sz w:val="20"/>
          <w:szCs w:val="20"/>
          <w:color w:val="auto"/>
        </w:rPr>
      </w:pPr>
      <w:r>
        <w:rPr>
          <w:rFonts w:ascii="Times New Roman" w:cs="Times New Roman" w:eastAsia="Times New Roman" w:hAnsi="Times New Roman"/>
          <w:sz w:val="14"/>
          <w:szCs w:val="14"/>
          <w:color w:val="auto"/>
        </w:rPr>
        <w:t>Thirty (30) days before the Policy Anniversary, we will mail you a notification identifying your current Indexed Account allocations, including any Holding Accounts, and indicating all Indexed Accounts and Indexed Account Factors that will be available on your Policy Anniversary.</w:t>
      </w:r>
    </w:p>
    <w:p>
      <w:pPr>
        <w:spacing w:after="0" w:line="61" w:lineRule="exact"/>
        <w:rPr>
          <w:sz w:val="20"/>
          <w:szCs w:val="20"/>
          <w:color w:val="auto"/>
        </w:rPr>
      </w:pPr>
    </w:p>
    <w:p>
      <w:pPr>
        <w:jc w:val="both"/>
        <w:ind w:right="2939" w:firstLine="274"/>
        <w:spacing w:after="0" w:line="249" w:lineRule="auto"/>
        <w:rPr>
          <w:sz w:val="20"/>
          <w:szCs w:val="20"/>
          <w:color w:val="auto"/>
        </w:rPr>
      </w:pPr>
      <w:r>
        <w:rPr>
          <w:rFonts w:ascii="Times New Roman" w:cs="Times New Roman" w:eastAsia="Times New Roman" w:hAnsi="Times New Roman"/>
          <w:sz w:val="14"/>
          <w:szCs w:val="14"/>
          <w:color w:val="auto"/>
        </w:rPr>
        <w:t>Before the Holding Account Cash Value is transferred into its associated Indexed Account, you can change your allocation instructions and transfer to other investment options under the Policy. For example, if you allocated Net Premium to the S&amp;P 500 Indexed Account and such amounts are being held in the associated Holding Account, you can notify us that you want to change your allocation to the MSCI EAFE Indexed Account. On the next Segment Start Date, we will transfer the Holding Account Cash Value in the S&amp;P 500 Indexed Account to the MSCI EAFE Indexed Account.</w:t>
      </w:r>
    </w:p>
    <w:p>
      <w:pPr>
        <w:spacing w:after="0" w:line="228"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4"/>
          <w:szCs w:val="14"/>
          <w:b w:val="1"/>
          <w:bCs w:val="1"/>
          <w:color w:val="auto"/>
        </w:rPr>
        <w:t>SEGMENT VALUE</w:t>
      </w:r>
    </w:p>
    <w:p>
      <w:pPr>
        <w:spacing w:after="0" w:line="90" w:lineRule="exact"/>
        <w:rPr>
          <w:sz w:val="20"/>
          <w:szCs w:val="20"/>
          <w:color w:val="auto"/>
        </w:rPr>
      </w:pPr>
    </w:p>
    <w:p>
      <w:pPr>
        <w:jc w:val="both"/>
        <w:ind w:right="2939" w:firstLine="274"/>
        <w:spacing w:after="0" w:line="248" w:lineRule="auto"/>
        <w:rPr>
          <w:sz w:val="20"/>
          <w:szCs w:val="20"/>
          <w:color w:val="auto"/>
        </w:rPr>
      </w:pPr>
      <w:r>
        <w:rPr>
          <w:rFonts w:ascii="Times New Roman" w:cs="Times New Roman" w:eastAsia="Times New Roman" w:hAnsi="Times New Roman"/>
          <w:sz w:val="14"/>
          <w:szCs w:val="14"/>
          <w:color w:val="auto"/>
        </w:rPr>
        <w:t>The Segment Value for each Segment is used to determine the amount available for any transactions or reallocations on the Segment Maturity Date. It is the amount that is applied to the Segment at the Segment Start Date, reduced proportionately for an Accelerated Death Benefit payment and any loans that are not Distribution Payments by the same percentage that the loan or payment reduces the Interim Segment Value attributable to that Segment. A proportionate reduction can be greater than the dollar amount of the transaction when the Segment Performance Rate is negative. The Segment Value is then at the Segment Maturity Date, adjusted by the Segment Credit. The remaining Segment Value after a loan or Accelerated Death Benefit payment will be used as the new Segment Value for the remainder of the Segment Term or until you take another loan or request an Accelerated Death Benefit payment.</w:t>
      </w:r>
    </w:p>
    <w:p>
      <w:pPr>
        <w:spacing w:after="0" w:line="6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Segment Value on the Policy Start Date equals:</w:t>
      </w:r>
    </w:p>
    <w:p>
      <w:pPr>
        <w:spacing w:after="0" w:line="86" w:lineRule="exact"/>
        <w:rPr>
          <w:sz w:val="20"/>
          <w:szCs w:val="20"/>
          <w:color w:val="auto"/>
        </w:rPr>
      </w:pPr>
    </w:p>
    <w:p>
      <w:pPr>
        <w:ind w:left="820" w:hanging="277"/>
        <w:spacing w:after="0"/>
        <w:tabs>
          <w:tab w:leader="none" w:pos="8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portion of the initial Net Premium allocated to the Indexed Account, less</w:t>
      </w:r>
    </w:p>
    <w:p>
      <w:pPr>
        <w:spacing w:after="0" w:line="85" w:lineRule="exact"/>
        <w:rPr>
          <w:rFonts w:ascii="Times New Roman" w:cs="Times New Roman" w:eastAsia="Times New Roman" w:hAnsi="Times New Roman"/>
          <w:sz w:val="14"/>
          <w:szCs w:val="14"/>
          <w:color w:val="auto"/>
        </w:rPr>
      </w:pPr>
    </w:p>
    <w:p>
      <w:pPr>
        <w:ind w:left="820" w:hanging="277"/>
        <w:spacing w:after="0"/>
        <w:tabs>
          <w:tab w:leader="none" w:pos="8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Annual Deduction taken from that Indexed Account at such time.</w:t>
      </w:r>
    </w:p>
    <w:p>
      <w:pPr>
        <w:spacing w:after="0" w:line="86" w:lineRule="exact"/>
        <w:rPr>
          <w:sz w:val="20"/>
          <w:szCs w:val="20"/>
          <w:color w:val="auto"/>
        </w:rPr>
      </w:pPr>
    </w:p>
    <w:p>
      <w:pPr>
        <w:ind w:right="2939" w:firstLine="274"/>
        <w:spacing w:after="0" w:line="267" w:lineRule="auto"/>
        <w:rPr>
          <w:sz w:val="20"/>
          <w:szCs w:val="20"/>
          <w:color w:val="auto"/>
        </w:rPr>
      </w:pPr>
      <w:r>
        <w:rPr>
          <w:rFonts w:ascii="Times New Roman" w:cs="Times New Roman" w:eastAsia="Times New Roman" w:hAnsi="Times New Roman"/>
          <w:sz w:val="14"/>
          <w:szCs w:val="14"/>
          <w:color w:val="auto"/>
        </w:rPr>
        <w:t>On Segment Start Dates after the Policy Start Date, which is always a Policy Anniversary, the Segment Value equals:</w:t>
      </w:r>
    </w:p>
    <w:p>
      <w:pPr>
        <w:spacing w:after="0" w:line="53" w:lineRule="exact"/>
        <w:rPr>
          <w:sz w:val="20"/>
          <w:szCs w:val="20"/>
          <w:color w:val="auto"/>
        </w:rPr>
      </w:pPr>
    </w:p>
    <w:p>
      <w:pPr>
        <w:ind w:left="820" w:right="2999" w:hanging="277"/>
        <w:spacing w:after="0" w:line="267" w:lineRule="auto"/>
        <w:tabs>
          <w:tab w:leader="none" w:pos="8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amount (including Holding Account Cash Value and any amounts from the Fixed Account and/or from a maturing Indexed Account) transferring into the new Segment; plus</w:t>
      </w:r>
    </w:p>
    <w:p>
      <w:pPr>
        <w:spacing w:after="0" w:line="53" w:lineRule="exact"/>
        <w:rPr>
          <w:rFonts w:ascii="Times New Roman" w:cs="Times New Roman" w:eastAsia="Times New Roman" w:hAnsi="Times New Roman"/>
          <w:sz w:val="14"/>
          <w:szCs w:val="14"/>
          <w:color w:val="auto"/>
        </w:rPr>
      </w:pPr>
    </w:p>
    <w:p>
      <w:pPr>
        <w:ind w:left="820" w:hanging="277"/>
        <w:spacing w:after="0"/>
        <w:tabs>
          <w:tab w:leader="none" w:pos="8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Net Premium paid on that date allocated to the Indexed Account; less</w:t>
      </w:r>
    </w:p>
    <w:p>
      <w:pPr>
        <w:spacing w:after="0" w:line="85" w:lineRule="exact"/>
        <w:rPr>
          <w:rFonts w:ascii="Times New Roman" w:cs="Times New Roman" w:eastAsia="Times New Roman" w:hAnsi="Times New Roman"/>
          <w:sz w:val="14"/>
          <w:szCs w:val="14"/>
          <w:color w:val="auto"/>
        </w:rPr>
      </w:pPr>
    </w:p>
    <w:p>
      <w:pPr>
        <w:ind w:left="820" w:right="3019" w:hanging="277"/>
        <w:spacing w:after="0" w:line="267" w:lineRule="auto"/>
        <w:tabs>
          <w:tab w:leader="none" w:pos="8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amount transferred from the Segment into the Fixed Account or a different Indexed Account; less</w:t>
      </w:r>
    </w:p>
    <w:p>
      <w:pPr>
        <w:spacing w:after="0" w:line="53" w:lineRule="exact"/>
        <w:rPr>
          <w:rFonts w:ascii="Times New Roman" w:cs="Times New Roman" w:eastAsia="Times New Roman" w:hAnsi="Times New Roman"/>
          <w:sz w:val="14"/>
          <w:szCs w:val="14"/>
          <w:color w:val="auto"/>
        </w:rPr>
      </w:pPr>
    </w:p>
    <w:p>
      <w:pPr>
        <w:ind w:left="820" w:right="2999" w:hanging="277"/>
        <w:spacing w:after="0" w:line="267" w:lineRule="auto"/>
        <w:tabs>
          <w:tab w:leader="none" w:pos="8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part of the Annual Deduction charged to the Indexed Account to cover the Policy Year that starts on that day.</w:t>
      </w:r>
    </w:p>
    <w:p>
      <w:pPr>
        <w:spacing w:after="0" w:line="5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On any other day, prior to the Segment Maturity Date, the Segment Value equals:</w:t>
      </w:r>
    </w:p>
    <w:p>
      <w:pPr>
        <w:spacing w:after="0" w:line="86" w:lineRule="exact"/>
        <w:rPr>
          <w:sz w:val="20"/>
          <w:szCs w:val="20"/>
          <w:color w:val="auto"/>
        </w:rPr>
      </w:pPr>
    </w:p>
    <w:p>
      <w:pPr>
        <w:ind w:left="540" w:right="3239" w:firstLine="3"/>
        <w:spacing w:after="0" w:line="267" w:lineRule="auto"/>
        <w:tabs>
          <w:tab w:leader="none" w:pos="704"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Segment Value as of the close of the prior day (we also refer to this as the “current Segment Value”); less</w:t>
      </w:r>
    </w:p>
    <w:p>
      <w:pPr>
        <w:spacing w:after="0" w:line="53" w:lineRule="exact"/>
        <w:rPr>
          <w:rFonts w:ascii="Times New Roman" w:cs="Times New Roman" w:eastAsia="Times New Roman" w:hAnsi="Times New Roman"/>
          <w:sz w:val="14"/>
          <w:szCs w:val="14"/>
          <w:color w:val="auto"/>
        </w:rPr>
      </w:pPr>
    </w:p>
    <w:p>
      <w:pPr>
        <w:ind w:left="820" w:hanging="277"/>
        <w:spacing w:after="0"/>
        <w:tabs>
          <w:tab w:leader="none" w:pos="8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proportional reduction to reflect any amount transferred from the Segment due to a loan; less</w:t>
      </w:r>
    </w:p>
    <w:p>
      <w:pPr>
        <w:spacing w:after="0" w:line="85" w:lineRule="exact"/>
        <w:rPr>
          <w:rFonts w:ascii="Times New Roman" w:cs="Times New Roman" w:eastAsia="Times New Roman" w:hAnsi="Times New Roman"/>
          <w:sz w:val="14"/>
          <w:szCs w:val="14"/>
          <w:color w:val="auto"/>
        </w:rPr>
      </w:pPr>
    </w:p>
    <w:p>
      <w:pPr>
        <w:ind w:left="540" w:right="2939" w:firstLine="3"/>
        <w:spacing w:after="0" w:line="267" w:lineRule="auto"/>
        <w:tabs>
          <w:tab w:leader="none" w:pos="794"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proportional reduction to reflect any Cash Value reduction resulting from a payment under the Accelerated Death Benefit.</w:t>
      </w:r>
    </w:p>
    <w:p>
      <w:pPr>
        <w:spacing w:after="0" w:line="197"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4"/>
          <w:szCs w:val="14"/>
          <w:color w:val="auto"/>
        </w:rPr>
        <w:t>31</w:t>
      </w:r>
    </w:p>
    <w:p>
      <w:pPr>
        <w:sectPr>
          <w:pgSz w:w="11900" w:h="16838" w:orient="portrait"/>
          <w:cols w:equalWidth="0" w:num="1">
            <w:col w:w="9219"/>
          </w:cols>
          <w:pgMar w:left="1240" w:top="1079" w:right="1440" w:bottom="1440" w:gutter="0" w:footer="0" w:header="0"/>
        </w:sectPr>
      </w:pPr>
    </w:p>
    <w:bookmarkStart w:id="34" w:name="page35"/>
    <w:bookmarkEnd w:id="34"/>
    <w:p>
      <w:pPr>
        <w:ind w:left="2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422275</wp:posOffset>
            </wp:positionV>
            <wp:extent cx="719010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90105" cy="38735"/>
                    </a:xfrm>
                    <a:prstGeom prst="rect">
                      <a:avLst/>
                    </a:prstGeom>
                    <a:noFill/>
                  </pic:spPr>
                </pic:pic>
              </a:graphicData>
            </a:graphic>
          </wp:anchor>
        </w:drawing>
        <w:t>On the Segment Maturity Date, the Segment Value, equals:</w:t>
      </w:r>
    </w:p>
    <w:p>
      <w:pPr>
        <w:spacing w:after="0" w:line="96" w:lineRule="exact"/>
        <w:rPr>
          <w:sz w:val="20"/>
          <w:szCs w:val="20"/>
          <w:color w:val="auto"/>
        </w:rPr>
      </w:pPr>
    </w:p>
    <w:p>
      <w:pPr>
        <w:ind w:left="820" w:hanging="277"/>
        <w:spacing w:after="0"/>
        <w:tabs>
          <w:tab w:leader="none" w:pos="8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Segment Value as of the prior day; less</w:t>
      </w:r>
    </w:p>
    <w:p>
      <w:pPr>
        <w:spacing w:after="0" w:line="85" w:lineRule="exact"/>
        <w:rPr>
          <w:rFonts w:ascii="Times New Roman" w:cs="Times New Roman" w:eastAsia="Times New Roman" w:hAnsi="Times New Roman"/>
          <w:sz w:val="14"/>
          <w:szCs w:val="14"/>
          <w:color w:val="auto"/>
        </w:rPr>
      </w:pPr>
    </w:p>
    <w:p>
      <w:pPr>
        <w:ind w:left="820" w:hanging="277"/>
        <w:spacing w:after="0"/>
        <w:tabs>
          <w:tab w:leader="none" w:pos="8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amount transferred from the Segment to the Loan Account on that day; less</w:t>
      </w:r>
    </w:p>
    <w:p>
      <w:pPr>
        <w:spacing w:after="0" w:line="96" w:lineRule="exact"/>
        <w:rPr>
          <w:rFonts w:ascii="Times New Roman" w:cs="Times New Roman" w:eastAsia="Times New Roman" w:hAnsi="Times New Roman"/>
          <w:sz w:val="14"/>
          <w:szCs w:val="14"/>
          <w:color w:val="auto"/>
        </w:rPr>
      </w:pPr>
    </w:p>
    <w:p>
      <w:pPr>
        <w:ind w:left="780" w:hanging="237"/>
        <w:spacing w:after="0"/>
        <w:tabs>
          <w:tab w:leader="none" w:pos="78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Cash Value reduction resulting from a payment under the Accelerated Death Benefit; plus</w:t>
      </w:r>
    </w:p>
    <w:p>
      <w:pPr>
        <w:spacing w:after="0" w:line="96" w:lineRule="exact"/>
        <w:rPr>
          <w:rFonts w:ascii="Times New Roman" w:cs="Times New Roman" w:eastAsia="Times New Roman" w:hAnsi="Times New Roman"/>
          <w:sz w:val="14"/>
          <w:szCs w:val="14"/>
          <w:color w:val="auto"/>
        </w:rPr>
      </w:pPr>
    </w:p>
    <w:p>
      <w:pPr>
        <w:ind w:left="780" w:hanging="237"/>
        <w:spacing w:after="0"/>
        <w:tabs>
          <w:tab w:leader="none" w:pos="78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Segment Credit.</w:t>
      </w:r>
    </w:p>
    <w:p>
      <w:pPr>
        <w:spacing w:after="0" w:line="2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b w:val="1"/>
          <w:bCs w:val="1"/>
          <w:color w:val="auto"/>
        </w:rPr>
        <w:t>CALCULATING YOUR SEGMENT VALUE ON A SEGMENT MATURITY DATE</w:t>
      </w:r>
    </w:p>
    <w:p>
      <w:pPr>
        <w:spacing w:after="0" w:line="90" w:lineRule="exact"/>
        <w:rPr>
          <w:sz w:val="20"/>
          <w:szCs w:val="20"/>
          <w:color w:val="auto"/>
        </w:rPr>
      </w:pPr>
    </w:p>
    <w:p>
      <w:pPr>
        <w:jc w:val="both"/>
        <w:ind w:right="2939" w:firstLine="274"/>
        <w:spacing w:after="0" w:line="278" w:lineRule="auto"/>
        <w:rPr>
          <w:sz w:val="20"/>
          <w:szCs w:val="20"/>
          <w:color w:val="auto"/>
        </w:rPr>
      </w:pPr>
      <w:r>
        <w:rPr>
          <w:rFonts w:ascii="Times New Roman" w:cs="Times New Roman" w:eastAsia="Times New Roman" w:hAnsi="Times New Roman"/>
          <w:sz w:val="13"/>
          <w:szCs w:val="13"/>
          <w:color w:val="auto"/>
        </w:rPr>
        <w:t>On the Segment Maturity Date, we apply the Segment Credit to your current Segment Value. The Segment Credit is based on the Segment Performance Rate, which is the rate credited at the Segment Maturity Date. The Segment Performance Rate is determined by the Segment Index Performance adjusted for the applicable Buffer Rate or Cap Rate. The Segment Performance Rate can be positive, zero or negative and is determined as follows:</w:t>
      </w:r>
    </w:p>
    <w:p>
      <w:pPr>
        <w:spacing w:after="0" w:line="77" w:lineRule="exact"/>
        <w:rPr>
          <w:sz w:val="20"/>
          <w:szCs w:val="20"/>
          <w:color w:val="auto"/>
        </w:rPr>
      </w:pPr>
    </w:p>
    <w:tbl>
      <w:tblPr>
        <w:tblLayout w:type="fixed"/>
        <w:tblInd w:w="10" w:type="dxa"/>
        <w:tblCellMar>
          <w:top w:w="0" w:type="dxa"/>
          <w:left w:w="0" w:type="dxa"/>
          <w:bottom w:w="0" w:type="dxa"/>
          <w:right w:w="0" w:type="dxa"/>
        </w:tblCellMar>
      </w:tblPr>
      <w:tr>
        <w:trPr>
          <w:trHeight w:val="181"/>
        </w:trPr>
        <w:tc>
          <w:tcPr>
            <w:tcW w:w="2080" w:type="dxa"/>
            <w:vAlign w:val="bottom"/>
            <w:tcBorders>
              <w:top w:val="single" w:sz="8" w:color="auto"/>
              <w:left w:val="single" w:sz="8" w:color="auto"/>
              <w:right w:val="single" w:sz="8" w:color="auto"/>
            </w:tcBorders>
          </w:tcPr>
          <w:p>
            <w:pPr>
              <w:spacing w:after="0"/>
              <w:rPr>
                <w:sz w:val="15"/>
                <w:szCs w:val="15"/>
                <w:color w:val="auto"/>
              </w:rPr>
            </w:pPr>
          </w:p>
        </w:tc>
        <w:tc>
          <w:tcPr>
            <w:tcW w:w="21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If Segment Index Performance (can be</w:t>
            </w:r>
          </w:p>
        </w:tc>
        <w:tc>
          <w:tcPr>
            <w:tcW w:w="2320" w:type="dxa"/>
            <w:vAlign w:val="bottom"/>
            <w:tcBorders>
              <w:top w:val="single" w:sz="8" w:color="auto"/>
              <w:right w:val="single" w:sz="8" w:color="auto"/>
            </w:tcBorders>
          </w:tcPr>
          <w:p>
            <w:pPr>
              <w:spacing w:after="0"/>
              <w:rPr>
                <w:sz w:val="15"/>
                <w:szCs w:val="15"/>
                <w:color w:val="auto"/>
              </w:rPr>
            </w:pPr>
          </w:p>
        </w:tc>
      </w:tr>
      <w:tr>
        <w:trPr>
          <w:trHeight w:val="134"/>
        </w:trPr>
        <w:tc>
          <w:tcPr>
            <w:tcW w:w="2080" w:type="dxa"/>
            <w:vAlign w:val="bottom"/>
            <w:tcBorders>
              <w:left w:val="single" w:sz="8" w:color="auto"/>
              <w:right w:val="single" w:sz="8" w:color="auto"/>
            </w:tcBorders>
          </w:tcPr>
          <w:p>
            <w:pPr>
              <w:spacing w:after="0"/>
              <w:rPr>
                <w:sz w:val="11"/>
                <w:szCs w:val="11"/>
                <w:color w:val="auto"/>
              </w:rPr>
            </w:pPr>
          </w:p>
        </w:tc>
        <w:tc>
          <w:tcPr>
            <w:tcW w:w="2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positive,</w:t>
            </w:r>
          </w:p>
        </w:tc>
        <w:tc>
          <w:tcPr>
            <w:tcW w:w="2320" w:type="dxa"/>
            <w:vAlign w:val="bottom"/>
            <w:tcBorders>
              <w:right w:val="single" w:sz="8" w:color="auto"/>
            </w:tcBorders>
          </w:tcPr>
          <w:p>
            <w:pPr>
              <w:spacing w:after="0"/>
              <w:rPr>
                <w:sz w:val="11"/>
                <w:szCs w:val="11"/>
                <w:color w:val="auto"/>
              </w:rPr>
            </w:pPr>
          </w:p>
        </w:tc>
      </w:tr>
      <w:tr>
        <w:trPr>
          <w:trHeight w:val="144"/>
        </w:trPr>
        <w:tc>
          <w:tcPr>
            <w:tcW w:w="20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1"/>
                <w:szCs w:val="11"/>
                <w:b w:val="1"/>
                <w:bCs w:val="1"/>
                <w:color w:val="auto"/>
              </w:rPr>
              <w:t>Indexed Account type:</w:t>
            </w:r>
          </w:p>
        </w:tc>
        <w:tc>
          <w:tcPr>
            <w:tcW w:w="2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zero or negative) is:</w:t>
            </w:r>
          </w:p>
        </w:tc>
        <w:tc>
          <w:tcPr>
            <w:tcW w:w="232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1"/>
                <w:szCs w:val="11"/>
                <w:b w:val="1"/>
                <w:bCs w:val="1"/>
                <w:color w:val="auto"/>
              </w:rPr>
              <w:t>Segment Performance Rate will equal:</w:t>
            </w:r>
          </w:p>
        </w:tc>
      </w:tr>
      <w:tr>
        <w:trPr>
          <w:trHeight w:val="30"/>
        </w:trPr>
        <w:tc>
          <w:tcPr>
            <w:tcW w:w="2080" w:type="dxa"/>
            <w:vAlign w:val="bottom"/>
            <w:tcBorders>
              <w:left w:val="single" w:sz="8" w:color="auto"/>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320" w:type="dxa"/>
            <w:vAlign w:val="bottom"/>
            <w:tcBorders>
              <w:bottom w:val="single" w:sz="8" w:color="auto"/>
              <w:right w:val="single" w:sz="8" w:color="auto"/>
            </w:tcBorders>
          </w:tcPr>
          <w:p>
            <w:pPr>
              <w:spacing w:after="0"/>
              <w:rPr>
                <w:sz w:val="2"/>
                <w:szCs w:val="2"/>
                <w:color w:val="auto"/>
              </w:rPr>
            </w:pPr>
          </w:p>
        </w:tc>
      </w:tr>
      <w:tr>
        <w:trPr>
          <w:trHeight w:val="175"/>
        </w:trPr>
        <w:tc>
          <w:tcPr>
            <w:tcW w:w="2080" w:type="dxa"/>
            <w:vAlign w:val="bottom"/>
            <w:tcBorders>
              <w:left w:val="single" w:sz="8" w:color="auto"/>
              <w:right w:val="single" w:sz="8" w:color="auto"/>
            </w:tcBorders>
            <w:shd w:val="clear" w:color="auto" w:fill="F0FFFF"/>
          </w:tcPr>
          <w:p>
            <w:pPr>
              <w:ind w:left="80"/>
              <w:spacing w:after="0"/>
              <w:rPr>
                <w:sz w:val="20"/>
                <w:szCs w:val="20"/>
                <w:color w:val="auto"/>
              </w:rPr>
            </w:pPr>
            <w:r>
              <w:rPr>
                <w:rFonts w:ascii="Times New Roman" w:cs="Times New Roman" w:eastAsia="Times New Roman" w:hAnsi="Times New Roman"/>
                <w:sz w:val="14"/>
                <w:szCs w:val="14"/>
                <w:color w:val="auto"/>
              </w:rPr>
              <w:t>Indexed Accounts with a Cap Rate</w:t>
            </w:r>
          </w:p>
        </w:tc>
        <w:tc>
          <w:tcPr>
            <w:tcW w:w="2180" w:type="dxa"/>
            <w:vAlign w:val="bottom"/>
            <w:tcBorders>
              <w:right w:val="single" w:sz="8" w:color="auto"/>
            </w:tcBorders>
            <w:shd w:val="clear" w:color="auto" w:fill="F0FFFF"/>
          </w:tcPr>
          <w:p>
            <w:pPr>
              <w:ind w:left="200"/>
              <w:spacing w:after="0"/>
              <w:rPr>
                <w:sz w:val="20"/>
                <w:szCs w:val="20"/>
                <w:color w:val="auto"/>
              </w:rPr>
            </w:pPr>
            <w:r>
              <w:rPr>
                <w:rFonts w:ascii="Times New Roman" w:cs="Times New Roman" w:eastAsia="Times New Roman" w:hAnsi="Times New Roman"/>
                <w:sz w:val="14"/>
                <w:szCs w:val="14"/>
                <w:color w:val="auto"/>
              </w:rPr>
              <w:t>•   less than zero</w:t>
            </w:r>
          </w:p>
        </w:tc>
        <w:tc>
          <w:tcPr>
            <w:tcW w:w="2320" w:type="dxa"/>
            <w:vAlign w:val="bottom"/>
            <w:tcBorders>
              <w:right w:val="single" w:sz="8" w:color="auto"/>
            </w:tcBorders>
            <w:shd w:val="clear" w:color="auto" w:fill="F0FFFF"/>
          </w:tcPr>
          <w:p>
            <w:pPr>
              <w:ind w:left="200"/>
              <w:spacing w:after="0"/>
              <w:rPr>
                <w:sz w:val="20"/>
                <w:szCs w:val="20"/>
                <w:color w:val="auto"/>
              </w:rPr>
            </w:pPr>
            <w:r>
              <w:rPr>
                <w:rFonts w:ascii="Times New Roman" w:cs="Times New Roman" w:eastAsia="Times New Roman" w:hAnsi="Times New Roman"/>
                <w:sz w:val="14"/>
                <w:szCs w:val="14"/>
                <w:color w:val="auto"/>
              </w:rPr>
              <w:t>•   The lesser of: zero or the</w:t>
            </w:r>
          </w:p>
        </w:tc>
      </w:tr>
      <w:tr>
        <w:trPr>
          <w:trHeight w:val="131"/>
        </w:trPr>
        <w:tc>
          <w:tcPr>
            <w:tcW w:w="2080" w:type="dxa"/>
            <w:vAlign w:val="bottom"/>
            <w:tcBorders>
              <w:left w:val="single" w:sz="8" w:color="auto"/>
              <w:right w:val="single" w:sz="8" w:color="auto"/>
            </w:tcBorders>
            <w:shd w:val="clear" w:color="auto" w:fill="F0FFFF"/>
          </w:tcPr>
          <w:p>
            <w:pPr>
              <w:spacing w:after="0"/>
              <w:rPr>
                <w:sz w:val="11"/>
                <w:szCs w:val="11"/>
                <w:color w:val="auto"/>
              </w:rPr>
            </w:pPr>
          </w:p>
        </w:tc>
        <w:tc>
          <w:tcPr>
            <w:tcW w:w="2180" w:type="dxa"/>
            <w:vAlign w:val="bottom"/>
            <w:tcBorders>
              <w:right w:val="single" w:sz="8" w:color="auto"/>
            </w:tcBorders>
            <w:shd w:val="clear" w:color="auto" w:fill="F0FFFF"/>
          </w:tcPr>
          <w:p>
            <w:pPr>
              <w:spacing w:after="0"/>
              <w:rPr>
                <w:sz w:val="11"/>
                <w:szCs w:val="11"/>
                <w:color w:val="auto"/>
              </w:rPr>
            </w:pPr>
          </w:p>
        </w:tc>
        <w:tc>
          <w:tcPr>
            <w:tcW w:w="2320" w:type="dxa"/>
            <w:vAlign w:val="bottom"/>
            <w:tcBorders>
              <w:right w:val="single" w:sz="8" w:color="auto"/>
            </w:tcBorders>
            <w:shd w:val="clear" w:color="auto" w:fill="F0FFFF"/>
          </w:tcPr>
          <w:p>
            <w:pPr>
              <w:ind w:left="340"/>
              <w:spacing w:after="0" w:line="131" w:lineRule="exact"/>
              <w:rPr>
                <w:sz w:val="20"/>
                <w:szCs w:val="20"/>
                <w:color w:val="auto"/>
              </w:rPr>
            </w:pPr>
            <w:r>
              <w:rPr>
                <w:rFonts w:ascii="Times New Roman" w:cs="Times New Roman" w:eastAsia="Times New Roman" w:hAnsi="Times New Roman"/>
                <w:sz w:val="14"/>
                <w:szCs w:val="14"/>
                <w:color w:val="auto"/>
              </w:rPr>
              <w:t>Segment Index Performance</w:t>
            </w:r>
          </w:p>
        </w:tc>
      </w:tr>
      <w:tr>
        <w:trPr>
          <w:trHeight w:val="144"/>
        </w:trPr>
        <w:tc>
          <w:tcPr>
            <w:tcW w:w="2080" w:type="dxa"/>
            <w:vAlign w:val="bottom"/>
            <w:tcBorders>
              <w:left w:val="single" w:sz="8" w:color="auto"/>
              <w:right w:val="single" w:sz="8" w:color="auto"/>
            </w:tcBorders>
            <w:shd w:val="clear" w:color="auto" w:fill="F0FFFF"/>
          </w:tcPr>
          <w:p>
            <w:pPr>
              <w:spacing w:after="0"/>
              <w:rPr>
                <w:sz w:val="12"/>
                <w:szCs w:val="12"/>
                <w:color w:val="auto"/>
              </w:rPr>
            </w:pPr>
          </w:p>
        </w:tc>
        <w:tc>
          <w:tcPr>
            <w:tcW w:w="2180" w:type="dxa"/>
            <w:vAlign w:val="bottom"/>
            <w:tcBorders>
              <w:right w:val="single" w:sz="8" w:color="auto"/>
            </w:tcBorders>
            <w:shd w:val="clear" w:color="auto" w:fill="F0FFFF"/>
          </w:tcPr>
          <w:p>
            <w:pPr>
              <w:spacing w:after="0"/>
              <w:rPr>
                <w:sz w:val="12"/>
                <w:szCs w:val="12"/>
                <w:color w:val="auto"/>
              </w:rPr>
            </w:pPr>
          </w:p>
        </w:tc>
        <w:tc>
          <w:tcPr>
            <w:tcW w:w="2320" w:type="dxa"/>
            <w:vAlign w:val="bottom"/>
            <w:tcBorders>
              <w:right w:val="single" w:sz="8" w:color="auto"/>
            </w:tcBorders>
            <w:shd w:val="clear" w:color="auto" w:fill="F0FFFF"/>
          </w:tcPr>
          <w:p>
            <w:pPr>
              <w:ind w:left="340"/>
              <w:spacing w:after="0" w:line="144" w:lineRule="exact"/>
              <w:rPr>
                <w:sz w:val="20"/>
                <w:szCs w:val="20"/>
                <w:color w:val="auto"/>
              </w:rPr>
            </w:pPr>
            <w:r>
              <w:rPr>
                <w:rFonts w:ascii="Times New Roman" w:cs="Times New Roman" w:eastAsia="Times New Roman" w:hAnsi="Times New Roman"/>
                <w:sz w:val="14"/>
                <w:szCs w:val="14"/>
                <w:color w:val="auto"/>
              </w:rPr>
              <w:t>increased by the Buffer Rate</w:t>
            </w:r>
          </w:p>
        </w:tc>
      </w:tr>
      <w:tr>
        <w:trPr>
          <w:trHeight w:val="154"/>
        </w:trPr>
        <w:tc>
          <w:tcPr>
            <w:tcW w:w="2080" w:type="dxa"/>
            <w:vAlign w:val="bottom"/>
            <w:tcBorders>
              <w:left w:val="single" w:sz="8" w:color="auto"/>
              <w:right w:val="single" w:sz="8" w:color="auto"/>
            </w:tcBorders>
            <w:shd w:val="clear" w:color="auto" w:fill="F0FFFF"/>
          </w:tcPr>
          <w:p>
            <w:pPr>
              <w:spacing w:after="0"/>
              <w:rPr>
                <w:sz w:val="13"/>
                <w:szCs w:val="13"/>
                <w:color w:val="auto"/>
              </w:rPr>
            </w:pPr>
          </w:p>
        </w:tc>
        <w:tc>
          <w:tcPr>
            <w:tcW w:w="2180" w:type="dxa"/>
            <w:vAlign w:val="bottom"/>
            <w:tcBorders>
              <w:right w:val="single" w:sz="8" w:color="auto"/>
            </w:tcBorders>
            <w:shd w:val="clear" w:color="auto" w:fill="F0FFFF"/>
          </w:tcPr>
          <w:p>
            <w:pPr>
              <w:spacing w:after="0"/>
              <w:rPr>
                <w:sz w:val="13"/>
                <w:szCs w:val="13"/>
                <w:color w:val="auto"/>
              </w:rPr>
            </w:pPr>
          </w:p>
        </w:tc>
        <w:tc>
          <w:tcPr>
            <w:tcW w:w="2320" w:type="dxa"/>
            <w:vAlign w:val="bottom"/>
            <w:tcBorders>
              <w:right w:val="single" w:sz="8" w:color="auto"/>
            </w:tcBorders>
            <w:shd w:val="clear" w:color="auto" w:fill="F0FFFF"/>
          </w:tcPr>
          <w:p>
            <w:pPr>
              <w:ind w:left="340"/>
              <w:spacing w:after="0" w:line="155" w:lineRule="exact"/>
              <w:rPr>
                <w:sz w:val="20"/>
                <w:szCs w:val="20"/>
                <w:color w:val="auto"/>
              </w:rPr>
            </w:pPr>
            <w:r>
              <w:rPr>
                <w:rFonts w:ascii="Times New Roman" w:cs="Times New Roman" w:eastAsia="Times New Roman" w:hAnsi="Times New Roman"/>
                <w:sz w:val="14"/>
                <w:szCs w:val="14"/>
                <w:color w:val="auto"/>
              </w:rPr>
              <w:t>(For example: a -15% Segment</w:t>
            </w:r>
          </w:p>
        </w:tc>
      </w:tr>
      <w:tr>
        <w:trPr>
          <w:trHeight w:val="154"/>
        </w:trPr>
        <w:tc>
          <w:tcPr>
            <w:tcW w:w="2080" w:type="dxa"/>
            <w:vAlign w:val="bottom"/>
            <w:tcBorders>
              <w:left w:val="single" w:sz="8" w:color="auto"/>
              <w:right w:val="single" w:sz="8" w:color="auto"/>
            </w:tcBorders>
            <w:shd w:val="clear" w:color="auto" w:fill="F0FFFF"/>
          </w:tcPr>
          <w:p>
            <w:pPr>
              <w:spacing w:after="0"/>
              <w:rPr>
                <w:sz w:val="13"/>
                <w:szCs w:val="13"/>
                <w:color w:val="auto"/>
              </w:rPr>
            </w:pPr>
          </w:p>
        </w:tc>
        <w:tc>
          <w:tcPr>
            <w:tcW w:w="2180" w:type="dxa"/>
            <w:vAlign w:val="bottom"/>
            <w:tcBorders>
              <w:right w:val="single" w:sz="8" w:color="auto"/>
            </w:tcBorders>
            <w:shd w:val="clear" w:color="auto" w:fill="F0FFFF"/>
          </w:tcPr>
          <w:p>
            <w:pPr>
              <w:spacing w:after="0"/>
              <w:rPr>
                <w:sz w:val="13"/>
                <w:szCs w:val="13"/>
                <w:color w:val="auto"/>
              </w:rPr>
            </w:pPr>
          </w:p>
        </w:tc>
        <w:tc>
          <w:tcPr>
            <w:tcW w:w="2320" w:type="dxa"/>
            <w:vAlign w:val="bottom"/>
            <w:tcBorders>
              <w:right w:val="single" w:sz="8" w:color="auto"/>
            </w:tcBorders>
            <w:shd w:val="clear" w:color="auto" w:fill="F0FFFF"/>
          </w:tcPr>
          <w:p>
            <w:pPr>
              <w:ind w:left="340"/>
              <w:spacing w:after="0" w:line="155" w:lineRule="exact"/>
              <w:rPr>
                <w:sz w:val="20"/>
                <w:szCs w:val="20"/>
                <w:color w:val="auto"/>
              </w:rPr>
            </w:pPr>
            <w:r>
              <w:rPr>
                <w:rFonts w:ascii="Times New Roman" w:cs="Times New Roman" w:eastAsia="Times New Roman" w:hAnsi="Times New Roman"/>
                <w:sz w:val="14"/>
                <w:szCs w:val="14"/>
                <w:color w:val="auto"/>
              </w:rPr>
              <w:t>Index Performance with a Buffer</w:t>
            </w:r>
          </w:p>
        </w:tc>
      </w:tr>
      <w:tr>
        <w:trPr>
          <w:trHeight w:val="144"/>
        </w:trPr>
        <w:tc>
          <w:tcPr>
            <w:tcW w:w="2080" w:type="dxa"/>
            <w:vAlign w:val="bottom"/>
            <w:tcBorders>
              <w:left w:val="single" w:sz="8" w:color="auto"/>
              <w:right w:val="single" w:sz="8" w:color="auto"/>
            </w:tcBorders>
            <w:shd w:val="clear" w:color="auto" w:fill="F0FFFF"/>
          </w:tcPr>
          <w:p>
            <w:pPr>
              <w:spacing w:after="0"/>
              <w:rPr>
                <w:sz w:val="12"/>
                <w:szCs w:val="12"/>
                <w:color w:val="auto"/>
              </w:rPr>
            </w:pPr>
          </w:p>
        </w:tc>
        <w:tc>
          <w:tcPr>
            <w:tcW w:w="2180" w:type="dxa"/>
            <w:vAlign w:val="bottom"/>
            <w:tcBorders>
              <w:right w:val="single" w:sz="8" w:color="auto"/>
            </w:tcBorders>
            <w:shd w:val="clear" w:color="auto" w:fill="F0FFFF"/>
          </w:tcPr>
          <w:p>
            <w:pPr>
              <w:spacing w:after="0"/>
              <w:rPr>
                <w:sz w:val="12"/>
                <w:szCs w:val="12"/>
                <w:color w:val="auto"/>
              </w:rPr>
            </w:pPr>
          </w:p>
        </w:tc>
        <w:tc>
          <w:tcPr>
            <w:tcW w:w="2320" w:type="dxa"/>
            <w:vAlign w:val="bottom"/>
            <w:tcBorders>
              <w:right w:val="single" w:sz="8" w:color="auto"/>
            </w:tcBorders>
            <w:shd w:val="clear" w:color="auto" w:fill="F0FFFF"/>
          </w:tcPr>
          <w:p>
            <w:pPr>
              <w:ind w:left="340"/>
              <w:spacing w:after="0" w:line="144" w:lineRule="exact"/>
              <w:rPr>
                <w:sz w:val="20"/>
                <w:szCs w:val="20"/>
                <w:color w:val="auto"/>
              </w:rPr>
            </w:pPr>
            <w:r>
              <w:rPr>
                <w:rFonts w:ascii="Times New Roman" w:cs="Times New Roman" w:eastAsia="Times New Roman" w:hAnsi="Times New Roman"/>
                <w:sz w:val="14"/>
                <w:szCs w:val="14"/>
                <w:color w:val="auto"/>
              </w:rPr>
              <w:t>10 will result in a -5% Segment</w:t>
            </w:r>
          </w:p>
        </w:tc>
      </w:tr>
      <w:tr>
        <w:trPr>
          <w:trHeight w:val="154"/>
        </w:trPr>
        <w:tc>
          <w:tcPr>
            <w:tcW w:w="2080" w:type="dxa"/>
            <w:vAlign w:val="bottom"/>
            <w:tcBorders>
              <w:left w:val="single" w:sz="8" w:color="auto"/>
              <w:right w:val="single" w:sz="8" w:color="auto"/>
            </w:tcBorders>
            <w:shd w:val="clear" w:color="auto" w:fill="F0FFFF"/>
          </w:tcPr>
          <w:p>
            <w:pPr>
              <w:spacing w:after="0"/>
              <w:rPr>
                <w:sz w:val="13"/>
                <w:szCs w:val="13"/>
                <w:color w:val="auto"/>
              </w:rPr>
            </w:pPr>
          </w:p>
        </w:tc>
        <w:tc>
          <w:tcPr>
            <w:tcW w:w="2180" w:type="dxa"/>
            <w:vAlign w:val="bottom"/>
            <w:tcBorders>
              <w:right w:val="single" w:sz="8" w:color="auto"/>
            </w:tcBorders>
            <w:shd w:val="clear" w:color="auto" w:fill="F0FFFF"/>
          </w:tcPr>
          <w:p>
            <w:pPr>
              <w:spacing w:after="0"/>
              <w:rPr>
                <w:sz w:val="13"/>
                <w:szCs w:val="13"/>
                <w:color w:val="auto"/>
              </w:rPr>
            </w:pPr>
          </w:p>
        </w:tc>
        <w:tc>
          <w:tcPr>
            <w:tcW w:w="2320" w:type="dxa"/>
            <w:vAlign w:val="bottom"/>
            <w:tcBorders>
              <w:right w:val="single" w:sz="8" w:color="auto"/>
            </w:tcBorders>
            <w:shd w:val="clear" w:color="auto" w:fill="F0FFFF"/>
          </w:tcPr>
          <w:p>
            <w:pPr>
              <w:ind w:left="340"/>
              <w:spacing w:after="0" w:line="155" w:lineRule="exact"/>
              <w:rPr>
                <w:sz w:val="20"/>
                <w:szCs w:val="20"/>
                <w:color w:val="auto"/>
              </w:rPr>
            </w:pPr>
            <w:r>
              <w:rPr>
                <w:rFonts w:ascii="Times New Roman" w:cs="Times New Roman" w:eastAsia="Times New Roman" w:hAnsi="Times New Roman"/>
                <w:sz w:val="14"/>
                <w:szCs w:val="14"/>
                <w:color w:val="auto"/>
              </w:rPr>
              <w:t>Performance Rate. The Segment</w:t>
            </w:r>
          </w:p>
        </w:tc>
      </w:tr>
      <w:tr>
        <w:trPr>
          <w:trHeight w:val="154"/>
        </w:trPr>
        <w:tc>
          <w:tcPr>
            <w:tcW w:w="2080" w:type="dxa"/>
            <w:vAlign w:val="bottom"/>
            <w:tcBorders>
              <w:left w:val="single" w:sz="8" w:color="auto"/>
              <w:right w:val="single" w:sz="8" w:color="auto"/>
            </w:tcBorders>
            <w:shd w:val="clear" w:color="auto" w:fill="F0FFFF"/>
          </w:tcPr>
          <w:p>
            <w:pPr>
              <w:spacing w:after="0"/>
              <w:rPr>
                <w:sz w:val="13"/>
                <w:szCs w:val="13"/>
                <w:color w:val="auto"/>
              </w:rPr>
            </w:pPr>
          </w:p>
        </w:tc>
        <w:tc>
          <w:tcPr>
            <w:tcW w:w="2180" w:type="dxa"/>
            <w:vAlign w:val="bottom"/>
            <w:tcBorders>
              <w:right w:val="single" w:sz="8" w:color="auto"/>
            </w:tcBorders>
            <w:shd w:val="clear" w:color="auto" w:fill="F0FFFF"/>
          </w:tcPr>
          <w:p>
            <w:pPr>
              <w:spacing w:after="0"/>
              <w:rPr>
                <w:sz w:val="13"/>
                <w:szCs w:val="13"/>
                <w:color w:val="auto"/>
              </w:rPr>
            </w:pPr>
          </w:p>
        </w:tc>
        <w:tc>
          <w:tcPr>
            <w:tcW w:w="2320" w:type="dxa"/>
            <w:vAlign w:val="bottom"/>
            <w:tcBorders>
              <w:right w:val="single" w:sz="8" w:color="auto"/>
            </w:tcBorders>
            <w:shd w:val="clear" w:color="auto" w:fill="F0FFFF"/>
          </w:tcPr>
          <w:p>
            <w:pPr>
              <w:ind w:left="340"/>
              <w:spacing w:after="0" w:line="155" w:lineRule="exact"/>
              <w:rPr>
                <w:sz w:val="20"/>
                <w:szCs w:val="20"/>
                <w:color w:val="auto"/>
              </w:rPr>
            </w:pPr>
            <w:r>
              <w:rPr>
                <w:rFonts w:ascii="Times New Roman" w:cs="Times New Roman" w:eastAsia="Times New Roman" w:hAnsi="Times New Roman"/>
                <w:sz w:val="14"/>
                <w:szCs w:val="14"/>
                <w:color w:val="auto"/>
              </w:rPr>
              <w:t>Performance Rate can never be</w:t>
            </w:r>
          </w:p>
        </w:tc>
      </w:tr>
      <w:tr>
        <w:trPr>
          <w:trHeight w:val="144"/>
        </w:trPr>
        <w:tc>
          <w:tcPr>
            <w:tcW w:w="2080" w:type="dxa"/>
            <w:vAlign w:val="bottom"/>
            <w:tcBorders>
              <w:left w:val="single" w:sz="8" w:color="auto"/>
              <w:right w:val="single" w:sz="8" w:color="auto"/>
            </w:tcBorders>
            <w:shd w:val="clear" w:color="auto" w:fill="F0FFFF"/>
          </w:tcPr>
          <w:p>
            <w:pPr>
              <w:spacing w:after="0"/>
              <w:rPr>
                <w:sz w:val="12"/>
                <w:szCs w:val="12"/>
                <w:color w:val="auto"/>
              </w:rPr>
            </w:pPr>
          </w:p>
        </w:tc>
        <w:tc>
          <w:tcPr>
            <w:tcW w:w="2180" w:type="dxa"/>
            <w:vAlign w:val="bottom"/>
            <w:tcBorders>
              <w:right w:val="single" w:sz="8" w:color="auto"/>
            </w:tcBorders>
            <w:shd w:val="clear" w:color="auto" w:fill="F0FFFF"/>
          </w:tcPr>
          <w:p>
            <w:pPr>
              <w:spacing w:after="0"/>
              <w:rPr>
                <w:sz w:val="12"/>
                <w:szCs w:val="12"/>
                <w:color w:val="auto"/>
              </w:rPr>
            </w:pPr>
          </w:p>
        </w:tc>
        <w:tc>
          <w:tcPr>
            <w:tcW w:w="2320" w:type="dxa"/>
            <w:vAlign w:val="bottom"/>
            <w:tcBorders>
              <w:right w:val="single" w:sz="8" w:color="auto"/>
            </w:tcBorders>
            <w:shd w:val="clear" w:color="auto" w:fill="F0FFFF"/>
          </w:tcPr>
          <w:p>
            <w:pPr>
              <w:ind w:left="340"/>
              <w:spacing w:after="0" w:line="144" w:lineRule="exact"/>
              <w:rPr>
                <w:sz w:val="20"/>
                <w:szCs w:val="20"/>
                <w:color w:val="auto"/>
              </w:rPr>
            </w:pPr>
            <w:r>
              <w:rPr>
                <w:rFonts w:ascii="Times New Roman" w:cs="Times New Roman" w:eastAsia="Times New Roman" w:hAnsi="Times New Roman"/>
                <w:sz w:val="14"/>
                <w:szCs w:val="14"/>
                <w:color w:val="auto"/>
              </w:rPr>
              <w:t>greater than zero if the Segment</w:t>
            </w:r>
          </w:p>
        </w:tc>
      </w:tr>
      <w:tr>
        <w:trPr>
          <w:trHeight w:val="209"/>
        </w:trPr>
        <w:tc>
          <w:tcPr>
            <w:tcW w:w="2080" w:type="dxa"/>
            <w:vAlign w:val="bottom"/>
            <w:tcBorders>
              <w:left w:val="single" w:sz="8" w:color="auto"/>
              <w:bottom w:val="single" w:sz="8" w:color="F0FFFF"/>
              <w:right w:val="single" w:sz="8" w:color="auto"/>
            </w:tcBorders>
            <w:shd w:val="clear" w:color="auto" w:fill="F0FFFF"/>
          </w:tcPr>
          <w:p>
            <w:pPr>
              <w:spacing w:after="0"/>
              <w:rPr>
                <w:sz w:val="18"/>
                <w:szCs w:val="18"/>
                <w:color w:val="auto"/>
              </w:rPr>
            </w:pPr>
          </w:p>
        </w:tc>
        <w:tc>
          <w:tcPr>
            <w:tcW w:w="2180" w:type="dxa"/>
            <w:vAlign w:val="bottom"/>
            <w:tcBorders>
              <w:bottom w:val="single" w:sz="8" w:color="F0FFFF"/>
              <w:right w:val="single" w:sz="8" w:color="auto"/>
            </w:tcBorders>
            <w:shd w:val="clear" w:color="auto" w:fill="F0FFFF"/>
          </w:tcPr>
          <w:p>
            <w:pPr>
              <w:spacing w:after="0"/>
              <w:rPr>
                <w:sz w:val="18"/>
                <w:szCs w:val="18"/>
                <w:color w:val="auto"/>
              </w:rPr>
            </w:pPr>
          </w:p>
        </w:tc>
        <w:tc>
          <w:tcPr>
            <w:tcW w:w="2320" w:type="dxa"/>
            <w:vAlign w:val="bottom"/>
            <w:tcBorders>
              <w:bottom w:val="single" w:sz="8" w:color="F0FFFF"/>
              <w:right w:val="single" w:sz="8" w:color="auto"/>
            </w:tcBorders>
            <w:shd w:val="clear" w:color="auto" w:fill="F0FFFF"/>
          </w:tcPr>
          <w:p>
            <w:pPr>
              <w:ind w:left="340"/>
              <w:spacing w:after="0"/>
              <w:rPr>
                <w:sz w:val="20"/>
                <w:szCs w:val="20"/>
                <w:color w:val="auto"/>
              </w:rPr>
            </w:pPr>
            <w:r>
              <w:rPr>
                <w:rFonts w:ascii="Times New Roman" w:cs="Times New Roman" w:eastAsia="Times New Roman" w:hAnsi="Times New Roman"/>
                <w:sz w:val="14"/>
                <w:szCs w:val="14"/>
                <w:color w:val="auto"/>
              </w:rPr>
              <w:t>Index Performance is negative.)</w:t>
            </w:r>
          </w:p>
        </w:tc>
      </w:tr>
      <w:tr>
        <w:trPr>
          <w:trHeight w:val="224"/>
        </w:trPr>
        <w:tc>
          <w:tcPr>
            <w:tcW w:w="2080" w:type="dxa"/>
            <w:vAlign w:val="bottom"/>
            <w:tcBorders>
              <w:left w:val="single" w:sz="8" w:color="auto"/>
              <w:right w:val="single" w:sz="8" w:color="auto"/>
            </w:tcBorders>
          </w:tcPr>
          <w:p>
            <w:pPr>
              <w:spacing w:after="0"/>
              <w:rPr>
                <w:sz w:val="19"/>
                <w:szCs w:val="19"/>
                <w:color w:val="auto"/>
              </w:rPr>
            </w:pPr>
          </w:p>
        </w:tc>
        <w:tc>
          <w:tcPr>
            <w:tcW w:w="218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4"/>
                <w:szCs w:val="14"/>
                <w:color w:val="auto"/>
              </w:rPr>
              <w:t>•   Greater than or equal to zero</w:t>
            </w:r>
          </w:p>
        </w:tc>
        <w:tc>
          <w:tcPr>
            <w:tcW w:w="232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4"/>
                <w:szCs w:val="14"/>
                <w:color w:val="auto"/>
              </w:rPr>
              <w:t>•   The Segment Index Performance</w:t>
            </w:r>
          </w:p>
        </w:tc>
      </w:tr>
      <w:tr>
        <w:trPr>
          <w:trHeight w:val="176"/>
        </w:trPr>
        <w:tc>
          <w:tcPr>
            <w:tcW w:w="2080" w:type="dxa"/>
            <w:vAlign w:val="bottom"/>
            <w:tcBorders>
              <w:left w:val="single" w:sz="8" w:color="auto"/>
              <w:right w:val="single" w:sz="8" w:color="auto"/>
            </w:tcBorders>
          </w:tcPr>
          <w:p>
            <w:pPr>
              <w:spacing w:after="0"/>
              <w:rPr>
                <w:sz w:val="15"/>
                <w:szCs w:val="15"/>
                <w:color w:val="auto"/>
              </w:rPr>
            </w:pPr>
          </w:p>
        </w:tc>
        <w:tc>
          <w:tcPr>
            <w:tcW w:w="2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and less than the Cap Rate</w:t>
            </w:r>
          </w:p>
        </w:tc>
        <w:tc>
          <w:tcPr>
            <w:tcW w:w="2320" w:type="dxa"/>
            <w:vAlign w:val="bottom"/>
            <w:tcBorders>
              <w:right w:val="single" w:sz="8" w:color="auto"/>
            </w:tcBorders>
          </w:tcPr>
          <w:p>
            <w:pPr>
              <w:spacing w:after="0"/>
              <w:rPr>
                <w:sz w:val="15"/>
                <w:szCs w:val="15"/>
                <w:color w:val="auto"/>
              </w:rPr>
            </w:pPr>
          </w:p>
        </w:tc>
      </w:tr>
      <w:tr>
        <w:trPr>
          <w:trHeight w:val="42"/>
        </w:trPr>
        <w:tc>
          <w:tcPr>
            <w:tcW w:w="2080" w:type="dxa"/>
            <w:vAlign w:val="bottom"/>
            <w:tcBorders>
              <w:left w:val="single" w:sz="8" w:color="auto"/>
              <w:right w:val="single" w:sz="8" w:color="auto"/>
            </w:tcBorders>
          </w:tcPr>
          <w:p>
            <w:pPr>
              <w:spacing w:after="0"/>
              <w:rPr>
                <w:sz w:val="3"/>
                <w:szCs w:val="3"/>
                <w:color w:val="auto"/>
              </w:rPr>
            </w:pPr>
          </w:p>
        </w:tc>
        <w:tc>
          <w:tcPr>
            <w:tcW w:w="2180" w:type="dxa"/>
            <w:vAlign w:val="bottom"/>
            <w:tcBorders>
              <w:right w:val="single" w:sz="8" w:color="auto"/>
            </w:tcBorders>
          </w:tcPr>
          <w:p>
            <w:pPr>
              <w:spacing w:after="0"/>
              <w:rPr>
                <w:sz w:val="3"/>
                <w:szCs w:val="3"/>
                <w:color w:val="auto"/>
              </w:rPr>
            </w:pPr>
          </w:p>
        </w:tc>
        <w:tc>
          <w:tcPr>
            <w:tcW w:w="2320" w:type="dxa"/>
            <w:vAlign w:val="bottom"/>
            <w:tcBorders>
              <w:right w:val="single" w:sz="8" w:color="auto"/>
            </w:tcBorders>
          </w:tcPr>
          <w:p>
            <w:pPr>
              <w:spacing w:after="0"/>
              <w:rPr>
                <w:sz w:val="3"/>
                <w:szCs w:val="3"/>
                <w:color w:val="auto"/>
              </w:rPr>
            </w:pPr>
          </w:p>
        </w:tc>
      </w:tr>
      <w:tr>
        <w:trPr>
          <w:trHeight w:val="224"/>
        </w:trPr>
        <w:tc>
          <w:tcPr>
            <w:tcW w:w="2080" w:type="dxa"/>
            <w:vAlign w:val="bottom"/>
            <w:tcBorders>
              <w:left w:val="single" w:sz="8" w:color="auto"/>
              <w:right w:val="single" w:sz="8" w:color="auto"/>
            </w:tcBorders>
            <w:shd w:val="clear" w:color="auto" w:fill="F0FFFF"/>
          </w:tcPr>
          <w:p>
            <w:pPr>
              <w:spacing w:after="0"/>
              <w:rPr>
                <w:sz w:val="19"/>
                <w:szCs w:val="19"/>
                <w:color w:val="auto"/>
              </w:rPr>
            </w:pPr>
          </w:p>
        </w:tc>
        <w:tc>
          <w:tcPr>
            <w:tcW w:w="2180" w:type="dxa"/>
            <w:vAlign w:val="bottom"/>
            <w:tcBorders>
              <w:right w:val="single" w:sz="8" w:color="auto"/>
            </w:tcBorders>
            <w:shd w:val="clear" w:color="auto" w:fill="F0FFFF"/>
          </w:tcPr>
          <w:p>
            <w:pPr>
              <w:ind w:left="200"/>
              <w:spacing w:after="0"/>
              <w:rPr>
                <w:sz w:val="20"/>
                <w:szCs w:val="20"/>
                <w:color w:val="auto"/>
              </w:rPr>
            </w:pPr>
            <w:r>
              <w:rPr>
                <w:rFonts w:ascii="Times New Roman" w:cs="Times New Roman" w:eastAsia="Times New Roman" w:hAnsi="Times New Roman"/>
                <w:sz w:val="14"/>
                <w:szCs w:val="14"/>
                <w:color w:val="auto"/>
              </w:rPr>
              <w:t>•   Greater than zero and equal to</w:t>
            </w:r>
          </w:p>
        </w:tc>
        <w:tc>
          <w:tcPr>
            <w:tcW w:w="2320" w:type="dxa"/>
            <w:vAlign w:val="bottom"/>
            <w:tcBorders>
              <w:right w:val="single" w:sz="8" w:color="auto"/>
            </w:tcBorders>
            <w:shd w:val="clear" w:color="auto" w:fill="F0FFFF"/>
          </w:tcPr>
          <w:p>
            <w:pPr>
              <w:ind w:left="200"/>
              <w:spacing w:after="0"/>
              <w:rPr>
                <w:sz w:val="20"/>
                <w:szCs w:val="20"/>
                <w:color w:val="auto"/>
              </w:rPr>
            </w:pPr>
            <w:r>
              <w:rPr>
                <w:rFonts w:ascii="Times New Roman" w:cs="Times New Roman" w:eastAsia="Times New Roman" w:hAnsi="Times New Roman"/>
                <w:sz w:val="14"/>
                <w:szCs w:val="14"/>
                <w:color w:val="auto"/>
              </w:rPr>
              <w:t>•   The Cap Rate</w:t>
            </w:r>
          </w:p>
        </w:tc>
      </w:tr>
      <w:tr>
        <w:trPr>
          <w:trHeight w:val="183"/>
        </w:trPr>
        <w:tc>
          <w:tcPr>
            <w:tcW w:w="2080" w:type="dxa"/>
            <w:vAlign w:val="bottom"/>
            <w:tcBorders>
              <w:left w:val="single" w:sz="8" w:color="auto"/>
              <w:bottom w:val="single" w:sz="8" w:color="auto"/>
              <w:right w:val="single" w:sz="8" w:color="auto"/>
            </w:tcBorders>
            <w:shd w:val="clear" w:color="auto" w:fill="F0FFFF"/>
          </w:tcPr>
          <w:p>
            <w:pPr>
              <w:spacing w:after="0"/>
              <w:rPr>
                <w:sz w:val="15"/>
                <w:szCs w:val="15"/>
                <w:color w:val="auto"/>
              </w:rPr>
            </w:pPr>
          </w:p>
        </w:tc>
        <w:tc>
          <w:tcPr>
            <w:tcW w:w="2180" w:type="dxa"/>
            <w:vAlign w:val="bottom"/>
            <w:tcBorders>
              <w:bottom w:val="single" w:sz="8" w:color="auto"/>
              <w:right w:val="single" w:sz="8" w:color="auto"/>
            </w:tcBorders>
            <w:shd w:val="clear" w:color="auto" w:fill="F0FFFF"/>
          </w:tcPr>
          <w:p>
            <w:pPr>
              <w:ind w:left="340"/>
              <w:spacing w:after="0"/>
              <w:rPr>
                <w:sz w:val="20"/>
                <w:szCs w:val="20"/>
                <w:color w:val="auto"/>
              </w:rPr>
            </w:pPr>
            <w:r>
              <w:rPr>
                <w:rFonts w:ascii="Times New Roman" w:cs="Times New Roman" w:eastAsia="Times New Roman" w:hAnsi="Times New Roman"/>
                <w:sz w:val="14"/>
                <w:szCs w:val="14"/>
                <w:color w:val="auto"/>
              </w:rPr>
              <w:t>or greater than the Cap Rate</w:t>
            </w:r>
          </w:p>
        </w:tc>
        <w:tc>
          <w:tcPr>
            <w:tcW w:w="2320" w:type="dxa"/>
            <w:vAlign w:val="bottom"/>
            <w:tcBorders>
              <w:bottom w:val="single" w:sz="8" w:color="auto"/>
              <w:right w:val="single" w:sz="8" w:color="auto"/>
            </w:tcBorders>
            <w:shd w:val="clear" w:color="auto" w:fill="F0FFFF"/>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-1870710</wp:posOffset>
            </wp:positionV>
            <wp:extent cx="4166870" cy="3067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166870" cy="30670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-551180</wp:posOffset>
            </wp:positionV>
            <wp:extent cx="4166870" cy="28067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166870" cy="28067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EXAMPLES</w:t>
      </w:r>
    </w:p>
    <w:p>
      <w:pPr>
        <w:spacing w:after="0" w:line="86" w:lineRule="exact"/>
        <w:rPr>
          <w:sz w:val="20"/>
          <w:szCs w:val="20"/>
          <w:color w:val="auto"/>
        </w:rPr>
      </w:pPr>
    </w:p>
    <w:p>
      <w:pPr>
        <w:ind w:right="2939" w:firstLine="274"/>
        <w:spacing w:after="0" w:line="267" w:lineRule="auto"/>
        <w:rPr>
          <w:sz w:val="20"/>
          <w:szCs w:val="20"/>
          <w:color w:val="auto"/>
        </w:rPr>
      </w:pPr>
      <w:r>
        <w:rPr>
          <w:rFonts w:ascii="Times New Roman" w:cs="Times New Roman" w:eastAsia="Times New Roman" w:hAnsi="Times New Roman"/>
          <w:sz w:val="14"/>
          <w:szCs w:val="14"/>
          <w:color w:val="auto"/>
        </w:rPr>
        <w:t>Example 1 set forth below, as well as Examples 2-5 found throughout this prospectus, are intended to illustrate how various features of your Policy work.</w:t>
      </w:r>
    </w:p>
    <w:p>
      <w:pPr>
        <w:spacing w:after="0" w:line="53" w:lineRule="exact"/>
        <w:rPr>
          <w:sz w:val="20"/>
          <w:szCs w:val="20"/>
          <w:color w:val="auto"/>
        </w:rPr>
      </w:pPr>
    </w:p>
    <w:p>
      <w:pPr>
        <w:ind w:left="260" w:right="3899"/>
        <w:spacing w:after="0" w:line="251" w:lineRule="auto"/>
        <w:rPr>
          <w:sz w:val="20"/>
          <w:szCs w:val="20"/>
          <w:color w:val="auto"/>
        </w:rPr>
      </w:pPr>
      <w:r>
        <w:rPr>
          <w:rFonts w:ascii="Times New Roman" w:cs="Times New Roman" w:eastAsia="Times New Roman" w:hAnsi="Times New Roman"/>
          <w:sz w:val="14"/>
          <w:szCs w:val="14"/>
          <w:color w:val="auto"/>
        </w:rPr>
        <w:t>Example 1—Calculating your Segment Value on a Segment Maturity Date (See below.) Example 2—Calculating your Interim Segment Value (See “INTERIM SEGMENT VALUE CALCULATION.”)</w:t>
      </w:r>
    </w:p>
    <w:p>
      <w:pPr>
        <w:ind w:left="260"/>
        <w:spacing w:after="0"/>
        <w:rPr>
          <w:sz w:val="20"/>
          <w:szCs w:val="20"/>
          <w:color w:val="auto"/>
        </w:rPr>
      </w:pPr>
      <w:r>
        <w:rPr>
          <w:rFonts w:ascii="Times New Roman" w:cs="Times New Roman" w:eastAsia="Times New Roman" w:hAnsi="Times New Roman"/>
          <w:sz w:val="14"/>
          <w:szCs w:val="14"/>
          <w:color w:val="auto"/>
        </w:rPr>
        <w:t>Example 3—Transfers (See “TRANSFERS.”)</w:t>
      </w:r>
    </w:p>
    <w:p>
      <w:pPr>
        <w:spacing w:after="0" w:line="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Example 4—Loans (See “LOANS.”)</w:t>
      </w:r>
    </w:p>
    <w:p>
      <w:pPr>
        <w:spacing w:after="0" w:line="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Example 5—Death Benefit (See “DEATH BENEFIT.”)</w:t>
      </w:r>
    </w:p>
    <w:p>
      <w:pPr>
        <w:spacing w:after="0" w:line="74" w:lineRule="exact"/>
        <w:rPr>
          <w:sz w:val="20"/>
          <w:szCs w:val="20"/>
          <w:color w:val="auto"/>
        </w:rPr>
      </w:pPr>
    </w:p>
    <w:p>
      <w:pPr>
        <w:jc w:val="both"/>
        <w:ind w:right="2939" w:firstLine="274"/>
        <w:spacing w:after="0" w:line="256" w:lineRule="auto"/>
        <w:rPr>
          <w:sz w:val="20"/>
          <w:szCs w:val="20"/>
          <w:color w:val="auto"/>
        </w:rPr>
      </w:pPr>
      <w:r>
        <w:rPr>
          <w:rFonts w:ascii="Times New Roman" w:cs="Times New Roman" w:eastAsia="Times New Roman" w:hAnsi="Times New Roman"/>
          <w:sz w:val="14"/>
          <w:szCs w:val="14"/>
          <w:color w:val="auto"/>
        </w:rPr>
        <w:t>These examples should not be considered a representation of past or future performance for any Indexed Accounts. Actual performance may be greater or less than those shown in the examples. Similarly, the Closing Values of the Index in the examples are not an estimate or guarantee of future Segment Index Performance.</w:t>
      </w:r>
    </w:p>
    <w:p>
      <w:pPr>
        <w:spacing w:after="0" w:line="61" w:lineRule="exact"/>
        <w:rPr>
          <w:sz w:val="20"/>
          <w:szCs w:val="20"/>
          <w:color w:val="auto"/>
        </w:rPr>
      </w:pPr>
    </w:p>
    <w:p>
      <w:pPr>
        <w:jc w:val="both"/>
        <w:ind w:right="2939" w:firstLine="274"/>
        <w:spacing w:after="0" w:line="267" w:lineRule="auto"/>
        <w:rPr>
          <w:sz w:val="20"/>
          <w:szCs w:val="20"/>
          <w:color w:val="auto"/>
        </w:rPr>
      </w:pPr>
      <w:r>
        <w:rPr>
          <w:rFonts w:ascii="Times New Roman" w:cs="Times New Roman" w:eastAsia="Times New Roman" w:hAnsi="Times New Roman"/>
          <w:sz w:val="14"/>
          <w:szCs w:val="14"/>
          <w:color w:val="auto"/>
        </w:rPr>
        <w:t>The Cap Rates shown in the following examples are for illustrative purposes only and may not reflect actual declared rates.</w:t>
      </w:r>
    </w:p>
    <w:p>
      <w:pPr>
        <w:spacing w:after="0" w:line="5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Values are rounded for display purposes only.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Example 1—Calculating your Segment Value on a Segment Maturity Date</w:t>
      </w:r>
    </w:p>
    <w:p>
      <w:pPr>
        <w:spacing w:after="0" w:line="90" w:lineRule="exact"/>
        <w:rPr>
          <w:sz w:val="20"/>
          <w:szCs w:val="20"/>
          <w:color w:val="auto"/>
        </w:rPr>
      </w:pPr>
    </w:p>
    <w:p>
      <w:pPr>
        <w:jc w:val="both"/>
        <w:ind w:right="2939" w:firstLine="274"/>
        <w:spacing w:after="0" w:line="242" w:lineRule="auto"/>
        <w:rPr>
          <w:sz w:val="20"/>
          <w:szCs w:val="20"/>
          <w:color w:val="auto"/>
        </w:rPr>
      </w:pPr>
      <w:r>
        <w:rPr>
          <w:rFonts w:ascii="Times New Roman" w:cs="Times New Roman" w:eastAsia="Times New Roman" w:hAnsi="Times New Roman"/>
          <w:sz w:val="14"/>
          <w:szCs w:val="14"/>
          <w:color w:val="auto"/>
        </w:rPr>
        <w:t>Example 1 is intended to show how the Segment Value on a Segment Maturity Date is calculated. The example assumes Owner 1 allocates to an Indexed Account and she allows her allocation to renew year to year for five years. In the example she has selected an Indexed Account with S&amp;P 500</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4"/>
          <w:szCs w:val="14"/>
          <w:color w:val="auto"/>
        </w:rPr>
        <w:t xml:space="preserve"> Index, 1-Year Segment Term, Buffer 10 and a Cap Rate of 10%. Her Segment Value on the Segment Start Date is $50,000. For purposes of the example, assume no loans are taken, there is no payment of the Accelerated Death Benefit, and no Annual Deduction during the five-year example period, and the Cap Rate stays at 10% for all five years. If a loan was taken or a payment under the Accelerated Death Benefit was made during the Segment Term,</w:t>
      </w:r>
    </w:p>
    <w:p>
      <w:pPr>
        <w:spacing w:after="0" w:line="217"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4"/>
          <w:szCs w:val="14"/>
          <w:color w:val="auto"/>
        </w:rPr>
        <w:t>32</w:t>
      </w:r>
    </w:p>
    <w:p>
      <w:pPr>
        <w:sectPr>
          <w:pgSz w:w="11900" w:h="16838" w:orient="portrait"/>
          <w:cols w:equalWidth="0" w:num="1">
            <w:col w:w="9219"/>
          </w:cols>
          <w:pgMar w:left="1240" w:top="1166" w:right="1440" w:bottom="1440" w:gutter="0" w:footer="0" w:header="0"/>
        </w:sectPr>
      </w:pPr>
    </w:p>
    <w:bookmarkStart w:id="35" w:name="page36"/>
    <w:bookmarkEnd w:id="35"/>
    <w:p>
      <w:pPr>
        <w:jc w:val="both"/>
        <w:ind w:left="700" w:right="2939"/>
        <w:spacing w:after="0" w:line="278"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179070</wp:posOffset>
            </wp:positionH>
            <wp:positionV relativeFrom="page">
              <wp:posOffset>422275</wp:posOffset>
            </wp:positionV>
            <wp:extent cx="719010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90105" cy="38735"/>
                    </a:xfrm>
                    <a:prstGeom prst="rect">
                      <a:avLst/>
                    </a:prstGeom>
                    <a:noFill/>
                  </pic:spPr>
                </pic:pic>
              </a:graphicData>
            </a:graphic>
          </wp:anchor>
        </w:drawing>
        <w:t>an Interim Segment Value calculation will apply; and consequently, the Segment Value for the Segment Term will reflect that calculation. On the Policy Start Date and each Policy Anniversary thereafter, we deduct the charges for the Annual Deduction from your Cash Value. The Annual Deduction for each Policy Year will be taken from any Indexed Account according to the Policy Deduction Method. This example assumes no Annual Deduction.</w:t>
      </w:r>
    </w:p>
    <w:p>
      <w:pPr>
        <w:spacing w:after="0" w:line="13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4"/>
          <w:szCs w:val="14"/>
          <w:u w:val="single" w:color="auto"/>
          <w:color w:val="auto"/>
        </w:rPr>
        <w:t>Example 1—Indexed Account with Cap Rate:</w:t>
      </w:r>
    </w:p>
    <w:p>
      <w:pPr>
        <w:spacing w:after="0" w:line="71" w:lineRule="exact"/>
        <w:rPr>
          <w:sz w:val="20"/>
          <w:szCs w:val="20"/>
          <w:color w:val="auto"/>
        </w:rPr>
      </w:pPr>
    </w:p>
    <w:p>
      <w:pPr>
        <w:jc w:val="both"/>
        <w:ind w:left="700" w:right="2939" w:firstLine="274"/>
        <w:spacing w:after="0" w:line="245" w:lineRule="auto"/>
        <w:rPr>
          <w:sz w:val="20"/>
          <w:szCs w:val="20"/>
          <w:color w:val="auto"/>
        </w:rPr>
      </w:pPr>
      <w:r>
        <w:rPr>
          <w:rFonts w:ascii="Times New Roman" w:cs="Times New Roman" w:eastAsia="Times New Roman" w:hAnsi="Times New Roman"/>
          <w:sz w:val="14"/>
          <w:szCs w:val="14"/>
          <w:color w:val="auto"/>
        </w:rPr>
        <w:t>Owner 1 allocates to an Indexed Account with a 1-Year Segment Term / Buffer 10 / S&amp;P 500</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4"/>
          <w:szCs w:val="14"/>
          <w:color w:val="auto"/>
        </w:rPr>
        <w:t xml:space="preserve"> Index with a Cap Rate of 10% and lets it renew year after year for five years. We assume the Cap Rate is 10% for each subsequent Segment Term. Her Segment Value on the Segment Start Date is $50,000. The following example illustrates how her initial Indexed Account could perform over a five-year period given fluctuating Closing Values of the Index. For renewals into the same Indexed Account, a new Cap Rate would be declared and go into effect on the Policy Anniversary that coincides with the beginning of the new Indexed Account.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874395</wp:posOffset>
            </wp:positionH>
            <wp:positionV relativeFrom="paragraph">
              <wp:posOffset>-48895</wp:posOffset>
            </wp:positionV>
            <wp:extent cx="3122295" cy="18288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122295" cy="1828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710" w:type="dxa"/>
        <w:tblCellMar>
          <w:top w:w="0" w:type="dxa"/>
          <w:left w:w="0" w:type="dxa"/>
          <w:bottom w:w="0" w:type="dxa"/>
          <w:right w:w="0" w:type="dxa"/>
        </w:tblCellMar>
      </w:tblPr>
      <w:tr>
        <w:trPr>
          <w:trHeight w:val="180"/>
        </w:trPr>
        <w:tc>
          <w:tcPr>
            <w:tcW w:w="2300" w:type="dxa"/>
            <w:vAlign w:val="bottom"/>
            <w:tcBorders>
              <w:top w:val="single" w:sz="8" w:color="auto"/>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Policy Year</w:t>
            </w:r>
          </w:p>
        </w:tc>
        <w:tc>
          <w:tcPr>
            <w:tcW w:w="7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1</w:t>
            </w:r>
          </w:p>
        </w:tc>
        <w:tc>
          <w:tcPr>
            <w:tcW w:w="7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71"/>
              </w:rPr>
              <w:t>2</w:t>
            </w:r>
          </w:p>
        </w:tc>
        <w:tc>
          <w:tcPr>
            <w:tcW w:w="6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71"/>
              </w:rPr>
              <w:t>3</w:t>
            </w:r>
          </w:p>
        </w:tc>
        <w:tc>
          <w:tcPr>
            <w:tcW w:w="7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71"/>
              </w:rPr>
              <w:t>4</w:t>
            </w:r>
          </w:p>
        </w:tc>
        <w:tc>
          <w:tcPr>
            <w:tcW w:w="7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5</w:t>
            </w:r>
          </w:p>
        </w:tc>
      </w:tr>
      <w:tr>
        <w:trPr>
          <w:trHeight w:val="211"/>
        </w:trPr>
        <w:tc>
          <w:tcPr>
            <w:tcW w:w="2300" w:type="dxa"/>
            <w:vAlign w:val="bottom"/>
            <w:tcBorders>
              <w:left w:val="single" w:sz="8" w:color="auto"/>
              <w:bottom w:val="single" w:sz="8" w:color="F0FFFF"/>
              <w:right w:val="single" w:sz="8" w:color="F0FFFF"/>
            </w:tcBorders>
            <w:gridSpan w:val="2"/>
            <w:shd w:val="clear" w:color="auto" w:fill="F0FFFF"/>
          </w:tcPr>
          <w:p>
            <w:pPr>
              <w:ind w:left="80"/>
              <w:spacing w:after="0"/>
              <w:rPr>
                <w:sz w:val="20"/>
                <w:szCs w:val="20"/>
                <w:color w:val="auto"/>
              </w:rPr>
            </w:pPr>
            <w:r>
              <w:rPr>
                <w:rFonts w:ascii="Times New Roman" w:cs="Times New Roman" w:eastAsia="Times New Roman" w:hAnsi="Times New Roman"/>
                <w:sz w:val="14"/>
                <w:szCs w:val="14"/>
                <w:b w:val="1"/>
                <w:bCs w:val="1"/>
                <w:color w:val="auto"/>
              </w:rPr>
              <w:t>Segment Start Date</w:t>
            </w:r>
          </w:p>
        </w:tc>
        <w:tc>
          <w:tcPr>
            <w:tcW w:w="700" w:type="dxa"/>
            <w:vAlign w:val="bottom"/>
            <w:tcBorders>
              <w:bottom w:val="single" w:sz="8" w:color="F0FFFF"/>
              <w:right w:val="single" w:sz="8" w:color="F0FFFF"/>
            </w:tcBorders>
            <w:shd w:val="clear" w:color="auto" w:fill="F0FFFF"/>
          </w:tcPr>
          <w:p>
            <w:pPr>
              <w:spacing w:after="0"/>
              <w:rPr>
                <w:sz w:val="17"/>
                <w:szCs w:val="17"/>
                <w:color w:val="auto"/>
              </w:rPr>
            </w:pPr>
          </w:p>
        </w:tc>
        <w:tc>
          <w:tcPr>
            <w:tcW w:w="700" w:type="dxa"/>
            <w:vAlign w:val="bottom"/>
            <w:tcBorders>
              <w:bottom w:val="single" w:sz="8" w:color="F0FFFF"/>
              <w:right w:val="single" w:sz="8" w:color="F0FFFF"/>
            </w:tcBorders>
            <w:shd w:val="clear" w:color="auto" w:fill="F0FFFF"/>
          </w:tcPr>
          <w:p>
            <w:pPr>
              <w:spacing w:after="0"/>
              <w:rPr>
                <w:sz w:val="17"/>
                <w:szCs w:val="17"/>
                <w:color w:val="auto"/>
              </w:rPr>
            </w:pPr>
          </w:p>
        </w:tc>
        <w:tc>
          <w:tcPr>
            <w:tcW w:w="680" w:type="dxa"/>
            <w:vAlign w:val="bottom"/>
            <w:tcBorders>
              <w:bottom w:val="single" w:sz="8" w:color="F0FFFF"/>
              <w:right w:val="single" w:sz="8" w:color="F0FFFF"/>
            </w:tcBorders>
            <w:shd w:val="clear" w:color="auto" w:fill="F0FFFF"/>
          </w:tcPr>
          <w:p>
            <w:pPr>
              <w:spacing w:after="0"/>
              <w:rPr>
                <w:sz w:val="17"/>
                <w:szCs w:val="17"/>
                <w:color w:val="auto"/>
              </w:rPr>
            </w:pPr>
          </w:p>
        </w:tc>
        <w:tc>
          <w:tcPr>
            <w:tcW w:w="700" w:type="dxa"/>
            <w:vAlign w:val="bottom"/>
            <w:tcBorders>
              <w:bottom w:val="single" w:sz="8" w:color="F0FFFF"/>
              <w:right w:val="single" w:sz="8" w:color="F0FFFF"/>
            </w:tcBorders>
            <w:shd w:val="clear" w:color="auto" w:fill="F0FFFF"/>
          </w:tcPr>
          <w:p>
            <w:pPr>
              <w:spacing w:after="0"/>
              <w:rPr>
                <w:sz w:val="17"/>
                <w:szCs w:val="17"/>
                <w:color w:val="auto"/>
              </w:rPr>
            </w:pPr>
          </w:p>
        </w:tc>
        <w:tc>
          <w:tcPr>
            <w:tcW w:w="700" w:type="dxa"/>
            <w:vAlign w:val="bottom"/>
            <w:tcBorders>
              <w:bottom w:val="single" w:sz="8" w:color="F0FFFF"/>
              <w:right w:val="single" w:sz="8" w:color="auto"/>
            </w:tcBorders>
            <w:shd w:val="clear" w:color="auto" w:fill="F0FFFF"/>
          </w:tcPr>
          <w:p>
            <w:pPr>
              <w:spacing w:after="0"/>
              <w:rPr>
                <w:sz w:val="17"/>
                <w:szCs w:val="17"/>
                <w:color w:val="auto"/>
              </w:rPr>
            </w:pPr>
          </w:p>
        </w:tc>
      </w:tr>
      <w:tr>
        <w:trPr>
          <w:trHeight w:val="206"/>
        </w:trPr>
        <w:tc>
          <w:tcPr>
            <w:tcW w:w="2300" w:type="dxa"/>
            <w:vAlign w:val="bottom"/>
            <w:tcBorders>
              <w:top w:val="single" w:sz="8" w:color="auto"/>
              <w:left w:val="single" w:sz="8" w:color="auto"/>
              <w:bottom w:val="single" w:sz="8" w:color="auto"/>
              <w:right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color w:val="auto"/>
              </w:rPr>
              <w:t>Segment Value</w:t>
            </w:r>
            <w:r>
              <w:rPr>
                <w:rFonts w:ascii="Times New Roman" w:cs="Times New Roman" w:eastAsia="Times New Roman" w:hAnsi="Times New Roman"/>
                <w:sz w:val="17"/>
                <w:szCs w:val="17"/>
                <w:color w:val="auto"/>
                <w:vertAlign w:val="superscript"/>
              </w:rPr>
              <w:t>(1)</w:t>
            </w:r>
          </w:p>
        </w:tc>
        <w:tc>
          <w:tcPr>
            <w:tcW w:w="7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$50,000</w:t>
            </w:r>
          </w:p>
        </w:tc>
        <w:tc>
          <w:tcPr>
            <w:tcW w:w="7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$55,000</w:t>
            </w:r>
          </w:p>
        </w:tc>
        <w:tc>
          <w:tcPr>
            <w:tcW w:w="6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$57,750</w:t>
            </w:r>
          </w:p>
        </w:tc>
        <w:tc>
          <w:tcPr>
            <w:tcW w:w="7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$57,750</w:t>
            </w:r>
          </w:p>
        </w:tc>
        <w:tc>
          <w:tcPr>
            <w:tcW w:w="7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$57,750</w:t>
            </w:r>
          </w:p>
        </w:tc>
      </w:tr>
      <w:tr>
        <w:trPr>
          <w:trHeight w:val="201"/>
        </w:trPr>
        <w:tc>
          <w:tcPr>
            <w:tcW w:w="2300" w:type="dxa"/>
            <w:vAlign w:val="bottom"/>
            <w:tcBorders>
              <w:left w:val="single" w:sz="8" w:color="auto"/>
              <w:bottom w:val="single" w:sz="8" w:color="F0FFFF"/>
              <w:right w:val="single" w:sz="8" w:color="auto"/>
            </w:tcBorders>
            <w:gridSpan w:val="2"/>
            <w:shd w:val="clear" w:color="auto" w:fill="F0FFFF"/>
          </w:tcPr>
          <w:p>
            <w:pPr>
              <w:ind w:left="220"/>
              <w:spacing w:after="0"/>
              <w:rPr>
                <w:sz w:val="20"/>
                <w:szCs w:val="20"/>
                <w:color w:val="auto"/>
              </w:rPr>
            </w:pPr>
            <w:r>
              <w:rPr>
                <w:rFonts w:ascii="Times New Roman" w:cs="Times New Roman" w:eastAsia="Times New Roman" w:hAnsi="Times New Roman"/>
                <w:sz w:val="14"/>
                <w:szCs w:val="14"/>
                <w:color w:val="auto"/>
              </w:rPr>
              <w:t>Closing Value of the Index</w:t>
            </w:r>
          </w:p>
        </w:tc>
        <w:tc>
          <w:tcPr>
            <w:tcW w:w="70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color w:val="auto"/>
              </w:rPr>
              <w:t>1,000</w:t>
            </w:r>
          </w:p>
        </w:tc>
        <w:tc>
          <w:tcPr>
            <w:tcW w:w="70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color w:val="auto"/>
              </w:rPr>
              <w:t>1,200</w:t>
            </w:r>
          </w:p>
        </w:tc>
        <w:tc>
          <w:tcPr>
            <w:tcW w:w="68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color w:val="auto"/>
              </w:rPr>
              <w:t>1,260</w:t>
            </w:r>
          </w:p>
        </w:tc>
        <w:tc>
          <w:tcPr>
            <w:tcW w:w="70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color w:val="auto"/>
              </w:rPr>
              <w:t>1,260</w:t>
            </w:r>
          </w:p>
        </w:tc>
        <w:tc>
          <w:tcPr>
            <w:tcW w:w="70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color w:val="auto"/>
                <w:w w:val="95"/>
              </w:rPr>
              <w:t>1,197</w:t>
            </w:r>
          </w:p>
        </w:tc>
      </w:tr>
      <w:tr>
        <w:trPr>
          <w:trHeight w:val="174"/>
        </w:trPr>
        <w:tc>
          <w:tcPr>
            <w:tcW w:w="2300" w:type="dxa"/>
            <w:vAlign w:val="bottom"/>
            <w:tcBorders>
              <w:top w:val="single" w:sz="8" w:color="auto"/>
              <w:left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Segment Maturity Date</w:t>
            </w:r>
          </w:p>
        </w:tc>
        <w:tc>
          <w:tcPr>
            <w:tcW w:w="7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700" w:type="dxa"/>
            <w:vAlign w:val="bottom"/>
            <w:tcBorders>
              <w:top w:val="single" w:sz="8" w:color="auto"/>
              <w:right w:val="single" w:sz="8" w:color="auto"/>
            </w:tcBorders>
          </w:tcPr>
          <w:p>
            <w:pPr>
              <w:spacing w:after="0"/>
              <w:rPr>
                <w:sz w:val="15"/>
                <w:szCs w:val="15"/>
                <w:color w:val="auto"/>
              </w:rPr>
            </w:pPr>
          </w:p>
        </w:tc>
      </w:tr>
      <w:tr>
        <w:trPr>
          <w:trHeight w:val="22"/>
        </w:trPr>
        <w:tc>
          <w:tcPr>
            <w:tcW w:w="840" w:type="dxa"/>
            <w:vAlign w:val="bottom"/>
            <w:tcBorders>
              <w:left w:val="single" w:sz="8" w:color="auto"/>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right w:val="single" w:sz="8" w:color="auto"/>
            </w:tcBorders>
          </w:tcPr>
          <w:p>
            <w:pPr>
              <w:spacing w:after="0" w:line="20" w:lineRule="exact"/>
              <w:rPr>
                <w:sz w:val="1"/>
                <w:szCs w:val="1"/>
                <w:color w:val="auto"/>
              </w:rPr>
            </w:pPr>
          </w:p>
        </w:tc>
      </w:tr>
      <w:tr>
        <w:trPr>
          <w:trHeight w:val="201"/>
        </w:trPr>
        <w:tc>
          <w:tcPr>
            <w:tcW w:w="2300" w:type="dxa"/>
            <w:vAlign w:val="bottom"/>
            <w:tcBorders>
              <w:left w:val="single" w:sz="8" w:color="auto"/>
              <w:bottom w:val="single" w:sz="8" w:color="F0FFFF"/>
              <w:right w:val="single" w:sz="8" w:color="auto"/>
            </w:tcBorders>
            <w:gridSpan w:val="2"/>
            <w:shd w:val="clear" w:color="auto" w:fill="F0FFFF"/>
          </w:tcPr>
          <w:p>
            <w:pPr>
              <w:ind w:left="220"/>
              <w:spacing w:after="0"/>
              <w:rPr>
                <w:sz w:val="20"/>
                <w:szCs w:val="20"/>
                <w:color w:val="auto"/>
              </w:rPr>
            </w:pPr>
            <w:r>
              <w:rPr>
                <w:rFonts w:ascii="Times New Roman" w:cs="Times New Roman" w:eastAsia="Times New Roman" w:hAnsi="Times New Roman"/>
                <w:sz w:val="14"/>
                <w:szCs w:val="14"/>
                <w:color w:val="auto"/>
              </w:rPr>
              <w:t>Closing Value of the Index</w:t>
            </w:r>
          </w:p>
        </w:tc>
        <w:tc>
          <w:tcPr>
            <w:tcW w:w="70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color w:val="auto"/>
              </w:rPr>
              <w:t>1,200</w:t>
            </w:r>
          </w:p>
        </w:tc>
        <w:tc>
          <w:tcPr>
            <w:tcW w:w="70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color w:val="auto"/>
              </w:rPr>
              <w:t>1,260</w:t>
            </w:r>
          </w:p>
        </w:tc>
        <w:tc>
          <w:tcPr>
            <w:tcW w:w="68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color w:val="auto"/>
              </w:rPr>
              <w:t>1,260</w:t>
            </w:r>
          </w:p>
        </w:tc>
        <w:tc>
          <w:tcPr>
            <w:tcW w:w="70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color w:val="auto"/>
              </w:rPr>
              <w:t>1,197</w:t>
            </w:r>
          </w:p>
        </w:tc>
        <w:tc>
          <w:tcPr>
            <w:tcW w:w="70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color w:val="auto"/>
                <w:w w:val="95"/>
              </w:rPr>
              <w:t>1,017</w:t>
            </w:r>
          </w:p>
        </w:tc>
      </w:tr>
      <w:tr>
        <w:trPr>
          <w:trHeight w:val="206"/>
        </w:trPr>
        <w:tc>
          <w:tcPr>
            <w:tcW w:w="2300" w:type="dxa"/>
            <w:vAlign w:val="bottom"/>
            <w:tcBorders>
              <w:top w:val="single" w:sz="8" w:color="auto"/>
              <w:left w:val="single" w:sz="8" w:color="auto"/>
              <w:bottom w:val="single" w:sz="8" w:color="auto"/>
              <w:right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color w:val="auto"/>
              </w:rPr>
              <w:t>Segment Index Performance</w:t>
            </w:r>
            <w:r>
              <w:rPr>
                <w:rFonts w:ascii="Times New Roman" w:cs="Times New Roman" w:eastAsia="Times New Roman" w:hAnsi="Times New Roman"/>
                <w:sz w:val="17"/>
                <w:szCs w:val="17"/>
                <w:color w:val="auto"/>
                <w:vertAlign w:val="superscript"/>
              </w:rPr>
              <w:t>(2)</w:t>
            </w:r>
          </w:p>
        </w:tc>
        <w:tc>
          <w:tcPr>
            <w:tcW w:w="7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3"/>
              </w:rPr>
              <w:t>20%</w:t>
            </w:r>
          </w:p>
        </w:tc>
        <w:tc>
          <w:tcPr>
            <w:tcW w:w="7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5%</w:t>
            </w:r>
          </w:p>
        </w:tc>
        <w:tc>
          <w:tcPr>
            <w:tcW w:w="6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0%</w:t>
            </w:r>
          </w:p>
        </w:tc>
        <w:tc>
          <w:tcPr>
            <w:tcW w:w="7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-5%</w:t>
            </w:r>
          </w:p>
        </w:tc>
        <w:tc>
          <w:tcPr>
            <w:tcW w:w="7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-15%</w:t>
            </w:r>
          </w:p>
        </w:tc>
      </w:tr>
      <w:tr>
        <w:trPr>
          <w:trHeight w:val="201"/>
        </w:trPr>
        <w:tc>
          <w:tcPr>
            <w:tcW w:w="2300" w:type="dxa"/>
            <w:vAlign w:val="bottom"/>
            <w:tcBorders>
              <w:left w:val="single" w:sz="8" w:color="auto"/>
              <w:bottom w:val="single" w:sz="8" w:color="F0FFFF"/>
              <w:right w:val="single" w:sz="8" w:color="auto"/>
            </w:tcBorders>
            <w:gridSpan w:val="2"/>
            <w:shd w:val="clear" w:color="auto" w:fill="F0FFFF"/>
          </w:tcPr>
          <w:p>
            <w:pPr>
              <w:ind w:left="220"/>
              <w:spacing w:after="0"/>
              <w:rPr>
                <w:sz w:val="20"/>
                <w:szCs w:val="20"/>
                <w:color w:val="auto"/>
              </w:rPr>
            </w:pPr>
            <w:r>
              <w:rPr>
                <w:rFonts w:ascii="Times New Roman" w:cs="Times New Roman" w:eastAsia="Times New Roman" w:hAnsi="Times New Roman"/>
                <w:sz w:val="14"/>
                <w:szCs w:val="14"/>
                <w:color w:val="auto"/>
              </w:rPr>
              <w:t>Cap Rate</w:t>
            </w:r>
          </w:p>
        </w:tc>
        <w:tc>
          <w:tcPr>
            <w:tcW w:w="70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color w:val="auto"/>
                <w:w w:val="93"/>
              </w:rPr>
              <w:t>10%</w:t>
            </w:r>
          </w:p>
        </w:tc>
        <w:tc>
          <w:tcPr>
            <w:tcW w:w="70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color w:val="auto"/>
                <w:w w:val="93"/>
              </w:rPr>
              <w:t>10%</w:t>
            </w:r>
          </w:p>
        </w:tc>
        <w:tc>
          <w:tcPr>
            <w:tcW w:w="68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color w:val="auto"/>
                <w:w w:val="93"/>
              </w:rPr>
              <w:t>10%</w:t>
            </w:r>
          </w:p>
        </w:tc>
        <w:tc>
          <w:tcPr>
            <w:tcW w:w="70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color w:val="auto"/>
                <w:w w:val="93"/>
              </w:rPr>
              <w:t>10%</w:t>
            </w:r>
          </w:p>
        </w:tc>
        <w:tc>
          <w:tcPr>
            <w:tcW w:w="70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color w:val="auto"/>
              </w:rPr>
              <w:t>10%</w:t>
            </w:r>
          </w:p>
        </w:tc>
      </w:tr>
      <w:tr>
        <w:trPr>
          <w:trHeight w:val="174"/>
        </w:trPr>
        <w:tc>
          <w:tcPr>
            <w:tcW w:w="2300" w:type="dxa"/>
            <w:vAlign w:val="bottom"/>
            <w:tcBorders>
              <w:top w:val="single" w:sz="8" w:color="auto"/>
              <w:left w:val="single" w:sz="8" w:color="auto"/>
              <w:right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color w:val="auto"/>
              </w:rPr>
              <w:t>Buffer Rate</w:t>
            </w:r>
          </w:p>
        </w:tc>
        <w:tc>
          <w:tcPr>
            <w:tcW w:w="7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3"/>
              </w:rPr>
              <w:t>10%</w:t>
            </w:r>
          </w:p>
        </w:tc>
        <w:tc>
          <w:tcPr>
            <w:tcW w:w="7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3"/>
              </w:rPr>
              <w:t>10%</w:t>
            </w:r>
          </w:p>
        </w:tc>
        <w:tc>
          <w:tcPr>
            <w:tcW w:w="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3"/>
              </w:rPr>
              <w:t>10%</w:t>
            </w:r>
          </w:p>
        </w:tc>
        <w:tc>
          <w:tcPr>
            <w:tcW w:w="7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3"/>
              </w:rPr>
              <w:t>10%</w:t>
            </w:r>
          </w:p>
        </w:tc>
        <w:tc>
          <w:tcPr>
            <w:tcW w:w="7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10%</w:t>
            </w:r>
          </w:p>
        </w:tc>
      </w:tr>
      <w:tr>
        <w:trPr>
          <w:trHeight w:val="22"/>
        </w:trPr>
        <w:tc>
          <w:tcPr>
            <w:tcW w:w="840" w:type="dxa"/>
            <w:vAlign w:val="bottom"/>
            <w:tcBorders>
              <w:left w:val="single" w:sz="8" w:color="auto"/>
              <w:bottom w:val="single" w:sz="8" w:color="auto"/>
            </w:tcBorders>
          </w:tcPr>
          <w:p>
            <w:pPr>
              <w:spacing w:after="0" w:line="20" w:lineRule="exact"/>
              <w:rPr>
                <w:sz w:val="1"/>
                <w:szCs w:val="1"/>
                <w:color w:val="auto"/>
              </w:rPr>
            </w:pPr>
          </w:p>
        </w:tc>
        <w:tc>
          <w:tcPr>
            <w:tcW w:w="1460" w:type="dxa"/>
            <w:vAlign w:val="bottom"/>
            <w:tcBorders>
              <w:bottom w:val="single" w:sz="8" w:color="auto"/>
              <w:right w:val="single" w:sz="8" w:color="auto"/>
            </w:tcBorders>
          </w:tcPr>
          <w:p>
            <w:pPr>
              <w:spacing w:after="0" w:line="20" w:lineRule="exact"/>
              <w:rPr>
                <w:sz w:val="1"/>
                <w:szCs w:val="1"/>
                <w:color w:val="auto"/>
              </w:rPr>
            </w:pPr>
          </w:p>
        </w:tc>
        <w:tc>
          <w:tcPr>
            <w:tcW w:w="700" w:type="dxa"/>
            <w:vAlign w:val="bottom"/>
            <w:tcBorders>
              <w:bottom w:val="single" w:sz="8" w:color="auto"/>
              <w:right w:val="single" w:sz="8" w:color="auto"/>
            </w:tcBorders>
          </w:tcPr>
          <w:p>
            <w:pPr>
              <w:spacing w:after="0" w:line="20" w:lineRule="exact"/>
              <w:rPr>
                <w:sz w:val="1"/>
                <w:szCs w:val="1"/>
                <w:color w:val="auto"/>
              </w:rPr>
            </w:pPr>
          </w:p>
        </w:tc>
        <w:tc>
          <w:tcPr>
            <w:tcW w:w="700" w:type="dxa"/>
            <w:vAlign w:val="bottom"/>
            <w:tcBorders>
              <w:bottom w:val="single" w:sz="8" w:color="auto"/>
              <w:right w:val="single" w:sz="8" w:color="auto"/>
            </w:tcBorders>
          </w:tcPr>
          <w:p>
            <w:pPr>
              <w:spacing w:after="0" w:line="20" w:lineRule="exact"/>
              <w:rPr>
                <w:sz w:val="1"/>
                <w:szCs w:val="1"/>
                <w:color w:val="auto"/>
              </w:rPr>
            </w:pPr>
          </w:p>
        </w:tc>
        <w:tc>
          <w:tcPr>
            <w:tcW w:w="680" w:type="dxa"/>
            <w:vAlign w:val="bottom"/>
            <w:tcBorders>
              <w:bottom w:val="single" w:sz="8" w:color="auto"/>
              <w:right w:val="single" w:sz="8" w:color="auto"/>
            </w:tcBorders>
          </w:tcPr>
          <w:p>
            <w:pPr>
              <w:spacing w:after="0" w:line="20" w:lineRule="exact"/>
              <w:rPr>
                <w:sz w:val="1"/>
                <w:szCs w:val="1"/>
                <w:color w:val="auto"/>
              </w:rPr>
            </w:pPr>
          </w:p>
        </w:tc>
        <w:tc>
          <w:tcPr>
            <w:tcW w:w="700" w:type="dxa"/>
            <w:vAlign w:val="bottom"/>
            <w:tcBorders>
              <w:bottom w:val="single" w:sz="8" w:color="auto"/>
              <w:right w:val="single" w:sz="8" w:color="auto"/>
            </w:tcBorders>
          </w:tcPr>
          <w:p>
            <w:pPr>
              <w:spacing w:after="0" w:line="20" w:lineRule="exact"/>
              <w:rPr>
                <w:sz w:val="1"/>
                <w:szCs w:val="1"/>
                <w:color w:val="auto"/>
              </w:rPr>
            </w:pPr>
          </w:p>
        </w:tc>
        <w:tc>
          <w:tcPr>
            <w:tcW w:w="700" w:type="dxa"/>
            <w:vAlign w:val="bottom"/>
            <w:tcBorders>
              <w:bottom w:val="single" w:sz="8" w:color="auto"/>
              <w:right w:val="single" w:sz="8" w:color="auto"/>
            </w:tcBorders>
          </w:tcPr>
          <w:p>
            <w:pPr>
              <w:spacing w:after="0" w:line="20" w:lineRule="exact"/>
              <w:rPr>
                <w:sz w:val="1"/>
                <w:szCs w:val="1"/>
                <w:color w:val="auto"/>
              </w:rPr>
            </w:pPr>
          </w:p>
        </w:tc>
      </w:tr>
      <w:tr>
        <w:trPr>
          <w:trHeight w:val="148"/>
        </w:trPr>
        <w:tc>
          <w:tcPr>
            <w:tcW w:w="2300" w:type="dxa"/>
            <w:vAlign w:val="bottom"/>
            <w:tcBorders>
              <w:left w:val="single" w:sz="8" w:color="auto"/>
              <w:right w:val="single" w:sz="8" w:color="auto"/>
            </w:tcBorders>
            <w:gridSpan w:val="2"/>
            <w:shd w:val="clear" w:color="auto" w:fill="F0FFFF"/>
          </w:tcPr>
          <w:p>
            <w:pPr>
              <w:ind w:left="220"/>
              <w:spacing w:after="0" w:line="148" w:lineRule="exact"/>
              <w:rPr>
                <w:sz w:val="20"/>
                <w:szCs w:val="20"/>
                <w:color w:val="auto"/>
              </w:rPr>
            </w:pPr>
            <w:r>
              <w:rPr>
                <w:rFonts w:ascii="Times New Roman" w:cs="Times New Roman" w:eastAsia="Times New Roman" w:hAnsi="Times New Roman"/>
                <w:sz w:val="14"/>
                <w:szCs w:val="14"/>
                <w:color w:val="auto"/>
              </w:rPr>
              <w:t>Segment Performance Rate (one</w:t>
            </w:r>
          </w:p>
        </w:tc>
        <w:tc>
          <w:tcPr>
            <w:tcW w:w="700" w:type="dxa"/>
            <w:vAlign w:val="bottom"/>
            <w:tcBorders>
              <w:right w:val="single" w:sz="8" w:color="auto"/>
            </w:tcBorders>
            <w:shd w:val="clear" w:color="auto" w:fill="F0FFFF"/>
          </w:tcPr>
          <w:p>
            <w:pPr>
              <w:jc w:val="center"/>
              <w:spacing w:after="0" w:line="148" w:lineRule="exact"/>
              <w:rPr>
                <w:sz w:val="20"/>
                <w:szCs w:val="20"/>
                <w:color w:val="auto"/>
              </w:rPr>
            </w:pPr>
            <w:r>
              <w:rPr>
                <w:rFonts w:ascii="Times New Roman" w:cs="Times New Roman" w:eastAsia="Times New Roman" w:hAnsi="Times New Roman"/>
                <w:sz w:val="14"/>
                <w:szCs w:val="14"/>
                <w:color w:val="auto"/>
                <w:w w:val="93"/>
              </w:rPr>
              <w:t>10%</w:t>
            </w:r>
          </w:p>
        </w:tc>
        <w:tc>
          <w:tcPr>
            <w:tcW w:w="700" w:type="dxa"/>
            <w:vAlign w:val="bottom"/>
            <w:tcBorders>
              <w:right w:val="single" w:sz="8" w:color="auto"/>
            </w:tcBorders>
            <w:shd w:val="clear" w:color="auto" w:fill="F0FFFF"/>
          </w:tcPr>
          <w:p>
            <w:pPr>
              <w:jc w:val="center"/>
              <w:spacing w:after="0" w:line="148" w:lineRule="exact"/>
              <w:rPr>
                <w:sz w:val="20"/>
                <w:szCs w:val="20"/>
                <w:color w:val="auto"/>
              </w:rPr>
            </w:pPr>
            <w:r>
              <w:rPr>
                <w:rFonts w:ascii="Times New Roman" w:cs="Times New Roman" w:eastAsia="Times New Roman" w:hAnsi="Times New Roman"/>
                <w:sz w:val="14"/>
                <w:szCs w:val="14"/>
                <w:color w:val="auto"/>
                <w:w w:val="96"/>
              </w:rPr>
              <w:t>5%</w:t>
            </w:r>
          </w:p>
        </w:tc>
        <w:tc>
          <w:tcPr>
            <w:tcW w:w="680" w:type="dxa"/>
            <w:vAlign w:val="bottom"/>
            <w:tcBorders>
              <w:right w:val="single" w:sz="8" w:color="auto"/>
            </w:tcBorders>
            <w:shd w:val="clear" w:color="auto" w:fill="F0FFFF"/>
          </w:tcPr>
          <w:p>
            <w:pPr>
              <w:jc w:val="center"/>
              <w:spacing w:after="0" w:line="148" w:lineRule="exact"/>
              <w:rPr>
                <w:sz w:val="20"/>
                <w:szCs w:val="20"/>
                <w:color w:val="auto"/>
              </w:rPr>
            </w:pPr>
            <w:r>
              <w:rPr>
                <w:rFonts w:ascii="Times New Roman" w:cs="Times New Roman" w:eastAsia="Times New Roman" w:hAnsi="Times New Roman"/>
                <w:sz w:val="14"/>
                <w:szCs w:val="14"/>
                <w:color w:val="auto"/>
                <w:w w:val="96"/>
              </w:rPr>
              <w:t>0%</w:t>
            </w:r>
          </w:p>
        </w:tc>
        <w:tc>
          <w:tcPr>
            <w:tcW w:w="700" w:type="dxa"/>
            <w:vAlign w:val="bottom"/>
            <w:tcBorders>
              <w:right w:val="single" w:sz="8" w:color="auto"/>
            </w:tcBorders>
            <w:shd w:val="clear" w:color="auto" w:fill="F0FFFF"/>
          </w:tcPr>
          <w:p>
            <w:pPr>
              <w:jc w:val="center"/>
              <w:spacing w:after="0" w:line="148" w:lineRule="exact"/>
              <w:rPr>
                <w:sz w:val="20"/>
                <w:szCs w:val="20"/>
                <w:color w:val="auto"/>
              </w:rPr>
            </w:pPr>
            <w:r>
              <w:rPr>
                <w:rFonts w:ascii="Times New Roman" w:cs="Times New Roman" w:eastAsia="Times New Roman" w:hAnsi="Times New Roman"/>
                <w:sz w:val="14"/>
                <w:szCs w:val="14"/>
                <w:color w:val="auto"/>
              </w:rPr>
              <w:t>0%</w:t>
            </w:r>
          </w:p>
        </w:tc>
        <w:tc>
          <w:tcPr>
            <w:tcW w:w="700" w:type="dxa"/>
            <w:vAlign w:val="bottom"/>
            <w:tcBorders>
              <w:right w:val="single" w:sz="8" w:color="auto"/>
            </w:tcBorders>
            <w:shd w:val="clear" w:color="auto" w:fill="F0FFFF"/>
          </w:tcPr>
          <w:p>
            <w:pPr>
              <w:jc w:val="center"/>
              <w:spacing w:after="0" w:line="148" w:lineRule="exact"/>
              <w:rPr>
                <w:sz w:val="20"/>
                <w:szCs w:val="20"/>
                <w:color w:val="auto"/>
              </w:rPr>
            </w:pPr>
            <w:r>
              <w:rPr>
                <w:rFonts w:ascii="Times New Roman" w:cs="Times New Roman" w:eastAsia="Times New Roman" w:hAnsi="Times New Roman"/>
                <w:sz w:val="14"/>
                <w:szCs w:val="14"/>
                <w:color w:val="auto"/>
                <w:w w:val="94"/>
              </w:rPr>
              <w:t>-5%</w:t>
            </w:r>
          </w:p>
        </w:tc>
      </w:tr>
      <w:tr>
        <w:trPr>
          <w:trHeight w:val="223"/>
        </w:trPr>
        <w:tc>
          <w:tcPr>
            <w:tcW w:w="2300" w:type="dxa"/>
            <w:vAlign w:val="bottom"/>
            <w:tcBorders>
              <w:left w:val="single" w:sz="8" w:color="auto"/>
              <w:bottom w:val="single" w:sz="8" w:color="auto"/>
              <w:right w:val="single" w:sz="8" w:color="auto"/>
            </w:tcBorders>
            <w:gridSpan w:val="2"/>
            <w:shd w:val="clear" w:color="auto" w:fill="F0FFFF"/>
          </w:tcPr>
          <w:p>
            <w:pPr>
              <w:ind w:left="220"/>
              <w:spacing w:after="0"/>
              <w:rPr>
                <w:sz w:val="20"/>
                <w:szCs w:val="20"/>
                <w:color w:val="auto"/>
              </w:rPr>
            </w:pPr>
            <w:r>
              <w:rPr>
                <w:rFonts w:ascii="Times New Roman" w:cs="Times New Roman" w:eastAsia="Times New Roman" w:hAnsi="Times New Roman"/>
                <w:sz w:val="14"/>
                <w:szCs w:val="14"/>
                <w:color w:val="auto"/>
              </w:rPr>
              <w:t>year)</w:t>
            </w:r>
            <w:r>
              <w:rPr>
                <w:rFonts w:ascii="Times New Roman" w:cs="Times New Roman" w:eastAsia="Times New Roman" w:hAnsi="Times New Roman"/>
                <w:sz w:val="17"/>
                <w:szCs w:val="17"/>
                <w:color w:val="auto"/>
                <w:vertAlign w:val="superscript"/>
              </w:rPr>
              <w:t>(3)</w:t>
            </w:r>
          </w:p>
        </w:tc>
        <w:tc>
          <w:tcPr>
            <w:tcW w:w="700" w:type="dxa"/>
            <w:vAlign w:val="bottom"/>
            <w:tcBorders>
              <w:bottom w:val="single" w:sz="8" w:color="auto"/>
              <w:right w:val="single" w:sz="8" w:color="auto"/>
            </w:tcBorders>
            <w:shd w:val="clear" w:color="auto" w:fill="F0FFFF"/>
          </w:tcPr>
          <w:p>
            <w:pPr>
              <w:spacing w:after="0"/>
              <w:rPr>
                <w:sz w:val="19"/>
                <w:szCs w:val="19"/>
                <w:color w:val="auto"/>
              </w:rPr>
            </w:pPr>
          </w:p>
        </w:tc>
        <w:tc>
          <w:tcPr>
            <w:tcW w:w="700" w:type="dxa"/>
            <w:vAlign w:val="bottom"/>
            <w:tcBorders>
              <w:bottom w:val="single" w:sz="8" w:color="auto"/>
              <w:right w:val="single" w:sz="8" w:color="auto"/>
            </w:tcBorders>
            <w:shd w:val="clear" w:color="auto" w:fill="F0FFFF"/>
          </w:tcPr>
          <w:p>
            <w:pPr>
              <w:spacing w:after="0"/>
              <w:rPr>
                <w:sz w:val="19"/>
                <w:szCs w:val="19"/>
                <w:color w:val="auto"/>
              </w:rPr>
            </w:pPr>
          </w:p>
        </w:tc>
        <w:tc>
          <w:tcPr>
            <w:tcW w:w="680" w:type="dxa"/>
            <w:vAlign w:val="bottom"/>
            <w:tcBorders>
              <w:bottom w:val="single" w:sz="8" w:color="auto"/>
              <w:right w:val="single" w:sz="8" w:color="auto"/>
            </w:tcBorders>
            <w:shd w:val="clear" w:color="auto" w:fill="F0FFFF"/>
          </w:tcPr>
          <w:p>
            <w:pPr>
              <w:spacing w:after="0"/>
              <w:rPr>
                <w:sz w:val="19"/>
                <w:szCs w:val="19"/>
                <w:color w:val="auto"/>
              </w:rPr>
            </w:pPr>
          </w:p>
        </w:tc>
        <w:tc>
          <w:tcPr>
            <w:tcW w:w="700" w:type="dxa"/>
            <w:vAlign w:val="bottom"/>
            <w:tcBorders>
              <w:bottom w:val="single" w:sz="8" w:color="auto"/>
              <w:right w:val="single" w:sz="8" w:color="auto"/>
            </w:tcBorders>
            <w:shd w:val="clear" w:color="auto" w:fill="F0FFFF"/>
          </w:tcPr>
          <w:p>
            <w:pPr>
              <w:spacing w:after="0"/>
              <w:rPr>
                <w:sz w:val="19"/>
                <w:szCs w:val="19"/>
                <w:color w:val="auto"/>
              </w:rPr>
            </w:pPr>
          </w:p>
        </w:tc>
        <w:tc>
          <w:tcPr>
            <w:tcW w:w="700" w:type="dxa"/>
            <w:vAlign w:val="bottom"/>
            <w:tcBorders>
              <w:bottom w:val="single" w:sz="8" w:color="auto"/>
              <w:right w:val="single" w:sz="8" w:color="auto"/>
            </w:tcBorders>
            <w:shd w:val="clear" w:color="auto" w:fill="F0FFFF"/>
          </w:tcPr>
          <w:p>
            <w:pPr>
              <w:spacing w:after="0"/>
              <w:rPr>
                <w:sz w:val="19"/>
                <w:szCs w:val="19"/>
                <w:color w:val="auto"/>
              </w:rPr>
            </w:pPr>
          </w:p>
        </w:tc>
      </w:tr>
      <w:tr>
        <w:trPr>
          <w:trHeight w:val="206"/>
        </w:trPr>
        <w:tc>
          <w:tcPr>
            <w:tcW w:w="2300" w:type="dxa"/>
            <w:vAlign w:val="bottom"/>
            <w:tcBorders>
              <w:left w:val="single" w:sz="8" w:color="auto"/>
              <w:bottom w:val="single" w:sz="8" w:color="auto"/>
              <w:right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color w:val="auto"/>
              </w:rPr>
              <w:t>Segment Credit</w:t>
            </w:r>
            <w:r>
              <w:rPr>
                <w:rFonts w:ascii="Times New Roman" w:cs="Times New Roman" w:eastAsia="Times New Roman" w:hAnsi="Times New Roman"/>
                <w:sz w:val="17"/>
                <w:szCs w:val="17"/>
                <w:color w:val="auto"/>
                <w:vertAlign w:val="superscript"/>
              </w:rPr>
              <w:t>(4)</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$5,000</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$2,750</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$0</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-$2,888</w:t>
            </w:r>
          </w:p>
        </w:tc>
      </w:tr>
      <w:tr>
        <w:trPr>
          <w:trHeight w:val="204"/>
        </w:trPr>
        <w:tc>
          <w:tcPr>
            <w:tcW w:w="2300" w:type="dxa"/>
            <w:vAlign w:val="bottom"/>
            <w:tcBorders>
              <w:left w:val="single" w:sz="8" w:color="auto"/>
              <w:bottom w:val="single" w:sz="8" w:color="auto"/>
              <w:right w:val="single" w:sz="8" w:color="auto"/>
            </w:tcBorders>
            <w:gridSpan w:val="2"/>
            <w:shd w:val="clear" w:color="auto" w:fill="F0FFFF"/>
          </w:tcPr>
          <w:p>
            <w:pPr>
              <w:ind w:left="220"/>
              <w:spacing w:after="0"/>
              <w:rPr>
                <w:sz w:val="20"/>
                <w:szCs w:val="20"/>
                <w:color w:val="auto"/>
              </w:rPr>
            </w:pPr>
            <w:r>
              <w:rPr>
                <w:rFonts w:ascii="Times New Roman" w:cs="Times New Roman" w:eastAsia="Times New Roman" w:hAnsi="Times New Roman"/>
                <w:sz w:val="14"/>
                <w:szCs w:val="14"/>
                <w:b w:val="1"/>
                <w:bCs w:val="1"/>
                <w:color w:val="auto"/>
              </w:rPr>
              <w:t>Segment Value</w:t>
            </w:r>
            <w:r>
              <w:rPr>
                <w:rFonts w:ascii="Times New Roman" w:cs="Times New Roman" w:eastAsia="Times New Roman" w:hAnsi="Times New Roman"/>
                <w:sz w:val="17"/>
                <w:szCs w:val="17"/>
                <w:b w:val="1"/>
                <w:bCs w:val="1"/>
                <w:color w:val="auto"/>
                <w:vertAlign w:val="superscript"/>
              </w:rPr>
              <w:t>(5)</w:t>
            </w:r>
          </w:p>
        </w:tc>
        <w:tc>
          <w:tcPr>
            <w:tcW w:w="70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$55,000</w:t>
            </w:r>
          </w:p>
        </w:tc>
        <w:tc>
          <w:tcPr>
            <w:tcW w:w="70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$57,750</w:t>
            </w:r>
          </w:p>
        </w:tc>
        <w:tc>
          <w:tcPr>
            <w:tcW w:w="68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$57,750</w:t>
            </w:r>
          </w:p>
        </w:tc>
        <w:tc>
          <w:tcPr>
            <w:tcW w:w="70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$57,750</w:t>
            </w:r>
          </w:p>
        </w:tc>
        <w:tc>
          <w:tcPr>
            <w:tcW w:w="70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$54,862</w:t>
            </w:r>
          </w:p>
        </w:tc>
      </w:tr>
      <w:tr>
        <w:trPr>
          <w:trHeight w:val="137"/>
        </w:trPr>
        <w:tc>
          <w:tcPr>
            <w:tcW w:w="840" w:type="dxa"/>
            <w:vAlign w:val="bottom"/>
            <w:tcBorders>
              <w:bottom w:val="single" w:sz="8" w:color="auto"/>
            </w:tcBorders>
          </w:tcPr>
          <w:p>
            <w:pPr>
              <w:spacing w:after="0"/>
              <w:rPr>
                <w:sz w:val="11"/>
                <w:szCs w:val="11"/>
                <w:color w:val="auto"/>
              </w:rPr>
            </w:pPr>
          </w:p>
        </w:tc>
        <w:tc>
          <w:tcPr>
            <w:tcW w:w="1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450215</wp:posOffset>
            </wp:positionH>
            <wp:positionV relativeFrom="paragraph">
              <wp:posOffset>-1867535</wp:posOffset>
            </wp:positionV>
            <wp:extent cx="3657600" cy="1174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657600" cy="117475"/>
                    </a:xfrm>
                    <a:prstGeom prst="rect">
                      <a:avLst/>
                    </a:prstGeom>
                    <a:noFill/>
                  </pic:spPr>
                </pic:pic>
              </a:graphicData>
            </a:graphic>
          </wp:anchor>
        </w:drawing>
        <w:drawing>
          <wp:anchor simplePos="0" relativeHeight="251657728" behindDoc="1" locked="0" layoutInCell="0" allowOverlap="1">
            <wp:simplePos x="0" y="0"/>
            <wp:positionH relativeFrom="column">
              <wp:posOffset>450215</wp:posOffset>
            </wp:positionH>
            <wp:positionV relativeFrom="paragraph">
              <wp:posOffset>-1612900</wp:posOffset>
            </wp:positionV>
            <wp:extent cx="3657600" cy="1435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657600" cy="143510"/>
                    </a:xfrm>
                    <a:prstGeom prst="rect">
                      <a:avLst/>
                    </a:prstGeom>
                    <a:noFill/>
                  </pic:spPr>
                </pic:pic>
              </a:graphicData>
            </a:graphic>
          </wp:anchor>
        </w:drawing>
        <w:drawing>
          <wp:anchor simplePos="0" relativeHeight="251657728" behindDoc="1" locked="0" layoutInCell="0" allowOverlap="1">
            <wp:simplePos x="0" y="0"/>
            <wp:positionH relativeFrom="column">
              <wp:posOffset>450215</wp:posOffset>
            </wp:positionH>
            <wp:positionV relativeFrom="paragraph">
              <wp:posOffset>-1331595</wp:posOffset>
            </wp:positionV>
            <wp:extent cx="3657600"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657600" cy="137160"/>
                    </a:xfrm>
                    <a:prstGeom prst="rect">
                      <a:avLst/>
                    </a:prstGeom>
                    <a:noFill/>
                  </pic:spPr>
                </pic:pic>
              </a:graphicData>
            </a:graphic>
          </wp:anchor>
        </w:drawing>
        <w:drawing>
          <wp:anchor simplePos="0" relativeHeight="251657728" behindDoc="1" locked="0" layoutInCell="0" allowOverlap="1">
            <wp:simplePos x="0" y="0"/>
            <wp:positionH relativeFrom="column">
              <wp:posOffset>450215</wp:posOffset>
            </wp:positionH>
            <wp:positionV relativeFrom="paragraph">
              <wp:posOffset>-1057275</wp:posOffset>
            </wp:positionV>
            <wp:extent cx="3657600" cy="1435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657600" cy="143510"/>
                    </a:xfrm>
                    <a:prstGeom prst="rect">
                      <a:avLst/>
                    </a:prstGeom>
                    <a:noFill/>
                  </pic:spPr>
                </pic:pic>
              </a:graphicData>
            </a:graphic>
          </wp:anchor>
        </w:drawing>
        <w:drawing>
          <wp:anchor simplePos="0" relativeHeight="251657728" behindDoc="1" locked="0" layoutInCell="0" allowOverlap="1">
            <wp:simplePos x="0" y="0"/>
            <wp:positionH relativeFrom="column">
              <wp:posOffset>450215</wp:posOffset>
            </wp:positionH>
            <wp:positionV relativeFrom="paragraph">
              <wp:posOffset>-776605</wp:posOffset>
            </wp:positionV>
            <wp:extent cx="3657600"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657600" cy="137160"/>
                    </a:xfrm>
                    <a:prstGeom prst="rect">
                      <a:avLst/>
                    </a:prstGeom>
                    <a:noFill/>
                  </pic:spPr>
                </pic:pic>
              </a:graphicData>
            </a:graphic>
          </wp:anchor>
        </w:drawing>
        <w:drawing>
          <wp:anchor simplePos="0" relativeHeight="251657728" behindDoc="1" locked="0" layoutInCell="0" allowOverlap="1">
            <wp:simplePos x="0" y="0"/>
            <wp:positionH relativeFrom="column">
              <wp:posOffset>450215</wp:posOffset>
            </wp:positionH>
            <wp:positionV relativeFrom="paragraph">
              <wp:posOffset>-391160</wp:posOffset>
            </wp:positionV>
            <wp:extent cx="3657600" cy="1435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657600" cy="143510"/>
                    </a:xfrm>
                    <a:prstGeom prst="rect">
                      <a:avLst/>
                    </a:prstGeom>
                    <a:noFill/>
                  </pic:spPr>
                </pic:pic>
              </a:graphicData>
            </a:graphic>
          </wp:anchor>
        </w:drawing>
        <w:drawing>
          <wp:anchor simplePos="0" relativeHeight="251657728" behindDoc="1" locked="0" layoutInCell="0" allowOverlap="1">
            <wp:simplePos x="0" y="0"/>
            <wp:positionH relativeFrom="column">
              <wp:posOffset>959485</wp:posOffset>
            </wp:positionH>
            <wp:positionV relativeFrom="paragraph">
              <wp:posOffset>-31750</wp:posOffset>
            </wp:positionV>
            <wp:extent cx="31750" cy="450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1750" cy="45085"/>
                    </a:xfrm>
                    <a:prstGeom prst="rect">
                      <a:avLst/>
                    </a:prstGeom>
                    <a:noFill/>
                  </pic:spPr>
                </pic:pic>
              </a:graphicData>
            </a:graphic>
          </wp:anchor>
        </w:drawing>
        <w:drawing>
          <wp:anchor simplePos="0" relativeHeight="251657728" behindDoc="1" locked="0" layoutInCell="0" allowOverlap="1">
            <wp:simplePos x="0" y="0"/>
            <wp:positionH relativeFrom="column">
              <wp:posOffset>430530</wp:posOffset>
            </wp:positionH>
            <wp:positionV relativeFrom="paragraph">
              <wp:posOffset>-31750</wp:posOffset>
            </wp:positionV>
            <wp:extent cx="31750" cy="450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1750" cy="45085"/>
                    </a:xfrm>
                    <a:prstGeom prst="rect">
                      <a:avLst/>
                    </a:prstGeom>
                    <a:noFill/>
                  </pic:spPr>
                </pic:pic>
              </a:graphicData>
            </a:graphic>
          </wp:anchor>
        </w:drawing>
      </w:r>
    </w:p>
    <w:p>
      <w:pPr>
        <w:spacing w:after="0" w:line="46" w:lineRule="exact"/>
        <w:rPr>
          <w:sz w:val="20"/>
          <w:szCs w:val="20"/>
          <w:color w:val="auto"/>
        </w:rPr>
      </w:pPr>
    </w:p>
    <w:p>
      <w:pPr>
        <w:ind w:left="700" w:right="3319"/>
        <w:spacing w:after="0" w:line="256" w:lineRule="auto"/>
        <w:rPr>
          <w:sz w:val="20"/>
          <w:szCs w:val="20"/>
          <w:color w:val="auto"/>
        </w:rPr>
      </w:pPr>
      <w:r>
        <w:rPr>
          <w:rFonts w:ascii="Times New Roman" w:cs="Times New Roman" w:eastAsia="Times New Roman" w:hAnsi="Times New Roman"/>
          <w:sz w:val="14"/>
          <w:szCs w:val="14"/>
          <w:b w:val="1"/>
          <w:bCs w:val="1"/>
          <w:color w:val="auto"/>
        </w:rPr>
        <w:t>The following notes to the table above provide important calculations showing how certain values are determined.</w:t>
      </w:r>
    </w:p>
    <w:p>
      <w:pPr>
        <w:spacing w:after="0" w:line="31" w:lineRule="exact"/>
        <w:rPr>
          <w:sz w:val="20"/>
          <w:szCs w:val="20"/>
          <w:color w:val="auto"/>
        </w:rPr>
      </w:pPr>
    </w:p>
    <w:p>
      <w:pPr>
        <w:jc w:val="both"/>
        <w:ind w:left="960" w:right="2999" w:hanging="265"/>
        <w:spacing w:after="0" w:line="218" w:lineRule="auto"/>
        <w:tabs>
          <w:tab w:leader="none" w:pos="960" w:val="left"/>
        </w:tabs>
        <w:numPr>
          <w:ilvl w:val="0"/>
          <w:numId w:val="1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Segment Value at Segment Start Date in year one is $50,000 of Net Premiums. In years two through five, the Segment Value at Segment Start Date would be $55,000, $57,750, $57,750 and $57,750, respectively, which was the Segment Value at Segment Maturity Date for the prior year. These values do not reflect the Annual Deduction. The Annual Deduction is taken from the Segment Value on the Segment Start Date.</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4"/>
          <w:szCs w:val="14"/>
          <w:color w:val="auto"/>
        </w:rPr>
        <w:t>33</w:t>
      </w:r>
    </w:p>
    <w:p>
      <w:pPr>
        <w:sectPr>
          <w:pgSz w:w="11900" w:h="16838" w:orient="portrait"/>
          <w:cols w:equalWidth="0" w:num="1">
            <w:col w:w="9919"/>
          </w:cols>
          <w:pgMar w:left="540" w:top="1083" w:right="1440" w:bottom="1440" w:gutter="0" w:footer="0" w:header="0"/>
        </w:sectPr>
      </w:pPr>
    </w:p>
    <w:bookmarkStart w:id="36" w:name="page37"/>
    <w:bookmarkEnd w:id="36"/>
    <w:p>
      <w:pPr>
        <w:ind w:left="5"/>
        <w:spacing w:after="0"/>
        <w:rPr>
          <w:sz w:val="20"/>
          <w:szCs w:val="20"/>
          <w:color w:val="auto"/>
        </w:rPr>
      </w:pPr>
      <w:r>
        <w:rPr>
          <w:rFonts w:ascii="Times New Roman" w:cs="Times New Roman" w:eastAsia="Times New Roman" w:hAnsi="Times New Roman"/>
          <w:sz w:val="9"/>
          <w:szCs w:val="9"/>
          <w:color w:val="auto"/>
        </w:rPr>
        <w:drawing>
          <wp:anchor simplePos="0" relativeHeight="251657728" behindDoc="1" locked="0" layoutInCell="0" allowOverlap="1">
            <wp:simplePos x="0" y="0"/>
            <wp:positionH relativeFrom="page">
              <wp:posOffset>179070</wp:posOffset>
            </wp:positionH>
            <wp:positionV relativeFrom="page">
              <wp:posOffset>422275</wp:posOffset>
            </wp:positionV>
            <wp:extent cx="719010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90105" cy="38735"/>
                    </a:xfrm>
                    <a:prstGeom prst="rect">
                      <a:avLst/>
                    </a:prstGeom>
                    <a:noFill/>
                  </pic:spPr>
                </pic:pic>
              </a:graphicData>
            </a:graphic>
          </wp:anchor>
        </w:drawing>
        <w:t>(2)</w:t>
      </w:r>
    </w:p>
    <w:p>
      <w:pPr>
        <w:jc w:val="both"/>
        <w:ind w:left="265" w:right="2999"/>
        <w:spacing w:after="0" w:line="228" w:lineRule="auto"/>
        <w:rPr>
          <w:sz w:val="20"/>
          <w:szCs w:val="20"/>
          <w:color w:val="auto"/>
        </w:rPr>
      </w:pPr>
      <w:r>
        <w:rPr>
          <w:rFonts w:ascii="Times New Roman" w:cs="Times New Roman" w:eastAsia="Times New Roman" w:hAnsi="Times New Roman"/>
          <w:sz w:val="14"/>
          <w:szCs w:val="14"/>
          <w:color w:val="auto"/>
        </w:rPr>
        <w:t>Segment Index Performance is equal to the percentage change in the Closing Value of the Index measured from the Segment Start Date to the Segment Maturity Date. For example, in year one, Segment Index Performance is calculated as follows:</w:t>
      </w:r>
    </w:p>
    <w:p>
      <w:pPr>
        <w:spacing w:after="0" w:line="52" w:lineRule="exact"/>
        <w:rPr>
          <w:sz w:val="20"/>
          <w:szCs w:val="20"/>
          <w:color w:val="auto"/>
        </w:rPr>
      </w:pPr>
    </w:p>
    <w:p>
      <w:pPr>
        <w:ind w:left="1425"/>
        <w:spacing w:after="0"/>
        <w:rPr>
          <w:sz w:val="20"/>
          <w:szCs w:val="20"/>
          <w:color w:val="auto"/>
        </w:rPr>
      </w:pPr>
      <w:r>
        <w:rPr>
          <w:rFonts w:ascii="Times New Roman" w:cs="Times New Roman" w:eastAsia="Times New Roman" w:hAnsi="Times New Roman"/>
          <w:sz w:val="14"/>
          <w:szCs w:val="14"/>
          <w:color w:val="auto"/>
        </w:rPr>
        <w:t>(1,200 [Closing Value of the Index at Segment Maturity Date]</w:t>
      </w:r>
    </w:p>
    <w:p>
      <w:pPr>
        <w:spacing w:after="0" w:line="7" w:lineRule="exact"/>
        <w:rPr>
          <w:sz w:val="20"/>
          <w:szCs w:val="20"/>
          <w:color w:val="auto"/>
        </w:rPr>
      </w:pPr>
    </w:p>
    <w:p>
      <w:pPr>
        <w:ind w:left="1305" w:hanging="105"/>
        <w:spacing w:after="0"/>
        <w:tabs>
          <w:tab w:leader="none" w:pos="1305" w:val="left"/>
        </w:tabs>
        <w:numPr>
          <w:ilvl w:val="1"/>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1,000 [Closing Value of the Index at Segment Start Date]) – 1 = 20%</w:t>
      </w:r>
    </w:p>
    <w:p>
      <w:pPr>
        <w:spacing w:after="0" w:line="30" w:lineRule="exact"/>
        <w:rPr>
          <w:rFonts w:ascii="Times New Roman" w:cs="Times New Roman" w:eastAsia="Times New Roman" w:hAnsi="Times New Roman"/>
          <w:sz w:val="14"/>
          <w:szCs w:val="14"/>
          <w:color w:val="auto"/>
        </w:rPr>
      </w:pPr>
    </w:p>
    <w:p>
      <w:pPr>
        <w:jc w:val="both"/>
        <w:ind w:left="265" w:right="2999" w:hanging="265"/>
        <w:spacing w:after="0" w:line="221" w:lineRule="auto"/>
        <w:tabs>
          <w:tab w:leader="none" w:pos="265" w:val="left"/>
        </w:tabs>
        <w:numPr>
          <w:ilvl w:val="0"/>
          <w:numId w:val="18"/>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 year one, Segment Index Performance exceeds the Cap Rate and therefore the Segment Performance Rate is equal to the Cap Rate. In years two and three the Segment Performance Rate is equal to the Segment Index Performance because the Segment Index Performance is not negative and does not exceed the Cap Rate. In year four the Segment Performance Rate is 0% because the Segment Index Performance is –5% and the Buffer 10 absorbs up to 10% of the negative Segment Index Performance. In year five, the Segment Performance Rate is –5% because the Segment Index Performance is –15% and the Buffer 10 absorbs up to 10% of negative Segment Index Performance.</w:t>
      </w:r>
    </w:p>
    <w:p>
      <w:pPr>
        <w:ind w:left="5"/>
        <w:spacing w:after="0" w:line="191" w:lineRule="auto"/>
        <w:rPr>
          <w:sz w:val="20"/>
          <w:szCs w:val="20"/>
          <w:color w:val="auto"/>
        </w:rPr>
      </w:pPr>
      <w:r>
        <w:rPr>
          <w:rFonts w:ascii="Times New Roman" w:cs="Times New Roman" w:eastAsia="Times New Roman" w:hAnsi="Times New Roman"/>
          <w:sz w:val="6"/>
          <w:szCs w:val="6"/>
          <w:color w:val="auto"/>
        </w:rPr>
        <w:t>(4)</w:t>
      </w:r>
    </w:p>
    <w:p>
      <w:pPr>
        <w:jc w:val="both"/>
        <w:ind w:left="265" w:right="2999"/>
        <w:spacing w:after="0" w:line="229" w:lineRule="auto"/>
        <w:rPr>
          <w:sz w:val="20"/>
          <w:szCs w:val="20"/>
          <w:color w:val="auto"/>
        </w:rPr>
      </w:pPr>
      <w:r>
        <w:rPr>
          <w:rFonts w:ascii="Times New Roman" w:cs="Times New Roman" w:eastAsia="Times New Roman" w:hAnsi="Times New Roman"/>
          <w:sz w:val="14"/>
          <w:szCs w:val="14"/>
          <w:color w:val="auto"/>
        </w:rPr>
        <w:t>The Segment Credit is equal to the product of the current Segment Value (Segment Value at the Segment Start Date adjusted for any loans and Accelerated Death Benefit payment; there are no adjustments in the example) multiplied by the Segment Performance Rate. For example, in year one the Segment Credit is calculated as follows:</w:t>
      </w:r>
    </w:p>
    <w:p>
      <w:pPr>
        <w:spacing w:after="0" w:line="30" w:lineRule="exact"/>
        <w:rPr>
          <w:sz w:val="20"/>
          <w:szCs w:val="20"/>
          <w:color w:val="auto"/>
        </w:rPr>
      </w:pPr>
    </w:p>
    <w:p>
      <w:pPr>
        <w:ind w:left="965"/>
        <w:spacing w:after="0"/>
        <w:rPr>
          <w:sz w:val="20"/>
          <w:szCs w:val="20"/>
          <w:color w:val="auto"/>
        </w:rPr>
      </w:pPr>
      <w:r>
        <w:rPr>
          <w:rFonts w:ascii="Times New Roman" w:cs="Times New Roman" w:eastAsia="Times New Roman" w:hAnsi="Times New Roman"/>
          <w:sz w:val="14"/>
          <w:szCs w:val="14"/>
          <w:color w:val="auto"/>
        </w:rPr>
        <w:t>$50,000 [current Segment Value] x 10% [Segment Performance Rate] = $5,000</w:t>
      </w:r>
    </w:p>
    <w:p>
      <w:pPr>
        <w:ind w:left="5"/>
        <w:spacing w:after="0" w:line="180" w:lineRule="auto"/>
        <w:rPr>
          <w:sz w:val="20"/>
          <w:szCs w:val="20"/>
          <w:color w:val="auto"/>
        </w:rPr>
      </w:pPr>
      <w:r>
        <w:rPr>
          <w:rFonts w:ascii="Times New Roman" w:cs="Times New Roman" w:eastAsia="Times New Roman" w:hAnsi="Times New Roman"/>
          <w:sz w:val="8"/>
          <w:szCs w:val="8"/>
          <w:color w:val="auto"/>
        </w:rPr>
        <w:t>(5)</w:t>
      </w:r>
    </w:p>
    <w:p>
      <w:pPr>
        <w:jc w:val="both"/>
        <w:ind w:left="265" w:right="2999"/>
        <w:spacing w:after="0" w:line="229" w:lineRule="auto"/>
        <w:rPr>
          <w:sz w:val="20"/>
          <w:szCs w:val="20"/>
          <w:color w:val="auto"/>
        </w:rPr>
      </w:pPr>
      <w:r>
        <w:rPr>
          <w:rFonts w:ascii="Times New Roman" w:cs="Times New Roman" w:eastAsia="Times New Roman" w:hAnsi="Times New Roman"/>
          <w:sz w:val="14"/>
          <w:szCs w:val="14"/>
          <w:color w:val="auto"/>
        </w:rPr>
        <w:t>The Segment Value on the Segment Maturity Date is equal to the current Segment Value (Segment Value at the Segment Start Date adjusted for any loans and Accelerated Death Benefit payment; there are no adjustments in the example) plus the Segment Credit. For example, in year one the Segment Value on the Segment Maturity Date is calculated as follows:</w:t>
      </w:r>
    </w:p>
    <w:p>
      <w:pPr>
        <w:spacing w:after="0" w:line="40" w:lineRule="exact"/>
        <w:rPr>
          <w:sz w:val="20"/>
          <w:szCs w:val="20"/>
          <w:color w:val="auto"/>
        </w:rPr>
      </w:pPr>
    </w:p>
    <w:p>
      <w:pPr>
        <w:ind w:left="1185"/>
        <w:spacing w:after="0"/>
        <w:rPr>
          <w:sz w:val="20"/>
          <w:szCs w:val="20"/>
          <w:color w:val="auto"/>
        </w:rPr>
      </w:pPr>
      <w:r>
        <w:rPr>
          <w:rFonts w:ascii="Times New Roman" w:cs="Times New Roman" w:eastAsia="Times New Roman" w:hAnsi="Times New Roman"/>
          <w:sz w:val="14"/>
          <w:szCs w:val="14"/>
          <w:color w:val="auto"/>
        </w:rPr>
        <w:t>$50,000 [current Segment Value] + $5,000 [Segment Credit] = $55,000</w:t>
      </w:r>
    </w:p>
    <w:p>
      <w:pPr>
        <w:spacing w:after="0" w:line="246" w:lineRule="exact"/>
        <w:rPr>
          <w:sz w:val="20"/>
          <w:szCs w:val="20"/>
          <w:color w:val="auto"/>
        </w:rPr>
      </w:pPr>
    </w:p>
    <w:p>
      <w:pPr>
        <w:ind w:left="1705"/>
        <w:spacing w:after="0"/>
        <w:rPr>
          <w:sz w:val="20"/>
          <w:szCs w:val="20"/>
          <w:color w:val="auto"/>
        </w:rPr>
      </w:pPr>
      <w:r>
        <w:rPr>
          <w:rFonts w:ascii="Times New Roman" w:cs="Times New Roman" w:eastAsia="Times New Roman" w:hAnsi="Times New Roman"/>
          <w:sz w:val="14"/>
          <w:szCs w:val="14"/>
          <w:b w:val="1"/>
          <w:bCs w:val="1"/>
          <w:color w:val="auto"/>
        </w:rPr>
        <w:t>INTERIM SEGMENT VALUE CALCULATION</w:t>
      </w:r>
    </w:p>
    <w:p>
      <w:pPr>
        <w:spacing w:after="0" w:line="100" w:lineRule="exact"/>
        <w:rPr>
          <w:sz w:val="20"/>
          <w:szCs w:val="20"/>
          <w:color w:val="auto"/>
        </w:rPr>
      </w:pPr>
    </w:p>
    <w:p>
      <w:pPr>
        <w:jc w:val="both"/>
        <w:ind w:left="5" w:right="2939" w:firstLine="274"/>
        <w:spacing w:after="0" w:line="248" w:lineRule="auto"/>
        <w:rPr>
          <w:sz w:val="20"/>
          <w:szCs w:val="20"/>
          <w:color w:val="auto"/>
        </w:rPr>
      </w:pPr>
      <w:r>
        <w:rPr>
          <w:rFonts w:ascii="Times New Roman" w:cs="Times New Roman" w:eastAsia="Times New Roman" w:hAnsi="Times New Roman"/>
          <w:sz w:val="14"/>
          <w:szCs w:val="14"/>
          <w:color w:val="auto"/>
        </w:rPr>
        <w:t>Your Segment Value in each Indexed Account on the Segment Maturity Date is calculated as described above under “Calculating your Segment Value on a Segment Maturity Date.” In setting the various rates we use in calculating the Segment Value, we assume that you are going to hold a Segment until the Segment Maturity Date. Nevertheless, you have the right under the Policy to Surrender the Policy, request a payment under the Accelerated Death Benefit, take a loan, or start Distribution Payments under the GDR before the Segment Maturity Date. Therefore, we calculate an Interim Segment Value on each Business Day between the Segment Start Date and prior to the Segment Maturity Date. The Interim Segment Value is the amount we use to determine the Indexed Account Cash Value prior to the Segment Maturity Date.</w:t>
      </w:r>
    </w:p>
    <w:p>
      <w:pPr>
        <w:spacing w:after="0" w:line="68" w:lineRule="exact"/>
        <w:rPr>
          <w:sz w:val="20"/>
          <w:szCs w:val="20"/>
          <w:color w:val="auto"/>
        </w:rPr>
      </w:pPr>
    </w:p>
    <w:p>
      <w:pPr>
        <w:jc w:val="both"/>
        <w:ind w:left="5" w:right="2939" w:firstLine="274"/>
        <w:spacing w:after="0" w:line="267" w:lineRule="auto"/>
        <w:rPr>
          <w:sz w:val="20"/>
          <w:szCs w:val="20"/>
          <w:color w:val="auto"/>
        </w:rPr>
      </w:pPr>
      <w:r>
        <w:rPr>
          <w:rFonts w:ascii="Times New Roman" w:cs="Times New Roman" w:eastAsia="Times New Roman" w:hAnsi="Times New Roman"/>
          <w:sz w:val="14"/>
          <w:szCs w:val="14"/>
          <w:color w:val="auto"/>
        </w:rPr>
        <w:t>The Indexed Account Cash Value is part of the Cash Value, which determines how much is available for the following:</w:t>
      </w:r>
    </w:p>
    <w:p>
      <w:pPr>
        <w:spacing w:after="0" w:line="53" w:lineRule="exact"/>
        <w:rPr>
          <w:sz w:val="20"/>
          <w:szCs w:val="20"/>
          <w:color w:val="auto"/>
        </w:rPr>
      </w:pPr>
    </w:p>
    <w:p>
      <w:pPr>
        <w:ind w:left="545" w:hanging="271"/>
        <w:spacing w:after="0"/>
        <w:tabs>
          <w:tab w:leader="none" w:pos="545"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death benefits (including Policy Proceeds and an Accelerated Death Benefit payment);</w:t>
      </w:r>
    </w:p>
    <w:p>
      <w:pPr>
        <w:spacing w:after="0" w:line="85" w:lineRule="exact"/>
        <w:rPr>
          <w:rFonts w:ascii="Times New Roman" w:cs="Times New Roman" w:eastAsia="Times New Roman" w:hAnsi="Times New Roman"/>
          <w:sz w:val="14"/>
          <w:szCs w:val="14"/>
          <w:color w:val="auto"/>
        </w:rPr>
      </w:pPr>
    </w:p>
    <w:p>
      <w:pPr>
        <w:ind w:left="545" w:hanging="271"/>
        <w:spacing w:after="0"/>
        <w:tabs>
          <w:tab w:leader="none" w:pos="545"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loans (not including loans in connection with Distribution Payments under the GDR);</w:t>
      </w:r>
    </w:p>
    <w:p>
      <w:pPr>
        <w:spacing w:after="0" w:line="85" w:lineRule="exact"/>
        <w:rPr>
          <w:rFonts w:ascii="Times New Roman" w:cs="Times New Roman" w:eastAsia="Times New Roman" w:hAnsi="Times New Roman"/>
          <w:sz w:val="14"/>
          <w:szCs w:val="14"/>
          <w:color w:val="auto"/>
        </w:rPr>
      </w:pPr>
    </w:p>
    <w:p>
      <w:pPr>
        <w:ind w:left="545" w:right="2999" w:hanging="271"/>
        <w:spacing w:after="0" w:line="267" w:lineRule="auto"/>
        <w:tabs>
          <w:tab w:leader="none" w:pos="545"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transfers from Indexed Account Cash Value to the Fixed Account if you choose to start (or restart) Distribution Payments under the GDR; or</w:t>
      </w:r>
    </w:p>
    <w:p>
      <w:pPr>
        <w:spacing w:after="0" w:line="53" w:lineRule="exact"/>
        <w:rPr>
          <w:rFonts w:ascii="Times New Roman" w:cs="Times New Roman" w:eastAsia="Times New Roman" w:hAnsi="Times New Roman"/>
          <w:sz w:val="14"/>
          <w:szCs w:val="14"/>
          <w:color w:val="auto"/>
        </w:rPr>
      </w:pPr>
    </w:p>
    <w:p>
      <w:pPr>
        <w:ind w:left="545" w:hanging="271"/>
        <w:spacing w:after="0"/>
        <w:tabs>
          <w:tab w:leader="none" w:pos="545"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Surrenders (including Surrenders in connection with the Free Look Period).</w:t>
      </w:r>
    </w:p>
    <w:p>
      <w:pPr>
        <w:spacing w:after="0" w:line="86" w:lineRule="exact"/>
        <w:rPr>
          <w:sz w:val="20"/>
          <w:szCs w:val="20"/>
          <w:color w:val="auto"/>
        </w:rPr>
      </w:pPr>
    </w:p>
    <w:p>
      <w:pPr>
        <w:jc w:val="both"/>
        <w:ind w:left="5" w:right="2939" w:firstLine="274"/>
        <w:spacing w:after="0" w:line="267" w:lineRule="auto"/>
        <w:rPr>
          <w:sz w:val="20"/>
          <w:szCs w:val="20"/>
          <w:color w:val="auto"/>
        </w:rPr>
      </w:pPr>
      <w:r>
        <w:rPr>
          <w:rFonts w:ascii="Times New Roman" w:cs="Times New Roman" w:eastAsia="Times New Roman" w:hAnsi="Times New Roman"/>
          <w:sz w:val="14"/>
          <w:szCs w:val="14"/>
          <w:color w:val="auto"/>
        </w:rPr>
        <w:t>An Accelerated Death Benefit payment and a loan that is not a Distribution Payment will reduce the Interim Segment Value by the dollar amount of the transaction.</w:t>
      </w:r>
    </w:p>
    <w:p>
      <w:pPr>
        <w:spacing w:after="0" w:line="53" w:lineRule="exact"/>
        <w:rPr>
          <w:sz w:val="20"/>
          <w:szCs w:val="20"/>
          <w:color w:val="auto"/>
        </w:rPr>
      </w:pPr>
    </w:p>
    <w:p>
      <w:pPr>
        <w:jc w:val="both"/>
        <w:ind w:left="5" w:right="2939" w:firstLine="274"/>
        <w:spacing w:after="0" w:line="247" w:lineRule="auto"/>
        <w:rPr>
          <w:sz w:val="20"/>
          <w:szCs w:val="20"/>
          <w:color w:val="auto"/>
        </w:rPr>
      </w:pPr>
      <w:r>
        <w:rPr>
          <w:rFonts w:ascii="Times New Roman" w:cs="Times New Roman" w:eastAsia="Times New Roman" w:hAnsi="Times New Roman"/>
          <w:sz w:val="14"/>
          <w:szCs w:val="14"/>
          <w:color w:val="auto"/>
        </w:rPr>
        <w:t>When calculating Interim Segment Value, we apply the Segment Index Performance adjusted for the Segment Performance Rate to the current Segment Value as of the date of the calculation to determine the Accrued Index Return. The Accrued Index Return is added to the current Segment Value amount to determine the Interim Segment Value. This means that if the Segment Index Performance is negative on the Interim Segment Value calculation date, any negative interest we calculate could be greater than it would be on the Segment Maturity Date because the Buffer Rate is lower earlier in the Segment Term and does not fully accrue until the Segment Maturity Date. If Segment Index Performance is positive on the Interim Segment Value calculation date, any positive interest we calculate could be lower than it would be on the Segment Maturity Date because the Cap Rate is lower earlier in the Segment Term and does not fully accrue until the Segment Maturity Date. Losses could be significant. The Interim Segment Value will be reduced, dollar for dollar, by any loans or reductions due to an Accelerated Death Benefit payment.</w:t>
      </w:r>
    </w:p>
    <w:p>
      <w:pPr>
        <w:spacing w:after="0" w:line="70" w:lineRule="exact"/>
        <w:rPr>
          <w:sz w:val="20"/>
          <w:szCs w:val="20"/>
          <w:color w:val="auto"/>
        </w:rPr>
      </w:pPr>
    </w:p>
    <w:p>
      <w:pPr>
        <w:jc w:val="both"/>
        <w:ind w:left="5" w:right="2939" w:firstLine="274"/>
        <w:spacing w:after="0" w:line="272" w:lineRule="auto"/>
        <w:rPr>
          <w:sz w:val="20"/>
          <w:szCs w:val="20"/>
          <w:color w:val="auto"/>
        </w:rPr>
      </w:pPr>
      <w:r>
        <w:rPr>
          <w:rFonts w:ascii="Times New Roman" w:cs="Times New Roman" w:eastAsia="Times New Roman" w:hAnsi="Times New Roman"/>
          <w:sz w:val="13"/>
          <w:szCs w:val="13"/>
          <w:color w:val="auto"/>
        </w:rPr>
        <w:t>If you take a loan that is not a Distribution Payment or accelerate the death benefit, we will apply the Policy Deduction Method to determine the reduction to your current Segment Value. You cannot instruct us to deduct the loan or payment from specific Indexed Accounts or the Fixed Account. When we apply the Policy Deduction Method, the sum of the values in an Indexed Account and its associated Holding Account is considered one proportion. The corresponding proportional amount is subtracted first from the Holding Account until it has been reduced to zero and then any remaining amount is subtracted from the associated Indexed Account.</w:t>
      </w:r>
    </w:p>
    <w:p>
      <w:pPr>
        <w:spacing w:after="0" w:line="187" w:lineRule="exact"/>
        <w:rPr>
          <w:sz w:val="20"/>
          <w:szCs w:val="20"/>
          <w:color w:val="auto"/>
        </w:rPr>
      </w:pPr>
    </w:p>
    <w:p>
      <w:pPr>
        <w:ind w:left="3085"/>
        <w:spacing w:after="0"/>
        <w:rPr>
          <w:sz w:val="20"/>
          <w:szCs w:val="20"/>
          <w:color w:val="auto"/>
        </w:rPr>
      </w:pPr>
      <w:r>
        <w:rPr>
          <w:rFonts w:ascii="Times New Roman" w:cs="Times New Roman" w:eastAsia="Times New Roman" w:hAnsi="Times New Roman"/>
          <w:sz w:val="14"/>
          <w:szCs w:val="14"/>
          <w:color w:val="auto"/>
        </w:rPr>
        <w:t>34</w:t>
      </w:r>
    </w:p>
    <w:p>
      <w:pPr>
        <w:sectPr>
          <w:pgSz w:w="11900" w:h="16838" w:orient="portrait"/>
          <w:cols w:equalWidth="0" w:num="1">
            <w:col w:w="9224"/>
          </w:cols>
          <w:pgMar w:left="1235" w:top="984" w:right="1440" w:bottom="1440" w:gutter="0" w:footer="0" w:header="0"/>
        </w:sectPr>
      </w:pPr>
    </w:p>
    <w:bookmarkStart w:id="37" w:name="page38"/>
    <w:bookmarkEnd w:id="37"/>
    <w:p>
      <w:pPr>
        <w:jc w:val="both"/>
        <w:ind w:right="2939" w:firstLine="274"/>
        <w:spacing w:after="0" w:line="256"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422275</wp:posOffset>
            </wp:positionV>
            <wp:extent cx="719010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90105" cy="38735"/>
                    </a:xfrm>
                    <a:prstGeom prst="rect">
                      <a:avLst/>
                    </a:prstGeom>
                    <a:noFill/>
                  </pic:spPr>
                </pic:pic>
              </a:graphicData>
            </a:graphic>
          </wp:anchor>
        </w:drawing>
        <w:t>You may obtain your Interim Segment Value on any Business Day by calling us at 1-800-882-1292 or by accessing our website at www.brighthousefinancial.com. However, Interim Segment Values fluctuate daily, and the current value(s) quoted may differ from the actual value(s) calculated.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Accrued Index Return</w:t>
      </w:r>
    </w:p>
    <w:p>
      <w:pPr>
        <w:spacing w:after="0" w:line="90" w:lineRule="exact"/>
        <w:rPr>
          <w:sz w:val="20"/>
          <w:szCs w:val="20"/>
          <w:color w:val="auto"/>
        </w:rPr>
      </w:pPr>
    </w:p>
    <w:p>
      <w:pPr>
        <w:jc w:val="both"/>
        <w:ind w:right="2939" w:firstLine="274"/>
        <w:spacing w:after="0" w:line="247" w:lineRule="auto"/>
        <w:rPr>
          <w:sz w:val="20"/>
          <w:szCs w:val="20"/>
          <w:color w:val="auto"/>
        </w:rPr>
      </w:pPr>
      <w:r>
        <w:rPr>
          <w:rFonts w:ascii="Times New Roman" w:cs="Times New Roman" w:eastAsia="Times New Roman" w:hAnsi="Times New Roman"/>
          <w:sz w:val="14"/>
          <w:szCs w:val="14"/>
          <w:color w:val="auto"/>
        </w:rPr>
        <w:t>This is the positive or negative return we add to the Segment Value amount to determine the Interim Segment Value. The Accrued Index Return is equal to the current Segment Value multiplied by the Segment Performance Rate. The Accrued Index Return can be positive, zero or negative. If the negative Segment Index Performance is constant during the Segment Term, any negative interest we calculate on an Interim Segment Value calculation date when negative Segment Index Performance exceeds the Buffer Rate will be greater than it would be on the Segment Maturity Date because the Buffer Rate, except for the Buffer 100, is lower earlier in the Segment Term and does not fully accrue until the Segment Maturity Date. The Buffer 100 is always fully accrued. If positive Segment Index Performance is constant during the Term, any positive interest we calculate on an Interim Segment Value calculation date when positive Segment Index Performance exceeds the Cap Rate will be lower than it would be on the Segment Maturity Date because the Cap Rate lower earlier in the Segment Term and does not fully accrue until the Segment Maturity Date.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Accrued Buffer Rate</w:t>
      </w:r>
    </w:p>
    <w:p>
      <w:pPr>
        <w:spacing w:after="0" w:line="100" w:lineRule="exact"/>
        <w:rPr>
          <w:sz w:val="20"/>
          <w:szCs w:val="20"/>
          <w:color w:val="auto"/>
        </w:rPr>
      </w:pPr>
    </w:p>
    <w:p>
      <w:pPr>
        <w:jc w:val="both"/>
        <w:ind w:right="2939" w:firstLine="274"/>
        <w:spacing w:after="0" w:line="249" w:lineRule="auto"/>
        <w:rPr>
          <w:sz w:val="20"/>
          <w:szCs w:val="20"/>
          <w:color w:val="auto"/>
        </w:rPr>
      </w:pPr>
      <w:r>
        <w:rPr>
          <w:rFonts w:ascii="Times New Roman" w:cs="Times New Roman" w:eastAsia="Times New Roman" w:hAnsi="Times New Roman"/>
          <w:sz w:val="14"/>
          <w:szCs w:val="14"/>
          <w:color w:val="auto"/>
        </w:rPr>
        <w:t>The Accrued Buffer Rate is the portion of the Buffer Rate that has accrued from the Segment Start Date to any day within the Segment Term. This is the amount that may be applied in calculating the Interim Segment Value on any day prior to the Segment Maturity Date if Segment Index Performance is less than zero. The Accrued Buffer Rate is equal to the Buffer Rate multiplied by the number of days elapsed since the Segment Start Date, divided by the total number of days in the Segment Term. The portion of the Buffer Rate that applies increases as you get closer to the Segment Maturity Date.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Accrued Cap Rate</w:t>
      </w:r>
    </w:p>
    <w:p>
      <w:pPr>
        <w:spacing w:after="0" w:line="100" w:lineRule="exact"/>
        <w:rPr>
          <w:sz w:val="20"/>
          <w:szCs w:val="20"/>
          <w:color w:val="auto"/>
        </w:rPr>
      </w:pPr>
    </w:p>
    <w:p>
      <w:pPr>
        <w:jc w:val="both"/>
        <w:ind w:right="2939" w:firstLine="274"/>
        <w:spacing w:after="0" w:line="249" w:lineRule="auto"/>
        <w:rPr>
          <w:sz w:val="20"/>
          <w:szCs w:val="20"/>
          <w:color w:val="auto"/>
        </w:rPr>
      </w:pPr>
      <w:r>
        <w:rPr>
          <w:rFonts w:ascii="Times New Roman" w:cs="Times New Roman" w:eastAsia="Times New Roman" w:hAnsi="Times New Roman"/>
          <w:sz w:val="14"/>
          <w:szCs w:val="14"/>
          <w:color w:val="auto"/>
        </w:rPr>
        <w:t>The Accrued Cap Rate is the portion of the Cap Rate that has accrued from the Segment Start Date to any day within the Segment Term. This is the maximum Segment Index Performance that may be applied in calculating the Interim Segment Value on any day prior to the Segment Maturity Date if Segment Index Performance is equal to or greater than zero. The Accrued Cap Rate is equal to the Cap Rate multiplied by the number of days elapsed since the Segment Start Date, divided by the total number of days in the Segment Term. The portion of the Cap Rate that applies increases as you get closer to the Segment Maturity Date.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Segment Performance Rate for Determination of Interim Segment Value</w:t>
      </w:r>
    </w:p>
    <w:p>
      <w:pPr>
        <w:spacing w:after="0" w:line="90" w:lineRule="exact"/>
        <w:rPr>
          <w:sz w:val="20"/>
          <w:szCs w:val="20"/>
          <w:color w:val="auto"/>
        </w:rPr>
      </w:pPr>
    </w:p>
    <w:p>
      <w:pPr>
        <w:jc w:val="both"/>
        <w:ind w:right="2939" w:firstLine="274"/>
        <w:spacing w:after="0" w:line="267" w:lineRule="auto"/>
        <w:rPr>
          <w:sz w:val="20"/>
          <w:szCs w:val="20"/>
          <w:color w:val="auto"/>
        </w:rPr>
      </w:pPr>
      <w:r>
        <w:rPr>
          <w:rFonts w:ascii="Times New Roman" w:cs="Times New Roman" w:eastAsia="Times New Roman" w:hAnsi="Times New Roman"/>
          <w:sz w:val="14"/>
          <w:szCs w:val="14"/>
          <w:color w:val="auto"/>
        </w:rPr>
        <w:t>The Segment Performance Rate during a particular Segment Term is the Segment Index Performance, adjusted for the applicable Accrued Buffer Rate or Accrued Cap Rate.</w:t>
      </w:r>
    </w:p>
    <w:p>
      <w:pPr>
        <w:spacing w:after="0" w:line="53" w:lineRule="exact"/>
        <w:rPr>
          <w:sz w:val="20"/>
          <w:szCs w:val="20"/>
          <w:color w:val="auto"/>
        </w:rPr>
      </w:pPr>
    </w:p>
    <w:p>
      <w:pPr>
        <w:jc w:val="both"/>
        <w:ind w:right="2939" w:firstLine="274"/>
        <w:spacing w:after="0" w:line="251" w:lineRule="auto"/>
        <w:rPr>
          <w:sz w:val="20"/>
          <w:szCs w:val="20"/>
          <w:color w:val="auto"/>
        </w:rPr>
      </w:pPr>
      <w:r>
        <w:rPr>
          <w:rFonts w:ascii="Times New Roman" w:cs="Times New Roman" w:eastAsia="Times New Roman" w:hAnsi="Times New Roman"/>
          <w:sz w:val="14"/>
          <w:szCs w:val="14"/>
          <w:color w:val="auto"/>
        </w:rPr>
        <w:t>As noted above, the Interim Segment Value is calculated on each Business Day between the Segment Start Date and prior to the Segment Maturity Date using accrued values for the Buffer Rate and Cap Rate. For example, if you have an Indexed Account with a 1-Year Segment Term, a Buffer 10 and a 10% Cap Rate, the Interim Segment Value halfway through the Segment Term will be calculated using your Accrued Buffer Rate of 5% and Accrued Cap Rate of 5%.</w:t>
      </w:r>
    </w:p>
    <w:p>
      <w:pPr>
        <w:spacing w:after="0" w:line="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accrued rates are calculated as follows:</w:t>
      </w:r>
    </w:p>
    <w:p>
      <w:pPr>
        <w:spacing w:after="0" w:line="86" w:lineRule="exact"/>
        <w:rPr>
          <w:sz w:val="20"/>
          <w:szCs w:val="20"/>
          <w:color w:val="auto"/>
        </w:rPr>
      </w:pPr>
    </w:p>
    <w:p>
      <w:pPr>
        <w:jc w:val="both"/>
        <w:ind w:right="2939" w:firstLine="274"/>
        <w:spacing w:after="0" w:line="267" w:lineRule="auto"/>
        <w:rPr>
          <w:sz w:val="20"/>
          <w:szCs w:val="20"/>
          <w:color w:val="auto"/>
        </w:rPr>
      </w:pPr>
      <w:r>
        <w:rPr>
          <w:rFonts w:ascii="Times New Roman" w:cs="Times New Roman" w:eastAsia="Times New Roman" w:hAnsi="Times New Roman"/>
          <w:sz w:val="14"/>
          <w:szCs w:val="14"/>
          <w:color w:val="auto"/>
        </w:rPr>
        <w:t>The Buffer Rate (10%) is multiplied by the number of days elapsed since the Segment Start Date (183) and divided by the total number of days in the Segment Term (365), so the Accrued Buffer Rate is 5%.</w:t>
      </w:r>
    </w:p>
    <w:p>
      <w:pPr>
        <w:spacing w:after="0" w:line="53" w:lineRule="exact"/>
        <w:rPr>
          <w:sz w:val="20"/>
          <w:szCs w:val="20"/>
          <w:color w:val="auto"/>
        </w:rPr>
      </w:pPr>
    </w:p>
    <w:p>
      <w:pPr>
        <w:jc w:val="both"/>
        <w:ind w:right="2939" w:firstLine="274"/>
        <w:spacing w:after="0" w:line="267" w:lineRule="auto"/>
        <w:rPr>
          <w:sz w:val="20"/>
          <w:szCs w:val="20"/>
          <w:color w:val="auto"/>
        </w:rPr>
      </w:pPr>
      <w:r>
        <w:rPr>
          <w:rFonts w:ascii="Times New Roman" w:cs="Times New Roman" w:eastAsia="Times New Roman" w:hAnsi="Times New Roman"/>
          <w:sz w:val="14"/>
          <w:szCs w:val="14"/>
          <w:color w:val="auto"/>
        </w:rPr>
        <w:t>The Cap Rate (10%) is multiplied by the number of days elapsed since the Segment Start Date (183) and divided by the total number of days in the Segment Term (365), so the Accrued Cap Rate is 5%.</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Example 2—Calculating your Interim Segment Value</w:t>
      </w:r>
    </w:p>
    <w:p>
      <w:pPr>
        <w:spacing w:after="0" w:line="90" w:lineRule="exact"/>
        <w:rPr>
          <w:sz w:val="20"/>
          <w:szCs w:val="20"/>
          <w:color w:val="auto"/>
        </w:rPr>
      </w:pPr>
    </w:p>
    <w:p>
      <w:pPr>
        <w:jc w:val="both"/>
        <w:ind w:right="2939" w:firstLine="274"/>
        <w:spacing w:after="0" w:line="269" w:lineRule="auto"/>
        <w:rPr>
          <w:sz w:val="20"/>
          <w:szCs w:val="20"/>
          <w:color w:val="auto"/>
        </w:rPr>
      </w:pPr>
      <w:r>
        <w:rPr>
          <w:rFonts w:ascii="Times New Roman" w:cs="Times New Roman" w:eastAsia="Times New Roman" w:hAnsi="Times New Roman"/>
          <w:sz w:val="13"/>
          <w:szCs w:val="13"/>
          <w:color w:val="auto"/>
        </w:rPr>
        <w:t>Examples 2A and 2B are intended to show how an Interim Segment Value is calculated. We calculate an Interim Segment Value on each Business Day between the Segment Start Date and prior to the Segment Maturity Date. An Interim Segment Value calculation is used to determine how much is available for death benefits (including Policy Proceeds and an Accelerated Death Benefit payment), loans (not including loans in connection with Distribution Payments under the GDR), transfers from Indexed Account Cash Value to the Fixed Account if you choose to start (or restart) Distribution Payments under the GDR, and Surrenders (including Surrenders in connection with the Free Look Period). If you choose to start (or restart) Distribution Payments on any day other than a Policy Anniversary, any Indexed Account Cash Value transferred to the Fixed Account will be based on Interim Segment Value. In both examples, assume Owner 1 allocates her $51,000 of Net Premiums</w:t>
      </w:r>
    </w:p>
    <w:p>
      <w:pPr>
        <w:spacing w:after="0" w:line="199"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4"/>
          <w:szCs w:val="14"/>
          <w:color w:val="auto"/>
        </w:rPr>
        <w:t>35</w:t>
      </w:r>
    </w:p>
    <w:p>
      <w:pPr>
        <w:sectPr>
          <w:pgSz w:w="11900" w:h="16838" w:orient="portrait"/>
          <w:cols w:equalWidth="0" w:num="1">
            <w:col w:w="9219"/>
          </w:cols>
          <w:pgMar w:left="1240" w:top="1083" w:right="1440" w:bottom="1440" w:gutter="0" w:footer="0" w:header="0"/>
        </w:sectPr>
      </w:pPr>
    </w:p>
    <w:bookmarkStart w:id="38" w:name="page39"/>
    <w:bookmarkEnd w:id="38"/>
    <w:p>
      <w:pPr>
        <w:jc w:val="both"/>
        <w:ind w:left="5" w:right="2939"/>
        <w:spacing w:after="0" w:line="247"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422275</wp:posOffset>
            </wp:positionV>
            <wp:extent cx="719010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90105" cy="38735"/>
                    </a:xfrm>
                    <a:prstGeom prst="rect">
                      <a:avLst/>
                    </a:prstGeom>
                    <a:noFill/>
                  </pic:spPr>
                </pic:pic>
              </a:graphicData>
            </a:graphic>
          </wp:anchor>
        </w:drawing>
        <w:t>to an Indexed Account with a 1-Year Segment Term / Buffer 10/ S&amp;P 500</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4"/>
          <w:szCs w:val="14"/>
          <w:color w:val="auto"/>
        </w:rPr>
        <w:t xml:space="preserve"> Index with a Cap Rate of 10%. Her Segment Value on the Segment Start Date is $51,000 (before deducting the Annual Deduction). Example 2A will illustrate an Interim Segment Value calculation with positive Segment Index Performance and Example 2B will illustrate an Interim Segment Value calculation with negative Segment Index Performance. For purposes of these examples, the Interim Segment Value calculation occurs exactly halfway through the Segment Term.</w:t>
      </w:r>
    </w:p>
    <w:p>
      <w:pPr>
        <w:spacing w:after="0" w:line="66" w:lineRule="exact"/>
        <w:rPr>
          <w:sz w:val="20"/>
          <w:szCs w:val="20"/>
          <w:color w:val="auto"/>
        </w:rPr>
      </w:pPr>
    </w:p>
    <w:p>
      <w:pPr>
        <w:jc w:val="both"/>
        <w:ind w:left="5" w:right="2939" w:firstLine="274"/>
        <w:spacing w:after="0" w:line="256" w:lineRule="auto"/>
        <w:rPr>
          <w:sz w:val="20"/>
          <w:szCs w:val="20"/>
          <w:color w:val="auto"/>
        </w:rPr>
      </w:pPr>
      <w:r>
        <w:rPr>
          <w:rFonts w:ascii="Times New Roman" w:cs="Times New Roman" w:eastAsia="Times New Roman" w:hAnsi="Times New Roman"/>
          <w:sz w:val="14"/>
          <w:szCs w:val="14"/>
          <w:color w:val="auto"/>
        </w:rPr>
        <w:t>To see how a loan reduces the Interim Segment Value, dollar for dollar, and how we calculate Segment Value on a Segment Maturity Date reflecting the impact of an Interim Segment Value calculation resulting from a loan that is not a Distribution Payment, see “LOANS” and Examples 4B and 4C.</w:t>
      </w:r>
    </w:p>
    <w:p>
      <w:pPr>
        <w:spacing w:after="0" w:line="143" w:lineRule="exact"/>
        <w:rPr>
          <w:sz w:val="20"/>
          <w:szCs w:val="20"/>
          <w:color w:val="auto"/>
        </w:rPr>
      </w:pPr>
    </w:p>
    <w:p>
      <w:pPr>
        <w:ind w:left="5"/>
        <w:spacing w:after="0"/>
        <w:rPr>
          <w:sz w:val="20"/>
          <w:szCs w:val="20"/>
          <w:color w:val="auto"/>
        </w:rPr>
      </w:pPr>
      <w:r>
        <w:rPr>
          <w:rFonts w:ascii="Times New Roman" w:cs="Times New Roman" w:eastAsia="Times New Roman" w:hAnsi="Times New Roman"/>
          <w:sz w:val="14"/>
          <w:szCs w:val="14"/>
          <w:u w:val="single" w:color="auto"/>
          <w:color w:val="auto"/>
        </w:rPr>
        <w:t>Example 2A—Positive Segment Index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4003675" cy="18415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003675" cy="1841500"/>
                    </a:xfrm>
                    <a:prstGeom prst="rect">
                      <a:avLst/>
                    </a:prstGeom>
                    <a:noFill/>
                  </pic:spPr>
                </pic:pic>
              </a:graphicData>
            </a:graphic>
          </wp:anchor>
        </w:drawing>
      </w:r>
    </w:p>
    <w:p>
      <w:pPr>
        <w:spacing w:after="0" w:line="62" w:lineRule="exact"/>
        <w:rPr>
          <w:sz w:val="20"/>
          <w:szCs w:val="20"/>
          <w:color w:val="auto"/>
        </w:rPr>
      </w:pPr>
    </w:p>
    <w:p>
      <w:pPr>
        <w:ind w:left="85"/>
        <w:spacing w:after="0"/>
        <w:rPr>
          <w:sz w:val="20"/>
          <w:szCs w:val="20"/>
          <w:color w:val="auto"/>
        </w:rPr>
      </w:pPr>
      <w:r>
        <w:rPr>
          <w:rFonts w:ascii="Times New Roman" w:cs="Times New Roman" w:eastAsia="Times New Roman" w:hAnsi="Times New Roman"/>
          <w:sz w:val="14"/>
          <w:szCs w:val="14"/>
          <w:b w:val="1"/>
          <w:bCs w:val="1"/>
          <w:color w:val="auto"/>
        </w:rPr>
        <w:t>Segment Start Date</w:t>
      </w:r>
    </w:p>
    <w:p>
      <w:pPr>
        <w:spacing w:after="0" w:line="21" w:lineRule="exact"/>
        <w:rPr>
          <w:sz w:val="20"/>
          <w:szCs w:val="20"/>
          <w:color w:val="auto"/>
        </w:rPr>
      </w:pPr>
    </w:p>
    <w:tbl>
      <w:tblPr>
        <w:tblLayout w:type="fixed"/>
        <w:tblInd w:w="5" w:type="dxa"/>
        <w:tblCellMar>
          <w:top w:w="0" w:type="dxa"/>
          <w:left w:w="0" w:type="dxa"/>
          <w:bottom w:w="0" w:type="dxa"/>
          <w:right w:w="0" w:type="dxa"/>
        </w:tblCellMar>
      </w:tblPr>
      <w:tr>
        <w:trPr>
          <w:trHeight w:val="226"/>
        </w:trPr>
        <w:tc>
          <w:tcPr>
            <w:tcW w:w="4900" w:type="dxa"/>
            <w:vAlign w:val="bottom"/>
            <w:tcBorders>
              <w:top w:val="single" w:sz="8" w:color="auto"/>
              <w:bottom w:val="single" w:sz="8" w:color="auto"/>
              <w:right w:val="single" w:sz="8" w:color="auto"/>
            </w:tcBorders>
            <w:gridSpan w:val="2"/>
            <w:shd w:val="clear" w:color="auto" w:fill="F0FFFF"/>
          </w:tcPr>
          <w:p>
            <w:pPr>
              <w:ind w:left="220"/>
              <w:spacing w:after="0"/>
              <w:rPr>
                <w:sz w:val="20"/>
                <w:szCs w:val="20"/>
                <w:color w:val="auto"/>
              </w:rPr>
            </w:pPr>
            <w:r>
              <w:rPr>
                <w:rFonts w:ascii="Times New Roman" w:cs="Times New Roman" w:eastAsia="Times New Roman" w:hAnsi="Times New Roman"/>
                <w:sz w:val="14"/>
                <w:szCs w:val="14"/>
                <w:color w:val="auto"/>
              </w:rPr>
              <w:t>Segment Value (before deducting the Annual Deduction)</w:t>
            </w:r>
            <w:r>
              <w:rPr>
                <w:rFonts w:ascii="Times New Roman" w:cs="Times New Roman" w:eastAsia="Times New Roman" w:hAnsi="Times New Roman"/>
                <w:sz w:val="17"/>
                <w:szCs w:val="17"/>
                <w:color w:val="auto"/>
                <w:vertAlign w:val="superscript"/>
              </w:rPr>
              <w:t>(1)</w:t>
            </w:r>
          </w:p>
        </w:tc>
        <w:tc>
          <w:tcPr>
            <w:tcW w:w="1380" w:type="dxa"/>
            <w:vAlign w:val="bottom"/>
            <w:tcBorders>
              <w:top w:val="single" w:sz="8" w:color="auto"/>
              <w:bottom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color w:val="auto"/>
              </w:rPr>
              <w:t>$51,000</w:t>
            </w:r>
          </w:p>
        </w:tc>
        <w:tc>
          <w:tcPr>
            <w:tcW w:w="20" w:type="dxa"/>
            <w:vAlign w:val="bottom"/>
            <w:tcBorders>
              <w:top w:val="single" w:sz="8" w:color="auto"/>
              <w:bottom w:val="single" w:sz="8" w:color="auto"/>
            </w:tcBorders>
          </w:tcPr>
          <w:p>
            <w:pPr>
              <w:spacing w:after="0"/>
              <w:rPr>
                <w:sz w:val="19"/>
                <w:szCs w:val="19"/>
                <w:color w:val="auto"/>
              </w:rPr>
            </w:pPr>
          </w:p>
        </w:tc>
      </w:tr>
      <w:tr>
        <w:trPr>
          <w:trHeight w:val="206"/>
        </w:trPr>
        <w:tc>
          <w:tcPr>
            <w:tcW w:w="4900" w:type="dxa"/>
            <w:vAlign w:val="bottom"/>
            <w:tcBorders>
              <w:bottom w:val="single" w:sz="8" w:color="auto"/>
              <w:right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color w:val="auto"/>
              </w:rPr>
              <w:t>Segment Value (after deducting the Annual Deduction)</w:t>
            </w:r>
            <w:r>
              <w:rPr>
                <w:rFonts w:ascii="Times New Roman" w:cs="Times New Roman" w:eastAsia="Times New Roman" w:hAnsi="Times New Roman"/>
                <w:sz w:val="17"/>
                <w:szCs w:val="17"/>
                <w:color w:val="auto"/>
                <w:vertAlign w:val="superscript"/>
              </w:rPr>
              <w:t>(1)</w:t>
            </w: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$50,000</w:t>
            </w:r>
          </w:p>
        </w:tc>
        <w:tc>
          <w:tcPr>
            <w:tcW w:w="20" w:type="dxa"/>
            <w:vAlign w:val="bottom"/>
            <w:tcBorders>
              <w:bottom w:val="single" w:sz="8" w:color="auto"/>
            </w:tcBorders>
          </w:tcPr>
          <w:p>
            <w:pPr>
              <w:spacing w:after="0"/>
              <w:rPr>
                <w:sz w:val="17"/>
                <w:szCs w:val="17"/>
                <w:color w:val="auto"/>
              </w:rPr>
            </w:pPr>
          </w:p>
        </w:tc>
      </w:tr>
      <w:tr>
        <w:trPr>
          <w:trHeight w:val="196"/>
        </w:trPr>
        <w:tc>
          <w:tcPr>
            <w:tcW w:w="4900" w:type="dxa"/>
            <w:vAlign w:val="bottom"/>
            <w:tcBorders>
              <w:bottom w:val="single" w:sz="8" w:color="F0FFFF"/>
              <w:right w:val="single" w:sz="8" w:color="auto"/>
            </w:tcBorders>
            <w:gridSpan w:val="2"/>
            <w:shd w:val="clear" w:color="auto" w:fill="F0FFFF"/>
          </w:tcPr>
          <w:p>
            <w:pPr>
              <w:ind w:left="220"/>
              <w:spacing w:after="0"/>
              <w:rPr>
                <w:sz w:val="20"/>
                <w:szCs w:val="20"/>
                <w:color w:val="auto"/>
              </w:rPr>
            </w:pPr>
            <w:r>
              <w:rPr>
                <w:rFonts w:ascii="Times New Roman" w:cs="Times New Roman" w:eastAsia="Times New Roman" w:hAnsi="Times New Roman"/>
                <w:sz w:val="14"/>
                <w:szCs w:val="14"/>
                <w:color w:val="auto"/>
              </w:rPr>
              <w:t>Buffer Rate</w:t>
            </w:r>
          </w:p>
        </w:tc>
        <w:tc>
          <w:tcPr>
            <w:tcW w:w="1380" w:type="dxa"/>
            <w:vAlign w:val="bottom"/>
            <w:tcBorders>
              <w:bottom w:val="single" w:sz="8" w:color="F0FFFF"/>
            </w:tcBorders>
            <w:shd w:val="clear" w:color="auto" w:fill="F0FFFF"/>
          </w:tcPr>
          <w:p>
            <w:pPr>
              <w:ind w:left="420"/>
              <w:spacing w:after="0"/>
              <w:rPr>
                <w:sz w:val="20"/>
                <w:szCs w:val="20"/>
                <w:color w:val="auto"/>
              </w:rPr>
            </w:pPr>
            <w:r>
              <w:rPr>
                <w:rFonts w:ascii="Times New Roman" w:cs="Times New Roman" w:eastAsia="Times New Roman" w:hAnsi="Times New Roman"/>
                <w:sz w:val="14"/>
                <w:szCs w:val="14"/>
                <w:color w:val="auto"/>
              </w:rPr>
              <w:t>Buffer 10</w:t>
            </w:r>
          </w:p>
        </w:tc>
        <w:tc>
          <w:tcPr>
            <w:tcW w:w="20" w:type="dxa"/>
            <w:vAlign w:val="bottom"/>
          </w:tcPr>
          <w:p>
            <w:pPr>
              <w:spacing w:after="0"/>
              <w:rPr>
                <w:sz w:val="17"/>
                <w:szCs w:val="17"/>
                <w:color w:val="auto"/>
              </w:rPr>
            </w:pPr>
          </w:p>
        </w:tc>
      </w:tr>
      <w:tr>
        <w:trPr>
          <w:trHeight w:val="174"/>
        </w:trPr>
        <w:tc>
          <w:tcPr>
            <w:tcW w:w="4900" w:type="dxa"/>
            <w:vAlign w:val="bottom"/>
            <w:tcBorders>
              <w:top w:val="single" w:sz="8" w:color="auto"/>
              <w:right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color w:val="auto"/>
              </w:rPr>
              <w:t>Cap Rate</w:t>
            </w:r>
          </w:p>
        </w:tc>
        <w:tc>
          <w:tcPr>
            <w:tcW w:w="1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10%</w:t>
            </w:r>
          </w:p>
        </w:tc>
        <w:tc>
          <w:tcPr>
            <w:tcW w:w="20" w:type="dxa"/>
            <w:vAlign w:val="bottom"/>
            <w:tcBorders>
              <w:top w:val="single" w:sz="8" w:color="auto"/>
            </w:tcBorders>
          </w:tcPr>
          <w:p>
            <w:pPr>
              <w:spacing w:after="0"/>
              <w:rPr>
                <w:sz w:val="15"/>
                <w:szCs w:val="15"/>
                <w:color w:val="auto"/>
              </w:rPr>
            </w:pPr>
          </w:p>
        </w:tc>
      </w:tr>
      <w:tr>
        <w:trPr>
          <w:trHeight w:val="22"/>
        </w:trPr>
        <w:tc>
          <w:tcPr>
            <w:tcW w:w="840" w:type="dxa"/>
            <w:vAlign w:val="bottom"/>
            <w:tcBorders>
              <w:bottom w:val="single" w:sz="8" w:color="auto"/>
            </w:tcBorders>
          </w:tcPr>
          <w:p>
            <w:pPr>
              <w:spacing w:after="0" w:line="20" w:lineRule="exact"/>
              <w:rPr>
                <w:sz w:val="1"/>
                <w:szCs w:val="1"/>
                <w:color w:val="auto"/>
              </w:rPr>
            </w:pPr>
          </w:p>
        </w:tc>
        <w:tc>
          <w:tcPr>
            <w:tcW w:w="4060" w:type="dxa"/>
            <w:vAlign w:val="bottom"/>
            <w:tcBorders>
              <w:bottom w:val="single" w:sz="8" w:color="auto"/>
              <w:right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196"/>
        </w:trPr>
        <w:tc>
          <w:tcPr>
            <w:tcW w:w="4900" w:type="dxa"/>
            <w:vAlign w:val="bottom"/>
            <w:tcBorders>
              <w:bottom w:val="single" w:sz="8" w:color="F0FFFF"/>
              <w:right w:val="single" w:sz="8" w:color="auto"/>
            </w:tcBorders>
            <w:gridSpan w:val="2"/>
            <w:shd w:val="clear" w:color="auto" w:fill="F0FFFF"/>
          </w:tcPr>
          <w:p>
            <w:pPr>
              <w:ind w:left="220"/>
              <w:spacing w:after="0"/>
              <w:rPr>
                <w:sz w:val="20"/>
                <w:szCs w:val="20"/>
                <w:color w:val="auto"/>
              </w:rPr>
            </w:pPr>
            <w:r>
              <w:rPr>
                <w:rFonts w:ascii="Times New Roman" w:cs="Times New Roman" w:eastAsia="Times New Roman" w:hAnsi="Times New Roman"/>
                <w:sz w:val="14"/>
                <w:szCs w:val="14"/>
                <w:color w:val="auto"/>
              </w:rPr>
              <w:t>Closing Value of the Index</w:t>
            </w:r>
          </w:p>
        </w:tc>
        <w:tc>
          <w:tcPr>
            <w:tcW w:w="1380" w:type="dxa"/>
            <w:vAlign w:val="bottom"/>
            <w:tcBorders>
              <w:bottom w:val="single" w:sz="8" w:color="F0FFFF"/>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color w:val="auto"/>
              </w:rPr>
              <w:t>500</w:t>
            </w:r>
          </w:p>
        </w:tc>
        <w:tc>
          <w:tcPr>
            <w:tcW w:w="20" w:type="dxa"/>
            <w:vAlign w:val="bottom"/>
          </w:tcPr>
          <w:p>
            <w:pPr>
              <w:spacing w:after="0"/>
              <w:rPr>
                <w:sz w:val="17"/>
                <w:szCs w:val="17"/>
                <w:color w:val="auto"/>
              </w:rPr>
            </w:pPr>
          </w:p>
        </w:tc>
      </w:tr>
      <w:tr>
        <w:trPr>
          <w:trHeight w:val="174"/>
        </w:trPr>
        <w:tc>
          <w:tcPr>
            <w:tcW w:w="490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Interim Segment Value Calculation Halfway Through Term</w:t>
            </w:r>
          </w:p>
        </w:tc>
        <w:tc>
          <w:tcPr>
            <w:tcW w:w="13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r>
      <w:tr>
        <w:trPr>
          <w:trHeight w:val="22"/>
        </w:trPr>
        <w:tc>
          <w:tcPr>
            <w:tcW w:w="840" w:type="dxa"/>
            <w:vAlign w:val="bottom"/>
            <w:tcBorders>
              <w:bottom w:val="single" w:sz="8" w:color="auto"/>
            </w:tcBorders>
          </w:tcPr>
          <w:p>
            <w:pPr>
              <w:spacing w:after="0" w:line="20" w:lineRule="exact"/>
              <w:rPr>
                <w:sz w:val="1"/>
                <w:szCs w:val="1"/>
                <w:color w:val="auto"/>
              </w:rPr>
            </w:pPr>
          </w:p>
        </w:tc>
        <w:tc>
          <w:tcPr>
            <w:tcW w:w="40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196"/>
        </w:trPr>
        <w:tc>
          <w:tcPr>
            <w:tcW w:w="4900" w:type="dxa"/>
            <w:vAlign w:val="bottom"/>
            <w:tcBorders>
              <w:bottom w:val="single" w:sz="8" w:color="F0FFFF"/>
              <w:right w:val="single" w:sz="8" w:color="auto"/>
            </w:tcBorders>
            <w:gridSpan w:val="2"/>
            <w:shd w:val="clear" w:color="auto" w:fill="F0FFFF"/>
          </w:tcPr>
          <w:p>
            <w:pPr>
              <w:ind w:left="220"/>
              <w:spacing w:after="0"/>
              <w:rPr>
                <w:sz w:val="20"/>
                <w:szCs w:val="20"/>
                <w:color w:val="auto"/>
              </w:rPr>
            </w:pPr>
            <w:r>
              <w:rPr>
                <w:rFonts w:ascii="Times New Roman" w:cs="Times New Roman" w:eastAsia="Times New Roman" w:hAnsi="Times New Roman"/>
                <w:sz w:val="14"/>
                <w:szCs w:val="14"/>
                <w:color w:val="auto"/>
              </w:rPr>
              <w:t>Closing Value of the Index</w:t>
            </w:r>
          </w:p>
        </w:tc>
        <w:tc>
          <w:tcPr>
            <w:tcW w:w="1380" w:type="dxa"/>
            <w:vAlign w:val="bottom"/>
            <w:tcBorders>
              <w:bottom w:val="single" w:sz="8" w:color="F0FFFF"/>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color w:val="auto"/>
              </w:rPr>
              <w:t>600</w:t>
            </w:r>
          </w:p>
        </w:tc>
        <w:tc>
          <w:tcPr>
            <w:tcW w:w="20" w:type="dxa"/>
            <w:vAlign w:val="bottom"/>
          </w:tcPr>
          <w:p>
            <w:pPr>
              <w:spacing w:after="0"/>
              <w:rPr>
                <w:sz w:val="17"/>
                <w:szCs w:val="17"/>
                <w:color w:val="auto"/>
              </w:rPr>
            </w:pPr>
          </w:p>
        </w:tc>
      </w:tr>
      <w:tr>
        <w:trPr>
          <w:trHeight w:val="206"/>
        </w:trPr>
        <w:tc>
          <w:tcPr>
            <w:tcW w:w="4900" w:type="dxa"/>
            <w:vAlign w:val="bottom"/>
            <w:tcBorders>
              <w:top w:val="single" w:sz="8" w:color="auto"/>
              <w:bottom w:val="single" w:sz="8" w:color="auto"/>
              <w:right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color w:val="auto"/>
              </w:rPr>
              <w:t>Segment Index Performance</w:t>
            </w:r>
            <w:r>
              <w:rPr>
                <w:rFonts w:ascii="Times New Roman" w:cs="Times New Roman" w:eastAsia="Times New Roman" w:hAnsi="Times New Roman"/>
                <w:sz w:val="17"/>
                <w:szCs w:val="17"/>
                <w:color w:val="auto"/>
                <w:vertAlign w:val="superscript"/>
              </w:rPr>
              <w:t>(2)</w:t>
            </w:r>
          </w:p>
        </w:tc>
        <w:tc>
          <w:tcPr>
            <w:tcW w:w="13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w:t>
            </w:r>
          </w:p>
        </w:tc>
        <w:tc>
          <w:tcPr>
            <w:tcW w:w="20" w:type="dxa"/>
            <w:vAlign w:val="bottom"/>
            <w:tcBorders>
              <w:top w:val="single" w:sz="8" w:color="auto"/>
              <w:bottom w:val="single" w:sz="8" w:color="auto"/>
            </w:tcBorders>
          </w:tcPr>
          <w:p>
            <w:pPr>
              <w:spacing w:after="0"/>
              <w:rPr>
                <w:sz w:val="17"/>
                <w:szCs w:val="17"/>
                <w:color w:val="auto"/>
              </w:rPr>
            </w:pPr>
          </w:p>
        </w:tc>
      </w:tr>
      <w:tr>
        <w:trPr>
          <w:trHeight w:val="206"/>
        </w:trPr>
        <w:tc>
          <w:tcPr>
            <w:tcW w:w="4900" w:type="dxa"/>
            <w:vAlign w:val="bottom"/>
            <w:tcBorders>
              <w:bottom w:val="single" w:sz="8" w:color="auto"/>
              <w:right w:val="single" w:sz="8" w:color="auto"/>
            </w:tcBorders>
            <w:gridSpan w:val="2"/>
            <w:shd w:val="clear" w:color="auto" w:fill="F0FFFF"/>
          </w:tcPr>
          <w:p>
            <w:pPr>
              <w:ind w:left="220"/>
              <w:spacing w:after="0"/>
              <w:rPr>
                <w:sz w:val="20"/>
                <w:szCs w:val="20"/>
                <w:color w:val="auto"/>
              </w:rPr>
            </w:pPr>
            <w:r>
              <w:rPr>
                <w:rFonts w:ascii="Times New Roman" w:cs="Times New Roman" w:eastAsia="Times New Roman" w:hAnsi="Times New Roman"/>
                <w:sz w:val="14"/>
                <w:szCs w:val="14"/>
                <w:color w:val="auto"/>
              </w:rPr>
              <w:t>Accrued Cap Rate</w:t>
            </w:r>
            <w:r>
              <w:rPr>
                <w:rFonts w:ascii="Times New Roman" w:cs="Times New Roman" w:eastAsia="Times New Roman" w:hAnsi="Times New Roman"/>
                <w:sz w:val="17"/>
                <w:szCs w:val="17"/>
                <w:color w:val="auto"/>
                <w:vertAlign w:val="superscript"/>
              </w:rPr>
              <w:t>(3)</w:t>
            </w:r>
          </w:p>
        </w:tc>
        <w:tc>
          <w:tcPr>
            <w:tcW w:w="1380" w:type="dxa"/>
            <w:vAlign w:val="bottom"/>
            <w:tcBorders>
              <w:bottom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color w:val="auto"/>
                <w:w w:val="96"/>
              </w:rPr>
              <w:t>5%</w:t>
            </w:r>
          </w:p>
        </w:tc>
        <w:tc>
          <w:tcPr>
            <w:tcW w:w="20" w:type="dxa"/>
            <w:vAlign w:val="bottom"/>
            <w:tcBorders>
              <w:bottom w:val="single" w:sz="8" w:color="auto"/>
            </w:tcBorders>
          </w:tcPr>
          <w:p>
            <w:pPr>
              <w:spacing w:after="0"/>
              <w:rPr>
                <w:sz w:val="17"/>
                <w:szCs w:val="17"/>
                <w:color w:val="auto"/>
              </w:rPr>
            </w:pPr>
          </w:p>
        </w:tc>
      </w:tr>
      <w:tr>
        <w:trPr>
          <w:trHeight w:val="206"/>
        </w:trPr>
        <w:tc>
          <w:tcPr>
            <w:tcW w:w="4900" w:type="dxa"/>
            <w:vAlign w:val="bottom"/>
            <w:tcBorders>
              <w:bottom w:val="single" w:sz="8" w:color="auto"/>
              <w:right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color w:val="auto"/>
              </w:rPr>
              <w:t>Segment Performance Rate</w:t>
            </w:r>
            <w:r>
              <w:rPr>
                <w:rFonts w:ascii="Times New Roman" w:cs="Times New Roman" w:eastAsia="Times New Roman" w:hAnsi="Times New Roman"/>
                <w:sz w:val="17"/>
                <w:szCs w:val="17"/>
                <w:color w:val="auto"/>
                <w:vertAlign w:val="superscript"/>
              </w:rPr>
              <w:t>(4)</w:t>
            </w: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5%</w:t>
            </w:r>
          </w:p>
        </w:tc>
        <w:tc>
          <w:tcPr>
            <w:tcW w:w="20" w:type="dxa"/>
            <w:vAlign w:val="bottom"/>
            <w:tcBorders>
              <w:bottom w:val="single" w:sz="8" w:color="auto"/>
            </w:tcBorders>
          </w:tcPr>
          <w:p>
            <w:pPr>
              <w:spacing w:after="0"/>
              <w:rPr>
                <w:sz w:val="17"/>
                <w:szCs w:val="17"/>
                <w:color w:val="auto"/>
              </w:rPr>
            </w:pPr>
          </w:p>
        </w:tc>
      </w:tr>
      <w:tr>
        <w:trPr>
          <w:trHeight w:val="206"/>
        </w:trPr>
        <w:tc>
          <w:tcPr>
            <w:tcW w:w="4900" w:type="dxa"/>
            <w:vAlign w:val="bottom"/>
            <w:tcBorders>
              <w:bottom w:val="single" w:sz="8" w:color="auto"/>
              <w:right w:val="single" w:sz="8" w:color="auto"/>
            </w:tcBorders>
            <w:gridSpan w:val="2"/>
            <w:shd w:val="clear" w:color="auto" w:fill="F0FFFF"/>
          </w:tcPr>
          <w:p>
            <w:pPr>
              <w:ind w:left="220"/>
              <w:spacing w:after="0"/>
              <w:rPr>
                <w:sz w:val="20"/>
                <w:szCs w:val="20"/>
                <w:color w:val="auto"/>
              </w:rPr>
            </w:pPr>
            <w:r>
              <w:rPr>
                <w:rFonts w:ascii="Times New Roman" w:cs="Times New Roman" w:eastAsia="Times New Roman" w:hAnsi="Times New Roman"/>
                <w:sz w:val="14"/>
                <w:szCs w:val="14"/>
                <w:color w:val="auto"/>
              </w:rPr>
              <w:t>Accrued Index Return</w:t>
            </w:r>
            <w:r>
              <w:rPr>
                <w:rFonts w:ascii="Times New Roman" w:cs="Times New Roman" w:eastAsia="Times New Roman" w:hAnsi="Times New Roman"/>
                <w:sz w:val="17"/>
                <w:szCs w:val="17"/>
                <w:color w:val="auto"/>
                <w:vertAlign w:val="superscript"/>
              </w:rPr>
              <w:t>(5)</w:t>
            </w:r>
          </w:p>
        </w:tc>
        <w:tc>
          <w:tcPr>
            <w:tcW w:w="1380" w:type="dxa"/>
            <w:vAlign w:val="bottom"/>
            <w:tcBorders>
              <w:bottom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color w:val="auto"/>
                <w:w w:val="98"/>
              </w:rPr>
              <w:t>$2,500</w:t>
            </w:r>
          </w:p>
        </w:tc>
        <w:tc>
          <w:tcPr>
            <w:tcW w:w="20" w:type="dxa"/>
            <w:vAlign w:val="bottom"/>
            <w:tcBorders>
              <w:bottom w:val="single" w:sz="8" w:color="auto"/>
            </w:tcBorders>
          </w:tcPr>
          <w:p>
            <w:pPr>
              <w:spacing w:after="0"/>
              <w:rPr>
                <w:sz w:val="17"/>
                <w:szCs w:val="17"/>
                <w:color w:val="auto"/>
              </w:rPr>
            </w:pPr>
          </w:p>
        </w:tc>
      </w:tr>
      <w:tr>
        <w:trPr>
          <w:trHeight w:val="191"/>
        </w:trPr>
        <w:tc>
          <w:tcPr>
            <w:tcW w:w="4900" w:type="dxa"/>
            <w:vAlign w:val="bottom"/>
            <w:tcBorders>
              <w:bottom w:val="single" w:sz="8" w:color="auto"/>
              <w:right w:val="single" w:sz="8" w:color="auto"/>
            </w:tcBorders>
            <w:gridSpan w:val="2"/>
          </w:tcPr>
          <w:p>
            <w:pPr>
              <w:ind w:left="220"/>
              <w:spacing w:after="0" w:line="191" w:lineRule="exact"/>
              <w:rPr>
                <w:sz w:val="20"/>
                <w:szCs w:val="20"/>
                <w:color w:val="auto"/>
              </w:rPr>
            </w:pPr>
            <w:r>
              <w:rPr>
                <w:rFonts w:ascii="Times New Roman" w:cs="Times New Roman" w:eastAsia="Times New Roman" w:hAnsi="Times New Roman"/>
                <w:sz w:val="14"/>
                <w:szCs w:val="14"/>
                <w:b w:val="1"/>
                <w:bCs w:val="1"/>
                <w:color w:val="auto"/>
              </w:rPr>
              <w:t>Interim Segment Value</w:t>
            </w:r>
            <w:r>
              <w:rPr>
                <w:rFonts w:ascii="Times New Roman" w:cs="Times New Roman" w:eastAsia="Times New Roman" w:hAnsi="Times New Roman"/>
                <w:sz w:val="17"/>
                <w:szCs w:val="17"/>
                <w:b w:val="1"/>
                <w:bCs w:val="1"/>
                <w:color w:val="auto"/>
                <w:vertAlign w:val="superscript"/>
              </w:rPr>
              <w:t>(6)</w:t>
            </w: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$52,500</w:t>
            </w:r>
          </w:p>
        </w:tc>
        <w:tc>
          <w:tcPr>
            <w:tcW w:w="20" w:type="dxa"/>
            <w:vAlign w:val="bottom"/>
            <w:tcBorders>
              <w:bottom w:val="single" w:sz="8" w:color="auto"/>
            </w:tcBorders>
          </w:tcPr>
          <w:p>
            <w:pPr>
              <w:spacing w:after="0"/>
              <w:rPr>
                <w:sz w:val="16"/>
                <w:szCs w:val="16"/>
                <w:color w:val="auto"/>
              </w:rPr>
            </w:pPr>
          </w:p>
        </w:tc>
      </w:tr>
      <w:tr>
        <w:trPr>
          <w:trHeight w:val="140"/>
        </w:trPr>
        <w:tc>
          <w:tcPr>
            <w:tcW w:w="840" w:type="dxa"/>
            <w:vAlign w:val="bottom"/>
            <w:tcBorders>
              <w:bottom w:val="single" w:sz="8" w:color="auto"/>
            </w:tcBorders>
          </w:tcPr>
          <w:p>
            <w:pPr>
              <w:spacing w:after="0"/>
              <w:rPr>
                <w:sz w:val="12"/>
                <w:szCs w:val="12"/>
                <w:color w:val="auto"/>
              </w:rPr>
            </w:pPr>
          </w:p>
        </w:tc>
        <w:tc>
          <w:tcPr>
            <w:tcW w:w="40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518795</wp:posOffset>
            </wp:positionH>
            <wp:positionV relativeFrom="paragraph">
              <wp:posOffset>-31750</wp:posOffset>
            </wp:positionV>
            <wp:extent cx="31750" cy="450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1750" cy="4508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-31750</wp:posOffset>
            </wp:positionV>
            <wp:extent cx="31750" cy="450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1750" cy="45085"/>
                    </a:xfrm>
                    <a:prstGeom prst="rect">
                      <a:avLst/>
                    </a:prstGeom>
                    <a:noFill/>
                  </pic:spPr>
                </pic:pic>
              </a:graphicData>
            </a:graphic>
          </wp:anchor>
        </w:drawing>
      </w:r>
    </w:p>
    <w:p>
      <w:pPr>
        <w:spacing w:after="0" w:line="50" w:lineRule="exact"/>
        <w:rPr>
          <w:sz w:val="20"/>
          <w:szCs w:val="20"/>
          <w:color w:val="auto"/>
        </w:rPr>
      </w:pPr>
    </w:p>
    <w:p>
      <w:pPr>
        <w:ind w:left="5"/>
        <w:spacing w:after="0"/>
        <w:rPr>
          <w:sz w:val="20"/>
          <w:szCs w:val="20"/>
          <w:color w:val="auto"/>
        </w:rPr>
      </w:pPr>
      <w:r>
        <w:rPr>
          <w:rFonts w:ascii="Times New Roman" w:cs="Times New Roman" w:eastAsia="Times New Roman" w:hAnsi="Times New Roman"/>
          <w:sz w:val="13"/>
          <w:szCs w:val="13"/>
          <w:color w:val="auto"/>
        </w:rPr>
        <w:t>The following notes to the table above provide important calculations showing how certain values are determined.</w:t>
      </w:r>
    </w:p>
    <w:p>
      <w:pPr>
        <w:spacing w:after="0" w:line="56" w:lineRule="exact"/>
        <w:rPr>
          <w:sz w:val="20"/>
          <w:szCs w:val="20"/>
          <w:color w:val="auto"/>
        </w:rPr>
      </w:pPr>
    </w:p>
    <w:p>
      <w:pPr>
        <w:jc w:val="both"/>
        <w:ind w:left="265" w:right="2999" w:hanging="265"/>
        <w:spacing w:after="0" w:line="218" w:lineRule="auto"/>
        <w:tabs>
          <w:tab w:leader="none" w:pos="265" w:val="left"/>
        </w:tabs>
        <w:numPr>
          <w:ilvl w:val="0"/>
          <w:numId w:val="20"/>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On the Policy Start Date and each Policy Anniversary thereafter, we deduct the charges for the Annual Deduction from your Cash Value. The Annual Deduction for each Policy Year will be taken from any Indexed Account according to the Policy Deduction Method. For purposes of this example, assume the Annual Deduction is $1,000.</w:t>
      </w:r>
    </w:p>
    <w:p>
      <w:pPr>
        <w:spacing w:after="0" w:line="31" w:lineRule="exact"/>
        <w:rPr>
          <w:rFonts w:ascii="Times New Roman" w:cs="Times New Roman" w:eastAsia="Times New Roman" w:hAnsi="Times New Roman"/>
          <w:sz w:val="18"/>
          <w:szCs w:val="18"/>
          <w:color w:val="auto"/>
          <w:vertAlign w:val="superscript"/>
        </w:rPr>
      </w:pPr>
    </w:p>
    <w:p>
      <w:pPr>
        <w:jc w:val="both"/>
        <w:ind w:left="265" w:right="2999" w:hanging="265"/>
        <w:spacing w:after="0" w:line="219" w:lineRule="auto"/>
        <w:tabs>
          <w:tab w:leader="none" w:pos="265" w:val="left"/>
        </w:tabs>
        <w:numPr>
          <w:ilvl w:val="0"/>
          <w:numId w:val="20"/>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Segment Index Performance is equal to the percentage change in the Closing Value of the Index measured from the Segment Start Date to the date of the Interim Segment Value calculation. Segment Index Performance is calculated as follows:</w:t>
      </w:r>
    </w:p>
    <w:p>
      <w:pPr>
        <w:spacing w:after="0" w:line="39" w:lineRule="exact"/>
        <w:rPr>
          <w:sz w:val="20"/>
          <w:szCs w:val="20"/>
          <w:color w:val="auto"/>
        </w:rPr>
      </w:pPr>
    </w:p>
    <w:p>
      <w:pPr>
        <w:ind w:left="945"/>
        <w:spacing w:after="0"/>
        <w:rPr>
          <w:sz w:val="20"/>
          <w:szCs w:val="20"/>
          <w:color w:val="auto"/>
        </w:rPr>
      </w:pPr>
      <w:r>
        <w:rPr>
          <w:rFonts w:ascii="Times New Roman" w:cs="Times New Roman" w:eastAsia="Times New Roman" w:hAnsi="Times New Roman"/>
          <w:sz w:val="14"/>
          <w:szCs w:val="14"/>
          <w:color w:val="auto"/>
        </w:rPr>
        <w:t>(600 [Closing Value of the Index on date of Interim Segment Value calculation]</w:t>
      </w:r>
    </w:p>
    <w:p>
      <w:pPr>
        <w:ind w:left="1365" w:hanging="114"/>
        <w:spacing w:after="0"/>
        <w:tabs>
          <w:tab w:leader="none" w:pos="1365" w:val="left"/>
        </w:tabs>
        <w:numPr>
          <w:ilvl w:val="1"/>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500 [Closing Value of the Index at Segment Start Date]) – 1 = 20%</w:t>
      </w:r>
    </w:p>
    <w:p>
      <w:pPr>
        <w:spacing w:after="0" w:line="30" w:lineRule="exact"/>
        <w:rPr>
          <w:rFonts w:ascii="Times New Roman" w:cs="Times New Roman" w:eastAsia="Times New Roman" w:hAnsi="Times New Roman"/>
          <w:sz w:val="14"/>
          <w:szCs w:val="14"/>
          <w:color w:val="auto"/>
        </w:rPr>
      </w:pPr>
    </w:p>
    <w:p>
      <w:pPr>
        <w:jc w:val="both"/>
        <w:ind w:left="265" w:right="2999" w:hanging="265"/>
        <w:spacing w:after="0" w:line="219" w:lineRule="auto"/>
        <w:tabs>
          <w:tab w:leader="none" w:pos="265" w:val="left"/>
        </w:tabs>
        <w:numPr>
          <w:ilvl w:val="0"/>
          <w:numId w:val="21"/>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Accrued Cap Rate is equal to the Cap Rate multiplied by the number of days elapsed since the Segment Start Date divided by the total number of days in the Segment Term. The Accrued Cap Rate is calculated as follows:</w:t>
      </w:r>
    </w:p>
    <w:p>
      <w:pPr>
        <w:spacing w:after="0" w:line="32" w:lineRule="exact"/>
        <w:rPr>
          <w:sz w:val="20"/>
          <w:szCs w:val="20"/>
          <w:color w:val="auto"/>
        </w:rPr>
      </w:pPr>
    </w:p>
    <w:p>
      <w:pPr>
        <w:jc w:val="center"/>
        <w:ind w:right="2974"/>
        <w:spacing w:after="0"/>
        <w:rPr>
          <w:sz w:val="20"/>
          <w:szCs w:val="20"/>
          <w:color w:val="auto"/>
        </w:rPr>
      </w:pPr>
      <w:r>
        <w:rPr>
          <w:rFonts w:ascii="Times New Roman" w:cs="Times New Roman" w:eastAsia="Times New Roman" w:hAnsi="Times New Roman"/>
          <w:sz w:val="14"/>
          <w:szCs w:val="14"/>
          <w:color w:val="auto"/>
        </w:rPr>
        <w:t>10% [Cap Rate] x 183 [number of days elapsed since the Segment Start Date]</w:t>
      </w:r>
    </w:p>
    <w:p>
      <w:pPr>
        <w:spacing w:after="0" w:line="2" w:lineRule="exact"/>
        <w:rPr>
          <w:sz w:val="20"/>
          <w:szCs w:val="20"/>
          <w:color w:val="auto"/>
        </w:rPr>
      </w:pPr>
    </w:p>
    <w:p>
      <w:pPr>
        <w:jc w:val="center"/>
        <w:ind w:right="2934"/>
        <w:spacing w:after="0"/>
        <w:rPr>
          <w:sz w:val="20"/>
          <w:szCs w:val="20"/>
          <w:color w:val="auto"/>
        </w:rPr>
      </w:pPr>
      <w:r>
        <w:rPr>
          <w:rFonts w:ascii="Times New Roman" w:cs="Times New Roman" w:eastAsia="Times New Roman" w:hAnsi="Times New Roman"/>
          <w:sz w:val="14"/>
          <w:szCs w:val="14"/>
          <w:color w:val="auto"/>
        </w:rPr>
        <w:t>÷ 365 [total number of days in the Segment Term] = 5%</w:t>
      </w:r>
    </w:p>
    <w:p>
      <w:pPr>
        <w:ind w:left="5"/>
        <w:spacing w:after="0"/>
        <w:rPr>
          <w:sz w:val="20"/>
          <w:szCs w:val="20"/>
          <w:color w:val="auto"/>
        </w:rPr>
      </w:pPr>
      <w:r>
        <w:rPr>
          <w:rFonts w:ascii="Times New Roman" w:cs="Times New Roman" w:eastAsia="Times New Roman" w:hAnsi="Times New Roman"/>
          <w:sz w:val="4"/>
          <w:szCs w:val="4"/>
          <w:color w:val="auto"/>
        </w:rPr>
        <w:t>(4)</w:t>
      </w:r>
    </w:p>
    <w:p>
      <w:pPr>
        <w:spacing w:after="0" w:line="4" w:lineRule="exact"/>
        <w:rPr>
          <w:sz w:val="20"/>
          <w:szCs w:val="20"/>
          <w:color w:val="auto"/>
        </w:rPr>
      </w:pPr>
    </w:p>
    <w:p>
      <w:pPr>
        <w:jc w:val="both"/>
        <w:ind w:left="265" w:right="2999"/>
        <w:spacing w:after="0" w:line="231" w:lineRule="auto"/>
        <w:rPr>
          <w:sz w:val="20"/>
          <w:szCs w:val="20"/>
          <w:color w:val="auto"/>
        </w:rPr>
      </w:pPr>
      <w:r>
        <w:rPr>
          <w:rFonts w:ascii="Times New Roman" w:cs="Times New Roman" w:eastAsia="Times New Roman" w:hAnsi="Times New Roman"/>
          <w:sz w:val="14"/>
          <w:szCs w:val="14"/>
          <w:color w:val="auto"/>
        </w:rPr>
        <w:t>The Segment Performance Rate is equal to the Accrued Cap Rate because it cannot exceed the Accrued Cap Rate even though the Segment Index Performance was at 20% and the Cap Rate is 10%.</w:t>
      </w:r>
    </w:p>
    <w:p>
      <w:pPr>
        <w:ind w:left="5"/>
        <w:spacing w:after="0"/>
        <w:rPr>
          <w:sz w:val="20"/>
          <w:szCs w:val="20"/>
          <w:color w:val="auto"/>
        </w:rPr>
      </w:pPr>
      <w:r>
        <w:rPr>
          <w:rFonts w:ascii="Times New Roman" w:cs="Times New Roman" w:eastAsia="Times New Roman" w:hAnsi="Times New Roman"/>
          <w:sz w:val="4"/>
          <w:szCs w:val="4"/>
          <w:color w:val="auto"/>
        </w:rPr>
        <w:t>(5)</w:t>
      </w:r>
    </w:p>
    <w:p>
      <w:pPr>
        <w:spacing w:after="0" w:line="4" w:lineRule="exact"/>
        <w:rPr>
          <w:sz w:val="20"/>
          <w:szCs w:val="20"/>
          <w:color w:val="auto"/>
        </w:rPr>
      </w:pPr>
    </w:p>
    <w:p>
      <w:pPr>
        <w:jc w:val="both"/>
        <w:ind w:left="265" w:right="2999"/>
        <w:spacing w:after="0" w:line="229" w:lineRule="auto"/>
        <w:rPr>
          <w:sz w:val="20"/>
          <w:szCs w:val="20"/>
          <w:color w:val="auto"/>
        </w:rPr>
      </w:pPr>
      <w:r>
        <w:rPr>
          <w:rFonts w:ascii="Times New Roman" w:cs="Times New Roman" w:eastAsia="Times New Roman" w:hAnsi="Times New Roman"/>
          <w:sz w:val="14"/>
          <w:szCs w:val="14"/>
          <w:color w:val="auto"/>
        </w:rPr>
        <w:t>The Accrued Index Return is equal to the product of the current Segment Value (Segment Value at the Segment Start Date adjusted for any loans and Accelerated Death Benefit payment; there are no adjustments in the example) multiplied by the Segment Performance Rate. The Accrued Index Return is calculated as follows:</w:t>
      </w:r>
    </w:p>
    <w:p>
      <w:pPr>
        <w:spacing w:after="0" w:line="30" w:lineRule="exact"/>
        <w:rPr>
          <w:sz w:val="20"/>
          <w:szCs w:val="20"/>
          <w:color w:val="auto"/>
        </w:rPr>
      </w:pPr>
    </w:p>
    <w:p>
      <w:pPr>
        <w:ind w:left="1005"/>
        <w:spacing w:after="0"/>
        <w:rPr>
          <w:sz w:val="20"/>
          <w:szCs w:val="20"/>
          <w:color w:val="auto"/>
        </w:rPr>
      </w:pPr>
      <w:r>
        <w:rPr>
          <w:rFonts w:ascii="Times New Roman" w:cs="Times New Roman" w:eastAsia="Times New Roman" w:hAnsi="Times New Roman"/>
          <w:sz w:val="14"/>
          <w:szCs w:val="14"/>
          <w:color w:val="auto"/>
        </w:rPr>
        <w:t>$50,000 [current Segment Value] x 5% [Segment Performance Rate] = $2,500</w:t>
      </w:r>
    </w:p>
    <w:p>
      <w:pPr>
        <w:ind w:left="5"/>
        <w:spacing w:after="0" w:line="204" w:lineRule="auto"/>
        <w:rPr>
          <w:sz w:val="20"/>
          <w:szCs w:val="20"/>
          <w:color w:val="auto"/>
        </w:rPr>
      </w:pPr>
      <w:r>
        <w:rPr>
          <w:rFonts w:ascii="Times New Roman" w:cs="Times New Roman" w:eastAsia="Times New Roman" w:hAnsi="Times New Roman"/>
          <w:sz w:val="6"/>
          <w:szCs w:val="6"/>
          <w:color w:val="auto"/>
        </w:rPr>
        <w:t>(6)</w:t>
      </w:r>
    </w:p>
    <w:p>
      <w:pPr>
        <w:jc w:val="both"/>
        <w:ind w:left="265" w:right="2999"/>
        <w:spacing w:after="0" w:line="228" w:lineRule="auto"/>
        <w:rPr>
          <w:sz w:val="20"/>
          <w:szCs w:val="20"/>
          <w:color w:val="auto"/>
        </w:rPr>
      </w:pPr>
      <w:r>
        <w:rPr>
          <w:rFonts w:ascii="Times New Roman" w:cs="Times New Roman" w:eastAsia="Times New Roman" w:hAnsi="Times New Roman"/>
          <w:sz w:val="14"/>
          <w:szCs w:val="14"/>
          <w:color w:val="auto"/>
        </w:rPr>
        <w:t>The Interim Segment Value is equal to the current Segment Value (Segment Value at the Segment Start Date adjusted for any loans and Accelerated Death Benefit payment; there are no adjustments in the example) plus the Accrued Index Return. The Interim Segment Value is calculated as follows:</w:t>
      </w:r>
    </w:p>
    <w:p>
      <w:pPr>
        <w:spacing w:after="0" w:line="31" w:lineRule="exact"/>
        <w:rPr>
          <w:sz w:val="20"/>
          <w:szCs w:val="20"/>
          <w:color w:val="auto"/>
        </w:rPr>
      </w:pPr>
    </w:p>
    <w:p>
      <w:pPr>
        <w:ind w:left="1005"/>
        <w:spacing w:after="0"/>
        <w:rPr>
          <w:sz w:val="20"/>
          <w:szCs w:val="20"/>
          <w:color w:val="auto"/>
        </w:rPr>
      </w:pPr>
      <w:r>
        <w:rPr>
          <w:rFonts w:ascii="Times New Roman" w:cs="Times New Roman" w:eastAsia="Times New Roman" w:hAnsi="Times New Roman"/>
          <w:sz w:val="14"/>
          <w:szCs w:val="14"/>
          <w:color w:val="auto"/>
        </w:rPr>
        <w:t>$50,000 [current Segment Value] + $2,500 [Accrued Index Return] = $52,500</w:t>
      </w:r>
    </w:p>
    <w:p>
      <w:pPr>
        <w:spacing w:after="0" w:line="353" w:lineRule="exact"/>
        <w:rPr>
          <w:sz w:val="20"/>
          <w:szCs w:val="20"/>
          <w:color w:val="auto"/>
        </w:rPr>
      </w:pPr>
    </w:p>
    <w:p>
      <w:pPr>
        <w:ind w:left="3085"/>
        <w:spacing w:after="0"/>
        <w:rPr>
          <w:sz w:val="20"/>
          <w:szCs w:val="20"/>
          <w:color w:val="auto"/>
        </w:rPr>
      </w:pPr>
      <w:r>
        <w:rPr>
          <w:rFonts w:ascii="Times New Roman" w:cs="Times New Roman" w:eastAsia="Times New Roman" w:hAnsi="Times New Roman"/>
          <w:sz w:val="14"/>
          <w:szCs w:val="14"/>
          <w:color w:val="auto"/>
        </w:rPr>
        <w:t>36</w:t>
      </w:r>
    </w:p>
    <w:p>
      <w:pPr>
        <w:sectPr>
          <w:pgSz w:w="11900" w:h="16838" w:orient="portrait"/>
          <w:cols w:equalWidth="0" w:num="1">
            <w:col w:w="9224"/>
          </w:cols>
          <w:pgMar w:left="1235" w:top="1068" w:right="1440" w:bottom="1440" w:gutter="0" w:footer="0" w:header="0"/>
        </w:sectPr>
      </w:pPr>
    </w:p>
    <w:bookmarkStart w:id="39" w:name="page40"/>
    <w:bookmarkEnd w:id="39"/>
    <w:p>
      <w:pPr>
        <w:ind w:left="5"/>
        <w:spacing w:after="0"/>
        <w:rPr>
          <w:sz w:val="20"/>
          <w:szCs w:val="20"/>
          <w:color w:val="auto"/>
        </w:rPr>
      </w:pPr>
      <w:r>
        <w:rPr>
          <w:rFonts w:ascii="Times New Roman" w:cs="Times New Roman" w:eastAsia="Times New Roman" w:hAnsi="Times New Roman"/>
          <w:sz w:val="14"/>
          <w:szCs w:val="14"/>
          <w:u w:val="single" w:color="auto"/>
          <w:color w:val="auto"/>
        </w:rPr>
        <w:drawing>
          <wp:anchor simplePos="0" relativeHeight="251657728" behindDoc="1" locked="0" layoutInCell="0" allowOverlap="1">
            <wp:simplePos x="0" y="0"/>
            <wp:positionH relativeFrom="page">
              <wp:posOffset>179070</wp:posOffset>
            </wp:positionH>
            <wp:positionV relativeFrom="page">
              <wp:posOffset>422275</wp:posOffset>
            </wp:positionV>
            <wp:extent cx="719010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90105" cy="38735"/>
                    </a:xfrm>
                    <a:prstGeom prst="rect">
                      <a:avLst/>
                    </a:prstGeom>
                    <a:noFill/>
                  </pic:spPr>
                </pic:pic>
              </a:graphicData>
            </a:graphic>
          </wp:anchor>
        </w:drawing>
        <w:t>Example 2B—Negative Segment Index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4003675" cy="18415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003675" cy="1841500"/>
                    </a:xfrm>
                    <a:prstGeom prst="rect">
                      <a:avLst/>
                    </a:prstGeom>
                    <a:noFill/>
                  </pic:spPr>
                </pic:pic>
              </a:graphicData>
            </a:graphic>
          </wp:anchor>
        </w:drawing>
      </w:r>
    </w:p>
    <w:p>
      <w:pPr>
        <w:spacing w:after="0" w:line="62" w:lineRule="exact"/>
        <w:rPr>
          <w:sz w:val="20"/>
          <w:szCs w:val="20"/>
          <w:color w:val="auto"/>
        </w:rPr>
      </w:pPr>
    </w:p>
    <w:p>
      <w:pPr>
        <w:ind w:left="85"/>
        <w:spacing w:after="0"/>
        <w:rPr>
          <w:sz w:val="20"/>
          <w:szCs w:val="20"/>
          <w:color w:val="auto"/>
        </w:rPr>
      </w:pPr>
      <w:r>
        <w:rPr>
          <w:rFonts w:ascii="Times New Roman" w:cs="Times New Roman" w:eastAsia="Times New Roman" w:hAnsi="Times New Roman"/>
          <w:sz w:val="14"/>
          <w:szCs w:val="14"/>
          <w:b w:val="1"/>
          <w:bCs w:val="1"/>
          <w:color w:val="auto"/>
        </w:rPr>
        <w:t>Segment Start Date</w:t>
      </w:r>
    </w:p>
    <w:p>
      <w:pPr>
        <w:spacing w:after="0" w:line="21" w:lineRule="exact"/>
        <w:rPr>
          <w:sz w:val="20"/>
          <w:szCs w:val="20"/>
          <w:color w:val="auto"/>
        </w:rPr>
      </w:pPr>
    </w:p>
    <w:tbl>
      <w:tblPr>
        <w:tblLayout w:type="fixed"/>
        <w:tblInd w:w="5" w:type="dxa"/>
        <w:tblCellMar>
          <w:top w:w="0" w:type="dxa"/>
          <w:left w:w="0" w:type="dxa"/>
          <w:bottom w:w="0" w:type="dxa"/>
          <w:right w:w="0" w:type="dxa"/>
        </w:tblCellMar>
      </w:tblPr>
      <w:tr>
        <w:trPr>
          <w:trHeight w:val="226"/>
        </w:trPr>
        <w:tc>
          <w:tcPr>
            <w:tcW w:w="4900" w:type="dxa"/>
            <w:vAlign w:val="bottom"/>
            <w:tcBorders>
              <w:top w:val="single" w:sz="8" w:color="auto"/>
              <w:bottom w:val="single" w:sz="8" w:color="auto"/>
              <w:right w:val="single" w:sz="8" w:color="auto"/>
            </w:tcBorders>
            <w:gridSpan w:val="2"/>
            <w:shd w:val="clear" w:color="auto" w:fill="F0FFFF"/>
          </w:tcPr>
          <w:p>
            <w:pPr>
              <w:ind w:left="220"/>
              <w:spacing w:after="0"/>
              <w:rPr>
                <w:sz w:val="20"/>
                <w:szCs w:val="20"/>
                <w:color w:val="auto"/>
              </w:rPr>
            </w:pPr>
            <w:r>
              <w:rPr>
                <w:rFonts w:ascii="Times New Roman" w:cs="Times New Roman" w:eastAsia="Times New Roman" w:hAnsi="Times New Roman"/>
                <w:sz w:val="14"/>
                <w:szCs w:val="14"/>
                <w:color w:val="auto"/>
              </w:rPr>
              <w:t>Segment Value (before deducting the Annual Deduction)</w:t>
            </w:r>
            <w:r>
              <w:rPr>
                <w:rFonts w:ascii="Times New Roman" w:cs="Times New Roman" w:eastAsia="Times New Roman" w:hAnsi="Times New Roman"/>
                <w:sz w:val="17"/>
                <w:szCs w:val="17"/>
                <w:color w:val="auto"/>
                <w:vertAlign w:val="superscript"/>
              </w:rPr>
              <w:t>(1)</w:t>
            </w:r>
          </w:p>
        </w:tc>
        <w:tc>
          <w:tcPr>
            <w:tcW w:w="1380" w:type="dxa"/>
            <w:vAlign w:val="bottom"/>
            <w:tcBorders>
              <w:top w:val="single" w:sz="8" w:color="auto"/>
              <w:bottom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color w:val="auto"/>
              </w:rPr>
              <w:t>$51,000</w:t>
            </w:r>
          </w:p>
        </w:tc>
        <w:tc>
          <w:tcPr>
            <w:tcW w:w="20" w:type="dxa"/>
            <w:vAlign w:val="bottom"/>
            <w:tcBorders>
              <w:top w:val="single" w:sz="8" w:color="auto"/>
              <w:bottom w:val="single" w:sz="8" w:color="auto"/>
            </w:tcBorders>
          </w:tcPr>
          <w:p>
            <w:pPr>
              <w:spacing w:after="0"/>
              <w:rPr>
                <w:sz w:val="19"/>
                <w:szCs w:val="19"/>
                <w:color w:val="auto"/>
              </w:rPr>
            </w:pPr>
          </w:p>
        </w:tc>
      </w:tr>
      <w:tr>
        <w:trPr>
          <w:trHeight w:val="206"/>
        </w:trPr>
        <w:tc>
          <w:tcPr>
            <w:tcW w:w="4900" w:type="dxa"/>
            <w:vAlign w:val="bottom"/>
            <w:tcBorders>
              <w:bottom w:val="single" w:sz="8" w:color="auto"/>
              <w:right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color w:val="auto"/>
              </w:rPr>
              <w:t>Segment Value (after deducting the Annual Deduction)</w:t>
            </w:r>
            <w:r>
              <w:rPr>
                <w:rFonts w:ascii="Times New Roman" w:cs="Times New Roman" w:eastAsia="Times New Roman" w:hAnsi="Times New Roman"/>
                <w:sz w:val="17"/>
                <w:szCs w:val="17"/>
                <w:color w:val="auto"/>
                <w:vertAlign w:val="superscript"/>
              </w:rPr>
              <w:t>(1)</w:t>
            </w: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$50,000</w:t>
            </w:r>
          </w:p>
        </w:tc>
        <w:tc>
          <w:tcPr>
            <w:tcW w:w="20" w:type="dxa"/>
            <w:vAlign w:val="bottom"/>
            <w:tcBorders>
              <w:bottom w:val="single" w:sz="8" w:color="auto"/>
            </w:tcBorders>
          </w:tcPr>
          <w:p>
            <w:pPr>
              <w:spacing w:after="0"/>
              <w:rPr>
                <w:sz w:val="17"/>
                <w:szCs w:val="17"/>
                <w:color w:val="auto"/>
              </w:rPr>
            </w:pPr>
          </w:p>
        </w:tc>
      </w:tr>
      <w:tr>
        <w:trPr>
          <w:trHeight w:val="196"/>
        </w:trPr>
        <w:tc>
          <w:tcPr>
            <w:tcW w:w="4900" w:type="dxa"/>
            <w:vAlign w:val="bottom"/>
            <w:tcBorders>
              <w:bottom w:val="single" w:sz="8" w:color="F0FFFF"/>
              <w:right w:val="single" w:sz="8" w:color="auto"/>
            </w:tcBorders>
            <w:gridSpan w:val="2"/>
            <w:shd w:val="clear" w:color="auto" w:fill="F0FFFF"/>
          </w:tcPr>
          <w:p>
            <w:pPr>
              <w:ind w:left="220"/>
              <w:spacing w:after="0"/>
              <w:rPr>
                <w:sz w:val="20"/>
                <w:szCs w:val="20"/>
                <w:color w:val="auto"/>
              </w:rPr>
            </w:pPr>
            <w:r>
              <w:rPr>
                <w:rFonts w:ascii="Times New Roman" w:cs="Times New Roman" w:eastAsia="Times New Roman" w:hAnsi="Times New Roman"/>
                <w:sz w:val="14"/>
                <w:szCs w:val="14"/>
                <w:color w:val="auto"/>
              </w:rPr>
              <w:t>Buffer Rate</w:t>
            </w:r>
          </w:p>
        </w:tc>
        <w:tc>
          <w:tcPr>
            <w:tcW w:w="1380" w:type="dxa"/>
            <w:vAlign w:val="bottom"/>
            <w:tcBorders>
              <w:bottom w:val="single" w:sz="8" w:color="F0FFFF"/>
            </w:tcBorders>
            <w:shd w:val="clear" w:color="auto" w:fill="F0FFFF"/>
          </w:tcPr>
          <w:p>
            <w:pPr>
              <w:ind w:left="420"/>
              <w:spacing w:after="0"/>
              <w:rPr>
                <w:sz w:val="20"/>
                <w:szCs w:val="20"/>
                <w:color w:val="auto"/>
              </w:rPr>
            </w:pPr>
            <w:r>
              <w:rPr>
                <w:rFonts w:ascii="Times New Roman" w:cs="Times New Roman" w:eastAsia="Times New Roman" w:hAnsi="Times New Roman"/>
                <w:sz w:val="14"/>
                <w:szCs w:val="14"/>
                <w:color w:val="auto"/>
              </w:rPr>
              <w:t>Buffer 10</w:t>
            </w:r>
          </w:p>
        </w:tc>
        <w:tc>
          <w:tcPr>
            <w:tcW w:w="20" w:type="dxa"/>
            <w:vAlign w:val="bottom"/>
          </w:tcPr>
          <w:p>
            <w:pPr>
              <w:spacing w:after="0"/>
              <w:rPr>
                <w:sz w:val="17"/>
                <w:szCs w:val="17"/>
                <w:color w:val="auto"/>
              </w:rPr>
            </w:pPr>
          </w:p>
        </w:tc>
      </w:tr>
      <w:tr>
        <w:trPr>
          <w:trHeight w:val="174"/>
        </w:trPr>
        <w:tc>
          <w:tcPr>
            <w:tcW w:w="4900" w:type="dxa"/>
            <w:vAlign w:val="bottom"/>
            <w:tcBorders>
              <w:top w:val="single" w:sz="8" w:color="auto"/>
              <w:right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color w:val="auto"/>
              </w:rPr>
              <w:t>Cap Rate</w:t>
            </w:r>
          </w:p>
        </w:tc>
        <w:tc>
          <w:tcPr>
            <w:tcW w:w="1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10%</w:t>
            </w:r>
          </w:p>
        </w:tc>
        <w:tc>
          <w:tcPr>
            <w:tcW w:w="20" w:type="dxa"/>
            <w:vAlign w:val="bottom"/>
            <w:tcBorders>
              <w:top w:val="single" w:sz="8" w:color="auto"/>
            </w:tcBorders>
          </w:tcPr>
          <w:p>
            <w:pPr>
              <w:spacing w:after="0"/>
              <w:rPr>
                <w:sz w:val="15"/>
                <w:szCs w:val="15"/>
                <w:color w:val="auto"/>
              </w:rPr>
            </w:pPr>
          </w:p>
        </w:tc>
      </w:tr>
      <w:tr>
        <w:trPr>
          <w:trHeight w:val="22"/>
        </w:trPr>
        <w:tc>
          <w:tcPr>
            <w:tcW w:w="840" w:type="dxa"/>
            <w:vAlign w:val="bottom"/>
            <w:tcBorders>
              <w:bottom w:val="single" w:sz="8" w:color="auto"/>
            </w:tcBorders>
          </w:tcPr>
          <w:p>
            <w:pPr>
              <w:spacing w:after="0" w:line="20" w:lineRule="exact"/>
              <w:rPr>
                <w:sz w:val="1"/>
                <w:szCs w:val="1"/>
                <w:color w:val="auto"/>
              </w:rPr>
            </w:pPr>
          </w:p>
        </w:tc>
        <w:tc>
          <w:tcPr>
            <w:tcW w:w="4060" w:type="dxa"/>
            <w:vAlign w:val="bottom"/>
            <w:tcBorders>
              <w:bottom w:val="single" w:sz="8" w:color="auto"/>
              <w:right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196"/>
        </w:trPr>
        <w:tc>
          <w:tcPr>
            <w:tcW w:w="4900" w:type="dxa"/>
            <w:vAlign w:val="bottom"/>
            <w:tcBorders>
              <w:bottom w:val="single" w:sz="8" w:color="F0FFFF"/>
              <w:right w:val="single" w:sz="8" w:color="auto"/>
            </w:tcBorders>
            <w:gridSpan w:val="2"/>
            <w:shd w:val="clear" w:color="auto" w:fill="F0FFFF"/>
          </w:tcPr>
          <w:p>
            <w:pPr>
              <w:ind w:left="220"/>
              <w:spacing w:after="0"/>
              <w:rPr>
                <w:sz w:val="20"/>
                <w:szCs w:val="20"/>
                <w:color w:val="auto"/>
              </w:rPr>
            </w:pPr>
            <w:r>
              <w:rPr>
                <w:rFonts w:ascii="Times New Roman" w:cs="Times New Roman" w:eastAsia="Times New Roman" w:hAnsi="Times New Roman"/>
                <w:sz w:val="14"/>
                <w:szCs w:val="14"/>
                <w:color w:val="auto"/>
              </w:rPr>
              <w:t>Closing Value of the Index</w:t>
            </w:r>
          </w:p>
        </w:tc>
        <w:tc>
          <w:tcPr>
            <w:tcW w:w="1380" w:type="dxa"/>
            <w:vAlign w:val="bottom"/>
            <w:tcBorders>
              <w:bottom w:val="single" w:sz="8" w:color="F0FFFF"/>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color w:val="auto"/>
              </w:rPr>
              <w:t>500</w:t>
            </w:r>
          </w:p>
        </w:tc>
        <w:tc>
          <w:tcPr>
            <w:tcW w:w="20" w:type="dxa"/>
            <w:vAlign w:val="bottom"/>
          </w:tcPr>
          <w:p>
            <w:pPr>
              <w:spacing w:after="0"/>
              <w:rPr>
                <w:sz w:val="17"/>
                <w:szCs w:val="17"/>
                <w:color w:val="auto"/>
              </w:rPr>
            </w:pPr>
          </w:p>
        </w:tc>
      </w:tr>
      <w:tr>
        <w:trPr>
          <w:trHeight w:val="174"/>
        </w:trPr>
        <w:tc>
          <w:tcPr>
            <w:tcW w:w="490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Interim Segment Value Calculation Halfway Through Term</w:t>
            </w:r>
          </w:p>
        </w:tc>
        <w:tc>
          <w:tcPr>
            <w:tcW w:w="13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r>
      <w:tr>
        <w:trPr>
          <w:trHeight w:val="22"/>
        </w:trPr>
        <w:tc>
          <w:tcPr>
            <w:tcW w:w="840" w:type="dxa"/>
            <w:vAlign w:val="bottom"/>
            <w:tcBorders>
              <w:bottom w:val="single" w:sz="8" w:color="auto"/>
            </w:tcBorders>
          </w:tcPr>
          <w:p>
            <w:pPr>
              <w:spacing w:after="0" w:line="20" w:lineRule="exact"/>
              <w:rPr>
                <w:sz w:val="1"/>
                <w:szCs w:val="1"/>
                <w:color w:val="auto"/>
              </w:rPr>
            </w:pPr>
          </w:p>
        </w:tc>
        <w:tc>
          <w:tcPr>
            <w:tcW w:w="40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196"/>
        </w:trPr>
        <w:tc>
          <w:tcPr>
            <w:tcW w:w="4900" w:type="dxa"/>
            <w:vAlign w:val="bottom"/>
            <w:tcBorders>
              <w:bottom w:val="single" w:sz="8" w:color="F0FFFF"/>
              <w:right w:val="single" w:sz="8" w:color="auto"/>
            </w:tcBorders>
            <w:gridSpan w:val="2"/>
            <w:shd w:val="clear" w:color="auto" w:fill="F0FFFF"/>
          </w:tcPr>
          <w:p>
            <w:pPr>
              <w:ind w:left="220"/>
              <w:spacing w:after="0"/>
              <w:rPr>
                <w:sz w:val="20"/>
                <w:szCs w:val="20"/>
                <w:color w:val="auto"/>
              </w:rPr>
            </w:pPr>
            <w:r>
              <w:rPr>
                <w:rFonts w:ascii="Times New Roman" w:cs="Times New Roman" w:eastAsia="Times New Roman" w:hAnsi="Times New Roman"/>
                <w:sz w:val="14"/>
                <w:szCs w:val="14"/>
                <w:color w:val="auto"/>
              </w:rPr>
              <w:t>Closing Value of the Index</w:t>
            </w:r>
          </w:p>
        </w:tc>
        <w:tc>
          <w:tcPr>
            <w:tcW w:w="1380" w:type="dxa"/>
            <w:vAlign w:val="bottom"/>
            <w:tcBorders>
              <w:bottom w:val="single" w:sz="8" w:color="F0FFFF"/>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20" w:type="dxa"/>
            <w:vAlign w:val="bottom"/>
          </w:tcPr>
          <w:p>
            <w:pPr>
              <w:spacing w:after="0"/>
              <w:rPr>
                <w:sz w:val="17"/>
                <w:szCs w:val="17"/>
                <w:color w:val="auto"/>
              </w:rPr>
            </w:pPr>
          </w:p>
        </w:tc>
      </w:tr>
      <w:tr>
        <w:trPr>
          <w:trHeight w:val="206"/>
        </w:trPr>
        <w:tc>
          <w:tcPr>
            <w:tcW w:w="4900" w:type="dxa"/>
            <w:vAlign w:val="bottom"/>
            <w:tcBorders>
              <w:top w:val="single" w:sz="8" w:color="auto"/>
              <w:bottom w:val="single" w:sz="8" w:color="auto"/>
              <w:right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color w:val="auto"/>
              </w:rPr>
              <w:t>Segment Index Performance</w:t>
            </w:r>
            <w:r>
              <w:rPr>
                <w:rFonts w:ascii="Times New Roman" w:cs="Times New Roman" w:eastAsia="Times New Roman" w:hAnsi="Times New Roman"/>
                <w:sz w:val="17"/>
                <w:szCs w:val="17"/>
                <w:color w:val="auto"/>
                <w:vertAlign w:val="superscript"/>
              </w:rPr>
              <w:t>(2)</w:t>
            </w:r>
          </w:p>
        </w:tc>
        <w:tc>
          <w:tcPr>
            <w:tcW w:w="1400" w:type="dxa"/>
            <w:vAlign w:val="bottom"/>
            <w:tcBorders>
              <w:top w:val="single" w:sz="8" w:color="auto"/>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w w:val="97"/>
              </w:rPr>
              <w:t>–20%</w:t>
            </w:r>
          </w:p>
        </w:tc>
      </w:tr>
      <w:tr>
        <w:trPr>
          <w:trHeight w:val="206"/>
        </w:trPr>
        <w:tc>
          <w:tcPr>
            <w:tcW w:w="4900" w:type="dxa"/>
            <w:vAlign w:val="bottom"/>
            <w:tcBorders>
              <w:bottom w:val="single" w:sz="8" w:color="auto"/>
              <w:right w:val="single" w:sz="8" w:color="auto"/>
            </w:tcBorders>
            <w:gridSpan w:val="2"/>
            <w:shd w:val="clear" w:color="auto" w:fill="F0FFFF"/>
          </w:tcPr>
          <w:p>
            <w:pPr>
              <w:ind w:left="220"/>
              <w:spacing w:after="0"/>
              <w:rPr>
                <w:sz w:val="20"/>
                <w:szCs w:val="20"/>
                <w:color w:val="auto"/>
              </w:rPr>
            </w:pPr>
            <w:r>
              <w:rPr>
                <w:rFonts w:ascii="Times New Roman" w:cs="Times New Roman" w:eastAsia="Times New Roman" w:hAnsi="Times New Roman"/>
                <w:sz w:val="14"/>
                <w:szCs w:val="14"/>
                <w:color w:val="auto"/>
              </w:rPr>
              <w:t>Accrued Buffer Rate</w:t>
            </w:r>
            <w:r>
              <w:rPr>
                <w:rFonts w:ascii="Times New Roman" w:cs="Times New Roman" w:eastAsia="Times New Roman" w:hAnsi="Times New Roman"/>
                <w:sz w:val="17"/>
                <w:szCs w:val="17"/>
                <w:color w:val="auto"/>
                <w:vertAlign w:val="superscript"/>
              </w:rPr>
              <w:t>(3)</w:t>
            </w:r>
          </w:p>
        </w:tc>
        <w:tc>
          <w:tcPr>
            <w:tcW w:w="1380" w:type="dxa"/>
            <w:vAlign w:val="bottom"/>
            <w:tcBorders>
              <w:bottom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color w:val="auto"/>
                <w:w w:val="96"/>
              </w:rPr>
              <w:t>5%</w:t>
            </w:r>
          </w:p>
        </w:tc>
        <w:tc>
          <w:tcPr>
            <w:tcW w:w="20" w:type="dxa"/>
            <w:vAlign w:val="bottom"/>
            <w:tcBorders>
              <w:bottom w:val="single" w:sz="8" w:color="auto"/>
            </w:tcBorders>
          </w:tcPr>
          <w:p>
            <w:pPr>
              <w:spacing w:after="0"/>
              <w:rPr>
                <w:sz w:val="17"/>
                <w:szCs w:val="17"/>
                <w:color w:val="auto"/>
              </w:rPr>
            </w:pPr>
          </w:p>
        </w:tc>
      </w:tr>
      <w:tr>
        <w:trPr>
          <w:trHeight w:val="206"/>
        </w:trPr>
        <w:tc>
          <w:tcPr>
            <w:tcW w:w="4900" w:type="dxa"/>
            <w:vAlign w:val="bottom"/>
            <w:tcBorders>
              <w:bottom w:val="single" w:sz="8" w:color="auto"/>
              <w:right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color w:val="auto"/>
              </w:rPr>
              <w:t>Segment Performance Rate</w:t>
            </w:r>
            <w:r>
              <w:rPr>
                <w:rFonts w:ascii="Times New Roman" w:cs="Times New Roman" w:eastAsia="Times New Roman" w:hAnsi="Times New Roman"/>
                <w:sz w:val="17"/>
                <w:szCs w:val="17"/>
                <w:color w:val="auto"/>
                <w:vertAlign w:val="superscript"/>
              </w:rPr>
              <w:t>(4)</w:t>
            </w:r>
          </w:p>
        </w:tc>
        <w:tc>
          <w:tcPr>
            <w:tcW w:w="14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w w:val="97"/>
              </w:rPr>
              <w:t>–15%</w:t>
            </w:r>
          </w:p>
        </w:tc>
      </w:tr>
      <w:tr>
        <w:trPr>
          <w:trHeight w:val="206"/>
        </w:trPr>
        <w:tc>
          <w:tcPr>
            <w:tcW w:w="4900" w:type="dxa"/>
            <w:vAlign w:val="bottom"/>
            <w:tcBorders>
              <w:bottom w:val="single" w:sz="8" w:color="auto"/>
              <w:right w:val="single" w:sz="8" w:color="auto"/>
            </w:tcBorders>
            <w:gridSpan w:val="2"/>
            <w:shd w:val="clear" w:color="auto" w:fill="F0FFFF"/>
          </w:tcPr>
          <w:p>
            <w:pPr>
              <w:ind w:left="220"/>
              <w:spacing w:after="0"/>
              <w:rPr>
                <w:sz w:val="20"/>
                <w:szCs w:val="20"/>
                <w:color w:val="auto"/>
              </w:rPr>
            </w:pPr>
            <w:r>
              <w:rPr>
                <w:rFonts w:ascii="Times New Roman" w:cs="Times New Roman" w:eastAsia="Times New Roman" w:hAnsi="Times New Roman"/>
                <w:sz w:val="14"/>
                <w:szCs w:val="14"/>
                <w:color w:val="auto"/>
              </w:rPr>
              <w:t>Accrued Index Return</w:t>
            </w:r>
            <w:r>
              <w:rPr>
                <w:rFonts w:ascii="Times New Roman" w:cs="Times New Roman" w:eastAsia="Times New Roman" w:hAnsi="Times New Roman"/>
                <w:sz w:val="17"/>
                <w:szCs w:val="17"/>
                <w:color w:val="auto"/>
                <w:vertAlign w:val="superscript"/>
              </w:rPr>
              <w:t>(5)</w:t>
            </w:r>
          </w:p>
        </w:tc>
        <w:tc>
          <w:tcPr>
            <w:tcW w:w="1380" w:type="dxa"/>
            <w:vAlign w:val="bottom"/>
            <w:tcBorders>
              <w:bottom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color w:val="auto"/>
              </w:rPr>
              <w:t>–$7,500</w:t>
            </w:r>
          </w:p>
        </w:tc>
        <w:tc>
          <w:tcPr>
            <w:tcW w:w="20" w:type="dxa"/>
            <w:vAlign w:val="bottom"/>
            <w:tcBorders>
              <w:bottom w:val="single" w:sz="8" w:color="auto"/>
            </w:tcBorders>
          </w:tcPr>
          <w:p>
            <w:pPr>
              <w:spacing w:after="0"/>
              <w:rPr>
                <w:sz w:val="17"/>
                <w:szCs w:val="17"/>
                <w:color w:val="auto"/>
              </w:rPr>
            </w:pPr>
          </w:p>
        </w:tc>
      </w:tr>
      <w:tr>
        <w:trPr>
          <w:trHeight w:val="191"/>
        </w:trPr>
        <w:tc>
          <w:tcPr>
            <w:tcW w:w="4900" w:type="dxa"/>
            <w:vAlign w:val="bottom"/>
            <w:tcBorders>
              <w:bottom w:val="single" w:sz="8" w:color="auto"/>
              <w:right w:val="single" w:sz="8" w:color="auto"/>
            </w:tcBorders>
            <w:gridSpan w:val="2"/>
          </w:tcPr>
          <w:p>
            <w:pPr>
              <w:ind w:left="220"/>
              <w:spacing w:after="0" w:line="191" w:lineRule="exact"/>
              <w:rPr>
                <w:sz w:val="20"/>
                <w:szCs w:val="20"/>
                <w:color w:val="auto"/>
              </w:rPr>
            </w:pPr>
            <w:r>
              <w:rPr>
                <w:rFonts w:ascii="Times New Roman" w:cs="Times New Roman" w:eastAsia="Times New Roman" w:hAnsi="Times New Roman"/>
                <w:sz w:val="14"/>
                <w:szCs w:val="14"/>
                <w:b w:val="1"/>
                <w:bCs w:val="1"/>
                <w:color w:val="auto"/>
              </w:rPr>
              <w:t>Interim Segment Value</w:t>
            </w:r>
            <w:r>
              <w:rPr>
                <w:rFonts w:ascii="Times New Roman" w:cs="Times New Roman" w:eastAsia="Times New Roman" w:hAnsi="Times New Roman"/>
                <w:sz w:val="17"/>
                <w:szCs w:val="17"/>
                <w:b w:val="1"/>
                <w:bCs w:val="1"/>
                <w:color w:val="auto"/>
                <w:vertAlign w:val="superscript"/>
              </w:rPr>
              <w:t>(6)</w:t>
            </w: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$42,500</w:t>
            </w:r>
          </w:p>
        </w:tc>
        <w:tc>
          <w:tcPr>
            <w:tcW w:w="20" w:type="dxa"/>
            <w:vAlign w:val="bottom"/>
            <w:tcBorders>
              <w:bottom w:val="single" w:sz="8" w:color="auto"/>
            </w:tcBorders>
          </w:tcPr>
          <w:p>
            <w:pPr>
              <w:spacing w:after="0"/>
              <w:rPr>
                <w:sz w:val="16"/>
                <w:szCs w:val="16"/>
                <w:color w:val="auto"/>
              </w:rPr>
            </w:pPr>
          </w:p>
        </w:tc>
      </w:tr>
      <w:tr>
        <w:trPr>
          <w:trHeight w:val="140"/>
        </w:trPr>
        <w:tc>
          <w:tcPr>
            <w:tcW w:w="840" w:type="dxa"/>
            <w:vAlign w:val="bottom"/>
            <w:tcBorders>
              <w:bottom w:val="single" w:sz="8" w:color="auto"/>
            </w:tcBorders>
          </w:tcPr>
          <w:p>
            <w:pPr>
              <w:spacing w:after="0"/>
              <w:rPr>
                <w:sz w:val="12"/>
                <w:szCs w:val="12"/>
                <w:color w:val="auto"/>
              </w:rPr>
            </w:pPr>
          </w:p>
        </w:tc>
        <w:tc>
          <w:tcPr>
            <w:tcW w:w="40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518795</wp:posOffset>
            </wp:positionH>
            <wp:positionV relativeFrom="paragraph">
              <wp:posOffset>-31750</wp:posOffset>
            </wp:positionV>
            <wp:extent cx="31750" cy="450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1750" cy="4508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-31750</wp:posOffset>
            </wp:positionV>
            <wp:extent cx="31750" cy="450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1750" cy="45085"/>
                    </a:xfrm>
                    <a:prstGeom prst="rect">
                      <a:avLst/>
                    </a:prstGeom>
                    <a:noFill/>
                  </pic:spPr>
                </pic:pic>
              </a:graphicData>
            </a:graphic>
          </wp:anchor>
        </w:drawing>
      </w:r>
    </w:p>
    <w:p>
      <w:pPr>
        <w:spacing w:after="0" w:line="50" w:lineRule="exact"/>
        <w:rPr>
          <w:sz w:val="20"/>
          <w:szCs w:val="20"/>
          <w:color w:val="auto"/>
        </w:rPr>
      </w:pPr>
    </w:p>
    <w:p>
      <w:pPr>
        <w:ind w:left="5"/>
        <w:spacing w:after="0"/>
        <w:rPr>
          <w:sz w:val="20"/>
          <w:szCs w:val="20"/>
          <w:color w:val="auto"/>
        </w:rPr>
      </w:pPr>
      <w:r>
        <w:rPr>
          <w:rFonts w:ascii="Times New Roman" w:cs="Times New Roman" w:eastAsia="Times New Roman" w:hAnsi="Times New Roman"/>
          <w:sz w:val="13"/>
          <w:szCs w:val="13"/>
          <w:color w:val="auto"/>
        </w:rPr>
        <w:t>The following notes to the table above provide important calculations showing how certain values are determined.</w:t>
      </w:r>
    </w:p>
    <w:p>
      <w:pPr>
        <w:spacing w:after="0" w:line="56" w:lineRule="exact"/>
        <w:rPr>
          <w:sz w:val="20"/>
          <w:szCs w:val="20"/>
          <w:color w:val="auto"/>
        </w:rPr>
      </w:pPr>
    </w:p>
    <w:p>
      <w:pPr>
        <w:jc w:val="both"/>
        <w:ind w:left="265" w:right="2999" w:hanging="265"/>
        <w:spacing w:after="0" w:line="218" w:lineRule="auto"/>
        <w:tabs>
          <w:tab w:leader="none" w:pos="265" w:val="left"/>
        </w:tabs>
        <w:numPr>
          <w:ilvl w:val="0"/>
          <w:numId w:val="22"/>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On the Policy Start Date and each Policy Anniversary thereafter, we deduct the charges for the Annual Deduction from your Cash Value. The Annual Deduction for each Policy Year will be taken from any Indexed Account according to the Policy Deduction Method. For purposes of this example, assume the Annual Deduction is $1,000.</w:t>
      </w:r>
    </w:p>
    <w:p>
      <w:pPr>
        <w:spacing w:after="0" w:line="31" w:lineRule="exact"/>
        <w:rPr>
          <w:rFonts w:ascii="Times New Roman" w:cs="Times New Roman" w:eastAsia="Times New Roman" w:hAnsi="Times New Roman"/>
          <w:sz w:val="18"/>
          <w:szCs w:val="18"/>
          <w:color w:val="auto"/>
          <w:vertAlign w:val="superscript"/>
        </w:rPr>
      </w:pPr>
    </w:p>
    <w:p>
      <w:pPr>
        <w:jc w:val="both"/>
        <w:ind w:left="265" w:right="2999" w:hanging="265"/>
        <w:spacing w:after="0" w:line="219" w:lineRule="auto"/>
        <w:tabs>
          <w:tab w:leader="none" w:pos="265" w:val="left"/>
        </w:tabs>
        <w:numPr>
          <w:ilvl w:val="0"/>
          <w:numId w:val="22"/>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Segment Index Performance is equal to the percentage change in the Closing Value of the Index measured from the Segment Start Date to the date of the Interim Segment Value calculation. Therefore, the Segment Index Performance is calculated as follows:</w:t>
      </w:r>
    </w:p>
    <w:p>
      <w:pPr>
        <w:spacing w:after="0" w:line="39" w:lineRule="exact"/>
        <w:rPr>
          <w:sz w:val="20"/>
          <w:szCs w:val="20"/>
          <w:color w:val="auto"/>
        </w:rPr>
      </w:pPr>
    </w:p>
    <w:p>
      <w:pPr>
        <w:ind w:left="945"/>
        <w:spacing w:after="0"/>
        <w:rPr>
          <w:sz w:val="20"/>
          <w:szCs w:val="20"/>
          <w:color w:val="auto"/>
        </w:rPr>
      </w:pPr>
      <w:r>
        <w:rPr>
          <w:rFonts w:ascii="Times New Roman" w:cs="Times New Roman" w:eastAsia="Times New Roman" w:hAnsi="Times New Roman"/>
          <w:sz w:val="14"/>
          <w:szCs w:val="14"/>
          <w:color w:val="auto"/>
        </w:rPr>
        <w:t>(400 [Closing Value of the Index on date of Interim Segment Value calculation]</w:t>
      </w:r>
    </w:p>
    <w:p>
      <w:pPr>
        <w:ind w:left="1325" w:hanging="108"/>
        <w:spacing w:after="0"/>
        <w:tabs>
          <w:tab w:leader="none" w:pos="1325" w:val="left"/>
        </w:tabs>
        <w:numPr>
          <w:ilvl w:val="1"/>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500 [Closing Value of the Index at Segment Start Date]) – 1 = –20%</w:t>
      </w:r>
    </w:p>
    <w:p>
      <w:pPr>
        <w:spacing w:after="0" w:line="30" w:lineRule="exact"/>
        <w:rPr>
          <w:rFonts w:ascii="Times New Roman" w:cs="Times New Roman" w:eastAsia="Times New Roman" w:hAnsi="Times New Roman"/>
          <w:sz w:val="14"/>
          <w:szCs w:val="14"/>
          <w:color w:val="auto"/>
        </w:rPr>
      </w:pPr>
    </w:p>
    <w:p>
      <w:pPr>
        <w:jc w:val="both"/>
        <w:ind w:left="265" w:right="2999" w:hanging="265"/>
        <w:spacing w:after="0" w:line="219" w:lineRule="auto"/>
        <w:tabs>
          <w:tab w:leader="none" w:pos="265" w:val="left"/>
        </w:tabs>
        <w:numPr>
          <w:ilvl w:val="0"/>
          <w:numId w:val="2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Accrued Buffer Rate is equal to the Buffer Rate multiplied by the number of days elapsed since the Segment Start Date divided by the total number of days in the Segment Term. The Accrued Buffer Rate is calculated as follows:</w:t>
      </w:r>
    </w:p>
    <w:p>
      <w:pPr>
        <w:spacing w:after="0" w:line="32" w:lineRule="exact"/>
        <w:rPr>
          <w:sz w:val="20"/>
          <w:szCs w:val="20"/>
          <w:color w:val="auto"/>
        </w:rPr>
      </w:pPr>
    </w:p>
    <w:p>
      <w:pPr>
        <w:jc w:val="center"/>
        <w:ind w:right="2974"/>
        <w:spacing w:after="0"/>
        <w:rPr>
          <w:sz w:val="20"/>
          <w:szCs w:val="20"/>
          <w:color w:val="auto"/>
        </w:rPr>
      </w:pPr>
      <w:r>
        <w:rPr>
          <w:rFonts w:ascii="Times New Roman" w:cs="Times New Roman" w:eastAsia="Times New Roman" w:hAnsi="Times New Roman"/>
          <w:sz w:val="14"/>
          <w:szCs w:val="14"/>
          <w:color w:val="auto"/>
        </w:rPr>
        <w:t>10% [Buffer Rate] x 183 [number of days elapsed since the Segment Start Date]</w:t>
      </w:r>
    </w:p>
    <w:p>
      <w:pPr>
        <w:spacing w:after="0" w:line="2" w:lineRule="exact"/>
        <w:rPr>
          <w:sz w:val="20"/>
          <w:szCs w:val="20"/>
          <w:color w:val="auto"/>
        </w:rPr>
      </w:pPr>
    </w:p>
    <w:p>
      <w:pPr>
        <w:jc w:val="center"/>
        <w:ind w:right="2934"/>
        <w:spacing w:after="0"/>
        <w:rPr>
          <w:sz w:val="20"/>
          <w:szCs w:val="20"/>
          <w:color w:val="auto"/>
        </w:rPr>
      </w:pPr>
      <w:r>
        <w:rPr>
          <w:rFonts w:ascii="Times New Roman" w:cs="Times New Roman" w:eastAsia="Times New Roman" w:hAnsi="Times New Roman"/>
          <w:sz w:val="14"/>
          <w:szCs w:val="14"/>
          <w:color w:val="auto"/>
        </w:rPr>
        <w:t>÷ 365 [total number of days in the Segment Term] = 5%</w:t>
      </w:r>
    </w:p>
    <w:p>
      <w:pPr>
        <w:ind w:left="5"/>
        <w:spacing w:after="0"/>
        <w:rPr>
          <w:sz w:val="20"/>
          <w:szCs w:val="20"/>
          <w:color w:val="auto"/>
        </w:rPr>
      </w:pPr>
      <w:r>
        <w:rPr>
          <w:rFonts w:ascii="Times New Roman" w:cs="Times New Roman" w:eastAsia="Times New Roman" w:hAnsi="Times New Roman"/>
          <w:sz w:val="4"/>
          <w:szCs w:val="4"/>
          <w:color w:val="auto"/>
        </w:rPr>
        <w:t>(4)</w:t>
      </w:r>
    </w:p>
    <w:p>
      <w:pPr>
        <w:spacing w:after="0" w:line="4" w:lineRule="exact"/>
        <w:rPr>
          <w:sz w:val="20"/>
          <w:szCs w:val="20"/>
          <w:color w:val="auto"/>
        </w:rPr>
      </w:pPr>
    </w:p>
    <w:p>
      <w:pPr>
        <w:jc w:val="both"/>
        <w:ind w:left="265" w:right="2999"/>
        <w:spacing w:after="0" w:line="228" w:lineRule="auto"/>
        <w:rPr>
          <w:sz w:val="20"/>
          <w:szCs w:val="20"/>
          <w:color w:val="auto"/>
        </w:rPr>
      </w:pPr>
      <w:r>
        <w:rPr>
          <w:rFonts w:ascii="Times New Roman" w:cs="Times New Roman" w:eastAsia="Times New Roman" w:hAnsi="Times New Roman"/>
          <w:sz w:val="14"/>
          <w:szCs w:val="14"/>
          <w:color w:val="auto"/>
        </w:rPr>
        <w:t>The Segment Performance Rate is –15% because the Segment Index Performance is –20% and the Accrued Buffer Rate of 5% absorbs up to 5% of the negative Segment Index Performance even though the Buffer Rate is 10%.</w:t>
      </w:r>
    </w:p>
    <w:p>
      <w:pPr>
        <w:spacing w:after="0" w:line="31" w:lineRule="exact"/>
        <w:rPr>
          <w:sz w:val="20"/>
          <w:szCs w:val="20"/>
          <w:color w:val="auto"/>
        </w:rPr>
      </w:pPr>
    </w:p>
    <w:p>
      <w:pPr>
        <w:jc w:val="both"/>
        <w:ind w:left="265" w:right="2999" w:hanging="265"/>
        <w:spacing w:after="0" w:line="218" w:lineRule="auto"/>
        <w:tabs>
          <w:tab w:leader="none" w:pos="265" w:val="left"/>
        </w:tabs>
        <w:numPr>
          <w:ilvl w:val="0"/>
          <w:numId w:val="24"/>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Accrued Index Return is equal to the product of the current Segment Value (Segment Value at the Segment Start Date adjusted for any loans and Accelerated Death Benefit payment; there are no adjustments in the example) multiplied by the Segment Performance Rate. The Accrued Index Return is calculated as follows:</w:t>
      </w:r>
    </w:p>
    <w:p>
      <w:pPr>
        <w:spacing w:after="0" w:line="32" w:lineRule="exact"/>
        <w:rPr>
          <w:sz w:val="20"/>
          <w:szCs w:val="20"/>
          <w:color w:val="auto"/>
        </w:rPr>
      </w:pPr>
    </w:p>
    <w:p>
      <w:pPr>
        <w:ind w:left="905"/>
        <w:spacing w:after="0"/>
        <w:rPr>
          <w:sz w:val="20"/>
          <w:szCs w:val="20"/>
          <w:color w:val="auto"/>
        </w:rPr>
      </w:pPr>
      <w:r>
        <w:rPr>
          <w:rFonts w:ascii="Times New Roman" w:cs="Times New Roman" w:eastAsia="Times New Roman" w:hAnsi="Times New Roman"/>
          <w:sz w:val="14"/>
          <w:szCs w:val="14"/>
          <w:color w:val="auto"/>
        </w:rPr>
        <w:t>$50,000 [current Segment Value] x –15% [Segment Performance Rate] = –$7,500</w:t>
      </w:r>
    </w:p>
    <w:p>
      <w:pPr>
        <w:spacing w:after="0" w:line="45" w:lineRule="exact"/>
        <w:rPr>
          <w:sz w:val="20"/>
          <w:szCs w:val="20"/>
          <w:color w:val="auto"/>
        </w:rPr>
      </w:pPr>
    </w:p>
    <w:p>
      <w:pPr>
        <w:jc w:val="both"/>
        <w:ind w:left="265" w:right="2999" w:hanging="265"/>
        <w:spacing w:after="0" w:line="219" w:lineRule="auto"/>
        <w:tabs>
          <w:tab w:leader="none" w:pos="265" w:val="left"/>
        </w:tabs>
        <w:numPr>
          <w:ilvl w:val="0"/>
          <w:numId w:val="25"/>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Interim Segment Value is equal to the current Segment Value (Segment Value at the Segment Start Date adjusted for any loans and Accelerated Death Benefit payment; there are no adjustments in the example) plus the Accrued Index Return. The Interim Segment Value is calculated as follows:</w:t>
      </w:r>
    </w:p>
    <w:p>
      <w:pPr>
        <w:spacing w:after="0" w:line="32" w:lineRule="exact"/>
        <w:rPr>
          <w:sz w:val="20"/>
          <w:szCs w:val="20"/>
          <w:color w:val="auto"/>
        </w:rPr>
      </w:pPr>
    </w:p>
    <w:p>
      <w:pPr>
        <w:ind w:left="965"/>
        <w:spacing w:after="0"/>
        <w:rPr>
          <w:sz w:val="20"/>
          <w:szCs w:val="20"/>
          <w:color w:val="auto"/>
        </w:rPr>
      </w:pPr>
      <w:r>
        <w:rPr>
          <w:rFonts w:ascii="Times New Roman" w:cs="Times New Roman" w:eastAsia="Times New Roman" w:hAnsi="Times New Roman"/>
          <w:sz w:val="14"/>
          <w:szCs w:val="14"/>
          <w:color w:val="auto"/>
        </w:rPr>
        <w:t>$50,000 [current Segment Value] + –$7,500 [Accrued Index Return] = $42,500</w:t>
      </w:r>
    </w:p>
    <w:p>
      <w:pPr>
        <w:spacing w:after="0" w:line="236" w:lineRule="exact"/>
        <w:rPr>
          <w:sz w:val="20"/>
          <w:szCs w:val="20"/>
          <w:color w:val="auto"/>
        </w:rPr>
      </w:pPr>
    </w:p>
    <w:p>
      <w:pPr>
        <w:jc w:val="center"/>
        <w:ind w:right="2934"/>
        <w:spacing w:after="0"/>
        <w:rPr>
          <w:sz w:val="20"/>
          <w:szCs w:val="20"/>
          <w:color w:val="auto"/>
        </w:rPr>
      </w:pPr>
      <w:r>
        <w:rPr>
          <w:rFonts w:ascii="Times New Roman" w:cs="Times New Roman" w:eastAsia="Times New Roman" w:hAnsi="Times New Roman"/>
          <w:sz w:val="14"/>
          <w:szCs w:val="14"/>
          <w:b w:val="1"/>
          <w:bCs w:val="1"/>
          <w:color w:val="auto"/>
        </w:rPr>
        <w:t>TRANSFERS</w:t>
      </w:r>
    </w:p>
    <w:p>
      <w:pPr>
        <w:spacing w:after="0" w:line="90" w:lineRule="exact"/>
        <w:rPr>
          <w:sz w:val="20"/>
          <w:szCs w:val="20"/>
          <w:color w:val="auto"/>
        </w:rPr>
      </w:pPr>
    </w:p>
    <w:p>
      <w:pPr>
        <w:jc w:val="both"/>
        <w:ind w:left="5" w:right="2939" w:firstLine="274"/>
        <w:spacing w:after="0" w:line="252" w:lineRule="auto"/>
        <w:rPr>
          <w:sz w:val="20"/>
          <w:szCs w:val="20"/>
          <w:color w:val="auto"/>
        </w:rPr>
      </w:pPr>
      <w:r>
        <w:rPr>
          <w:rFonts w:ascii="Times New Roman" w:cs="Times New Roman" w:eastAsia="Times New Roman" w:hAnsi="Times New Roman"/>
          <w:sz w:val="14"/>
          <w:szCs w:val="14"/>
          <w:color w:val="auto"/>
        </w:rPr>
        <w:t>You can transfer all or a portion of your unloaned Cash Value to or from the Fixed Account and/or to or from the Indexed Account, subject to the restrictions and requirements stated below. If you have elected automatic Cash Value rebalancing, transfers will be made in accordance with your current specified percentages, unless the election is terminated. See “AUTOMATIC CASH VALUE REBALANCING.”</w:t>
      </w:r>
    </w:p>
    <w:p>
      <w:pPr>
        <w:spacing w:after="0" w:line="60" w:lineRule="exact"/>
        <w:rPr>
          <w:sz w:val="20"/>
          <w:szCs w:val="20"/>
          <w:color w:val="auto"/>
        </w:rPr>
      </w:pPr>
    </w:p>
    <w:p>
      <w:pPr>
        <w:jc w:val="both"/>
        <w:ind w:left="5" w:right="2939" w:firstLine="274"/>
        <w:spacing w:after="0" w:line="254" w:lineRule="auto"/>
        <w:rPr>
          <w:sz w:val="20"/>
          <w:szCs w:val="20"/>
          <w:color w:val="auto"/>
        </w:rPr>
      </w:pPr>
      <w:r>
        <w:rPr>
          <w:rFonts w:ascii="Times New Roman" w:cs="Times New Roman" w:eastAsia="Times New Roman" w:hAnsi="Times New Roman"/>
          <w:sz w:val="14"/>
          <w:szCs w:val="14"/>
          <w:b w:val="1"/>
          <w:bCs w:val="1"/>
          <w:color w:val="auto"/>
        </w:rPr>
        <w:t xml:space="preserve">Transfer to and from the Fixed Account. </w:t>
      </w:r>
      <w:r>
        <w:rPr>
          <w:rFonts w:ascii="Times New Roman" w:cs="Times New Roman" w:eastAsia="Times New Roman" w:hAnsi="Times New Roman"/>
          <w:sz w:val="14"/>
          <w:szCs w:val="14"/>
          <w:color w:val="auto"/>
        </w:rPr>
        <w:t>The amounts transferred to the Fixed Account must remain in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Fixed Account for one (1) year and can only be transferred on the Policy Anniversary. Under our current administrative procedures, we will also allow you to make transfers to and from the Fixed Account until the end of the Transfer Period, and we will treat the transfer as if it occurred on the Policy Anniversary.</w:t>
      </w:r>
    </w:p>
    <w:p>
      <w:pPr>
        <w:spacing w:after="0" w:line="207" w:lineRule="exact"/>
        <w:rPr>
          <w:sz w:val="20"/>
          <w:szCs w:val="20"/>
          <w:color w:val="auto"/>
        </w:rPr>
      </w:pPr>
    </w:p>
    <w:p>
      <w:pPr>
        <w:ind w:left="3085"/>
        <w:spacing w:after="0"/>
        <w:rPr>
          <w:sz w:val="20"/>
          <w:szCs w:val="20"/>
          <w:color w:val="auto"/>
        </w:rPr>
      </w:pPr>
      <w:r>
        <w:rPr>
          <w:rFonts w:ascii="Times New Roman" w:cs="Times New Roman" w:eastAsia="Times New Roman" w:hAnsi="Times New Roman"/>
          <w:sz w:val="14"/>
          <w:szCs w:val="14"/>
          <w:color w:val="auto"/>
        </w:rPr>
        <w:t>37</w:t>
      </w:r>
    </w:p>
    <w:p>
      <w:pPr>
        <w:sectPr>
          <w:pgSz w:w="11900" w:h="16838" w:orient="portrait"/>
          <w:cols w:equalWidth="0" w:num="1">
            <w:col w:w="9224"/>
          </w:cols>
          <w:pgMar w:left="1235" w:top="1083" w:right="1440" w:bottom="1440" w:gutter="0" w:footer="0" w:header="0"/>
        </w:sectPr>
      </w:pPr>
    </w:p>
    <w:bookmarkStart w:id="40" w:name="page41"/>
    <w:bookmarkEnd w:id="40"/>
    <w:p>
      <w:pPr>
        <w:jc w:val="both"/>
        <w:ind w:right="2939" w:firstLine="274"/>
        <w:spacing w:after="0" w:line="248" w:lineRule="auto"/>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422275</wp:posOffset>
            </wp:positionV>
            <wp:extent cx="719010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90105" cy="38735"/>
                    </a:xfrm>
                    <a:prstGeom prst="rect">
                      <a:avLst/>
                    </a:prstGeom>
                    <a:noFill/>
                  </pic:spPr>
                </pic:pic>
              </a:graphicData>
            </a:graphic>
          </wp:anchor>
        </w:drawing>
        <w:t xml:space="preserve">Transfer to and from the Indexed Accounts if You are Not Receiving Distribution Payments Under the GDR. </w:t>
      </w:r>
      <w:r>
        <w:rPr>
          <w:rFonts w:ascii="Times New Roman" w:cs="Times New Roman" w:eastAsia="Times New Roman" w:hAnsi="Times New Roman"/>
          <w:sz w:val="14"/>
          <w:szCs w:val="14"/>
          <w:color w:val="auto"/>
        </w:rPr>
        <w:t>If Distribution Payments have not started or have been voluntarily suspended or terminated or the GDR is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no longer in effect, you may transfer all or a portion of any unloaned Cash Value between the Fixed Account and the Indexed Accounts. The amount will be transferred on the next Policy Anniversary. Transfers will be made in accordance with the latest instructions on file with us. If you wish to change those instructions, you have to notify us of your election to transfer. </w:t>
      </w:r>
      <w:r>
        <w:rPr>
          <w:rFonts w:ascii="Times New Roman" w:cs="Times New Roman" w:eastAsia="Times New Roman" w:hAnsi="Times New Roman"/>
          <w:sz w:val="14"/>
          <w:szCs w:val="14"/>
          <w:b w:val="1"/>
          <w:bCs w:val="1"/>
          <w:color w:val="auto"/>
        </w:rPr>
        <w:t>The request to transfer must be received at our Administrative Office.</w:t>
      </w:r>
      <w:r>
        <w:rPr>
          <w:rFonts w:ascii="Times New Roman" w:cs="Times New Roman" w:eastAsia="Times New Roman" w:hAnsi="Times New Roman"/>
          <w:sz w:val="14"/>
          <w:szCs w:val="14"/>
          <w:color w:val="auto"/>
        </w:rPr>
        <w:t xml:space="preserve"> See “REQUESTS AND ELECTIONS.” Under our current administrative procedures, we will allow you to make transfers or change your allocation instructions until the end of the Transfer Period, and we will treat the transfer as if it occurred on the Policy Anniversary.</w:t>
      </w:r>
    </w:p>
    <w:p>
      <w:pPr>
        <w:spacing w:after="0" w:line="70" w:lineRule="exact"/>
        <w:rPr>
          <w:sz w:val="20"/>
          <w:szCs w:val="20"/>
          <w:color w:val="auto"/>
        </w:rPr>
      </w:pPr>
    </w:p>
    <w:p>
      <w:pPr>
        <w:jc w:val="both"/>
        <w:ind w:right="2939" w:firstLine="274"/>
        <w:spacing w:after="0" w:line="249" w:lineRule="auto"/>
        <w:rPr>
          <w:sz w:val="20"/>
          <w:szCs w:val="20"/>
          <w:color w:val="auto"/>
        </w:rPr>
      </w:pPr>
      <w:r>
        <w:rPr>
          <w:rFonts w:ascii="Times New Roman" w:cs="Times New Roman" w:eastAsia="Times New Roman" w:hAnsi="Times New Roman"/>
          <w:sz w:val="14"/>
          <w:szCs w:val="14"/>
          <w:color w:val="auto"/>
        </w:rPr>
        <w:t>Please note, any premium received during the Transfer Period will be allocated directly to the Indexed Accounts according to your instructions as if it had been received on the Policy Anniversary. In addition, on a Policy Anniversary, any amount in a Holding Account will be automatically transferred to its associated Indexed Account. If the associated Indexed Account is no longer available on the Policy Anniversary, the Holding Account Cash Value will automatically transfer into the Fixed Account. Your financial representative can provide more information, or you may contact our Administrative Office. After the Transfer Period, you cannot make transfers until the next Policy Anniversary.</w:t>
      </w:r>
    </w:p>
    <w:p>
      <w:pPr>
        <w:spacing w:after="0" w:line="61" w:lineRule="exact"/>
        <w:rPr>
          <w:sz w:val="20"/>
          <w:szCs w:val="20"/>
          <w:color w:val="auto"/>
        </w:rPr>
      </w:pPr>
    </w:p>
    <w:p>
      <w:pPr>
        <w:jc w:val="both"/>
        <w:ind w:right="2939" w:firstLine="274"/>
        <w:spacing w:after="0" w:line="250" w:lineRule="auto"/>
        <w:rPr>
          <w:sz w:val="20"/>
          <w:szCs w:val="20"/>
          <w:color w:val="auto"/>
        </w:rPr>
      </w:pPr>
      <w:r>
        <w:rPr>
          <w:rFonts w:ascii="Times New Roman" w:cs="Times New Roman" w:eastAsia="Times New Roman" w:hAnsi="Times New Roman"/>
          <w:sz w:val="14"/>
          <w:szCs w:val="14"/>
          <w:b w:val="1"/>
          <w:bCs w:val="1"/>
          <w:color w:val="auto"/>
        </w:rPr>
        <w:t xml:space="preserve">At the Segment Maturity Date, the Segment Value allocated to the Indexed Account will automatically be renewed into the same Indexed Account unless you have elected the automatic Cash Value rebalancing program or notify us, before the end of the Transfer Period, to transfer into a different Indexed Account or the Fixed Account. </w:t>
      </w:r>
      <w:r>
        <w:rPr>
          <w:rFonts w:ascii="Times New Roman" w:cs="Times New Roman" w:eastAsia="Times New Roman" w:hAnsi="Times New Roman"/>
          <w:sz w:val="14"/>
          <w:szCs w:val="14"/>
          <w:color w:val="auto"/>
        </w:rPr>
        <w:t>The request to transfer must be received at our Administrative Office before the end of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Transfer Period. See “REQUESTS AND ELECTIONS.” If the same Indexed Account with the same Segment is no longer available at the Segment Maturity Date, the Segment Value in the applicable Segment will automatically transfer into the Fixed Account.</w:t>
      </w:r>
    </w:p>
    <w:p>
      <w:pPr>
        <w:spacing w:after="0" w:line="64" w:lineRule="exact"/>
        <w:rPr>
          <w:sz w:val="20"/>
          <w:szCs w:val="20"/>
          <w:color w:val="auto"/>
        </w:rPr>
      </w:pPr>
    </w:p>
    <w:p>
      <w:pPr>
        <w:jc w:val="both"/>
        <w:ind w:right="2939" w:firstLine="274"/>
        <w:spacing w:after="0" w:line="247" w:lineRule="auto"/>
        <w:rPr>
          <w:sz w:val="20"/>
          <w:szCs w:val="20"/>
          <w:color w:val="auto"/>
        </w:rPr>
      </w:pPr>
      <w:r>
        <w:rPr>
          <w:rFonts w:ascii="Times New Roman" w:cs="Times New Roman" w:eastAsia="Times New Roman" w:hAnsi="Times New Roman"/>
          <w:sz w:val="14"/>
          <w:szCs w:val="14"/>
          <w:color w:val="auto"/>
        </w:rPr>
        <w:t xml:space="preserve">Thirty (30) days before the Segment Maturity Date, we will mail you a notification identifying your current Indexed Account allocations, including any Holding Accounts, and indicating all Indexed Accounts and Indexed Account Factors that will be available on your Policy Anniversary. See “CAP RATE.” You may also obtain the new Cap Rates by accessing the Company’s website at https://www.brighthousefinancial.com/products/rates/ where at least two months of renewal Cap Rates are posted – i.e., for the current month and the following month. You have to notify us if you want to transfer some or all of your Segment Value to a new Indexed Account or to the Fixed Account. </w:t>
      </w:r>
      <w:r>
        <w:rPr>
          <w:rFonts w:ascii="Times New Roman" w:cs="Times New Roman" w:eastAsia="Times New Roman" w:hAnsi="Times New Roman"/>
          <w:sz w:val="14"/>
          <w:szCs w:val="14"/>
          <w:b w:val="1"/>
          <w:bCs w:val="1"/>
          <w:color w:val="auto"/>
        </w:rPr>
        <w:t>The request to transfer must be received at our Administrative Office.</w:t>
      </w:r>
      <w:r>
        <w:rPr>
          <w:rFonts w:ascii="Times New Roman" w:cs="Times New Roman" w:eastAsia="Times New Roman" w:hAnsi="Times New Roman"/>
          <w:sz w:val="14"/>
          <w:szCs w:val="14"/>
          <w:color w:val="auto"/>
        </w:rPr>
        <w:t xml:space="preserve"> See “REQUESTS AND ELECTIONS.” Under our current administrative procedures, we will also allow you to make transfers to and from the Indexed Accounts until the end of the Transfer Period, and we will treat the transfer as if it occurred on the Policy Anniversary.</w:t>
      </w:r>
    </w:p>
    <w:p>
      <w:pPr>
        <w:spacing w:after="0" w:line="67" w:lineRule="exact"/>
        <w:rPr>
          <w:sz w:val="20"/>
          <w:szCs w:val="20"/>
          <w:color w:val="auto"/>
        </w:rPr>
      </w:pPr>
    </w:p>
    <w:p>
      <w:pPr>
        <w:jc w:val="both"/>
        <w:ind w:right="2939" w:firstLine="274"/>
        <w:spacing w:after="0" w:line="273" w:lineRule="auto"/>
        <w:rPr>
          <w:sz w:val="20"/>
          <w:szCs w:val="20"/>
          <w:color w:val="auto"/>
        </w:rPr>
      </w:pPr>
      <w:r>
        <w:rPr>
          <w:rFonts w:ascii="Times New Roman" w:cs="Times New Roman" w:eastAsia="Times New Roman" w:hAnsi="Times New Roman"/>
          <w:sz w:val="14"/>
          <w:szCs w:val="14"/>
          <w:i w:val="1"/>
          <w:iCs w:val="1"/>
          <w:color w:val="auto"/>
        </w:rPr>
        <w:t xml:space="preserve">Renewals. </w:t>
      </w:r>
      <w:r>
        <w:rPr>
          <w:rFonts w:ascii="Times New Roman" w:cs="Times New Roman" w:eastAsia="Times New Roman" w:hAnsi="Times New Roman"/>
          <w:sz w:val="14"/>
          <w:szCs w:val="14"/>
          <w:color w:val="auto"/>
        </w:rPr>
        <w:t>For renewals into the same Indexed Account, a new Cap Rate will go into effect on the Policy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Anniversary that coincides with the new Segment Start Date.</w:t>
      </w:r>
    </w:p>
    <w:p>
      <w:pPr>
        <w:spacing w:after="0" w:line="45" w:lineRule="exact"/>
        <w:rPr>
          <w:sz w:val="20"/>
          <w:szCs w:val="20"/>
          <w:color w:val="auto"/>
        </w:rPr>
      </w:pPr>
    </w:p>
    <w:p>
      <w:pPr>
        <w:jc w:val="both"/>
        <w:ind w:right="2939" w:firstLine="274"/>
        <w:spacing w:after="0" w:line="250" w:lineRule="auto"/>
        <w:rPr>
          <w:sz w:val="20"/>
          <w:szCs w:val="20"/>
          <w:color w:val="auto"/>
        </w:rPr>
      </w:pPr>
      <w:r>
        <w:rPr>
          <w:rFonts w:ascii="Times New Roman" w:cs="Times New Roman" w:eastAsia="Times New Roman" w:hAnsi="Times New Roman"/>
          <w:sz w:val="14"/>
          <w:szCs w:val="14"/>
          <w:b w:val="1"/>
          <w:bCs w:val="1"/>
          <w:color w:val="auto"/>
        </w:rPr>
        <w:t xml:space="preserve">Transfer Requirements for Indexed Accounts While Distribution Payments are Voluntarily Suspended or Terminated Under the GDR. </w:t>
      </w:r>
      <w:r>
        <w:rPr>
          <w:rFonts w:ascii="Times New Roman" w:cs="Times New Roman" w:eastAsia="Times New Roman" w:hAnsi="Times New Roman"/>
          <w:sz w:val="14"/>
          <w:szCs w:val="14"/>
          <w:color w:val="auto"/>
        </w:rPr>
        <w:t>If Distribution Payments are suspended or terminated, you may transfer any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Cash Value in the Fixed Account to any of the available Indexed Accounts. You may request to change the allocation of Cash Value among the Fixed Account and the Indexed Accounts. The request must be received at our Administrative Office and will take effect on the next Policy Anniversary. See “REQUESTS AND ELECTIONS.” Under our current administrative procedures, we will also allow you to make transfers until the end of the Transfer Period, and we will treat the transfer as if it occurred on the Policy Anniversary.</w:t>
      </w:r>
    </w:p>
    <w:p>
      <w:pPr>
        <w:spacing w:after="0" w:line="60" w:lineRule="exact"/>
        <w:rPr>
          <w:sz w:val="20"/>
          <w:szCs w:val="20"/>
          <w:color w:val="auto"/>
        </w:rPr>
      </w:pPr>
    </w:p>
    <w:p>
      <w:pPr>
        <w:jc w:val="both"/>
        <w:ind w:right="2939" w:firstLine="274"/>
        <w:spacing w:after="0" w:line="313" w:lineRule="auto"/>
        <w:rPr>
          <w:sz w:val="20"/>
          <w:szCs w:val="20"/>
          <w:color w:val="auto"/>
        </w:rPr>
      </w:pPr>
      <w:r>
        <w:rPr>
          <w:rFonts w:ascii="Times New Roman" w:cs="Times New Roman" w:eastAsia="Times New Roman" w:hAnsi="Times New Roman"/>
          <w:sz w:val="13"/>
          <w:szCs w:val="13"/>
          <w:b w:val="1"/>
          <w:bCs w:val="1"/>
          <w:color w:val="auto"/>
        </w:rPr>
        <w:t>Once you start Distribution Payments under the GDR, all of your unloaned Cash Value will be in the Fixed Account, and you may not transfer to the Indexed Accounts while receiving Distribution Payments.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Example 3—Transfers</w:t>
      </w:r>
    </w:p>
    <w:p>
      <w:pPr>
        <w:spacing w:after="0" w:line="90" w:lineRule="exact"/>
        <w:rPr>
          <w:sz w:val="20"/>
          <w:szCs w:val="20"/>
          <w:color w:val="auto"/>
        </w:rPr>
      </w:pPr>
    </w:p>
    <w:p>
      <w:pPr>
        <w:jc w:val="both"/>
        <w:ind w:right="2939" w:firstLine="274"/>
        <w:spacing w:after="0" w:line="237" w:lineRule="auto"/>
        <w:rPr>
          <w:sz w:val="20"/>
          <w:szCs w:val="20"/>
          <w:color w:val="auto"/>
        </w:rPr>
      </w:pPr>
      <w:r>
        <w:rPr>
          <w:rFonts w:ascii="Times New Roman" w:cs="Times New Roman" w:eastAsia="Times New Roman" w:hAnsi="Times New Roman"/>
          <w:sz w:val="14"/>
          <w:szCs w:val="14"/>
          <w:color w:val="auto"/>
        </w:rPr>
        <w:t>Example 3 is intended to show how transfers work. Owner 1 allocates her $51,000 of Net Premiums to an Indexed Account with a 1 Year Segment Term / Buffer 10 / S&amp;P 500</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4"/>
          <w:szCs w:val="14"/>
          <w:color w:val="auto"/>
        </w:rPr>
        <w:t xml:space="preserve"> Index with a Cap Rate of 10%. Her Segment Value on the Segment Start Date is $51,000 (before deducting the Annual Deduction). At the end of the 1 Year Segment Term, she transfers 50% of her Segment Value into an Indexed Account with a 1 Year Segment Term / Buffer 10 / Russell 2000</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4"/>
          <w:szCs w:val="14"/>
          <w:color w:val="auto"/>
        </w:rPr>
        <w:t xml:space="preserve"> Index with a Cap Rate of 12% and opts to let the remaining 50% of her Segment Value automatically renew. For purposes of the examples, assume there is no Cash Value in the Holding Accounts associated with the Indexed Accounts.</w:t>
      </w:r>
    </w:p>
    <w:p>
      <w:pPr>
        <w:spacing w:after="0" w:line="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Indexed Accounts prior to Transfer:</w:t>
      </w:r>
    </w:p>
    <w:p>
      <w:pPr>
        <w:spacing w:after="0" w:line="271"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4"/>
          <w:szCs w:val="14"/>
          <w:color w:val="auto"/>
        </w:rPr>
        <w:t>38</w:t>
      </w:r>
    </w:p>
    <w:p>
      <w:pPr>
        <w:sectPr>
          <w:pgSz w:w="11900" w:h="16838" w:orient="portrait"/>
          <w:cols w:equalWidth="0" w:num="1">
            <w:col w:w="9219"/>
          </w:cols>
          <w:pgMar w:left="1240" w:top="1079" w:right="1440" w:bottom="1440" w:gutter="0" w:footer="0" w:header="0"/>
        </w:sectPr>
      </w:pPr>
    </w:p>
    <w:bookmarkStart w:id="41" w:name="page42"/>
    <w:bookmarkEnd w:id="41"/>
    <w:tbl>
      <w:tblPr>
        <w:tblLayout w:type="fixed"/>
        <w:tblInd w:w="15" w:type="dxa"/>
        <w:tblCellMar>
          <w:top w:w="0" w:type="dxa"/>
          <w:left w:w="0" w:type="dxa"/>
          <w:bottom w:w="0" w:type="dxa"/>
          <w:right w:w="0" w:type="dxa"/>
        </w:tblCellMar>
      </w:tblPr>
      <w:tr>
        <w:trPr>
          <w:trHeight w:val="221"/>
        </w:trPr>
        <w:tc>
          <w:tcPr>
            <w:tcW w:w="4900" w:type="dxa"/>
            <w:vAlign w:val="bottom"/>
            <w:tcBorders>
              <w:top w:val="single" w:sz="8" w:color="auto"/>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Policy Year</w:t>
            </w:r>
          </w:p>
        </w:tc>
        <w:tc>
          <w:tcPr>
            <w:tcW w:w="14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1</w:t>
            </w:r>
          </w:p>
        </w:tc>
      </w:tr>
      <w:tr>
        <w:trPr>
          <w:trHeight w:val="211"/>
        </w:trPr>
        <w:tc>
          <w:tcPr>
            <w:tcW w:w="4900" w:type="dxa"/>
            <w:vAlign w:val="bottom"/>
            <w:tcBorders>
              <w:left w:val="single" w:sz="8" w:color="auto"/>
              <w:bottom w:val="single" w:sz="8" w:color="F0FFFF"/>
              <w:right w:val="single" w:sz="8" w:color="F0FFFF"/>
            </w:tcBorders>
            <w:gridSpan w:val="2"/>
            <w:shd w:val="clear" w:color="auto" w:fill="F0FFFF"/>
          </w:tcPr>
          <w:p>
            <w:pPr>
              <w:ind w:left="80"/>
              <w:spacing w:after="0"/>
              <w:rPr>
                <w:sz w:val="20"/>
                <w:szCs w:val="20"/>
                <w:color w:val="auto"/>
              </w:rPr>
            </w:pPr>
            <w:r>
              <w:rPr>
                <w:rFonts w:ascii="Times New Roman" w:cs="Times New Roman" w:eastAsia="Times New Roman" w:hAnsi="Times New Roman"/>
                <w:sz w:val="14"/>
                <w:szCs w:val="14"/>
                <w:b w:val="1"/>
                <w:bCs w:val="1"/>
                <w:color w:val="auto"/>
              </w:rPr>
              <w:t>Segment Start Date</w:t>
            </w:r>
          </w:p>
        </w:tc>
        <w:tc>
          <w:tcPr>
            <w:tcW w:w="1400" w:type="dxa"/>
            <w:vAlign w:val="bottom"/>
            <w:tcBorders>
              <w:bottom w:val="single" w:sz="8" w:color="F0FFFF"/>
              <w:right w:val="single" w:sz="8" w:color="auto"/>
            </w:tcBorders>
            <w:shd w:val="clear" w:color="auto" w:fill="F0FFFF"/>
          </w:tcPr>
          <w:p>
            <w:pPr>
              <w:spacing w:after="0"/>
              <w:rPr>
                <w:sz w:val="17"/>
                <w:szCs w:val="17"/>
                <w:color w:val="auto"/>
              </w:rPr>
            </w:pPr>
          </w:p>
        </w:tc>
      </w:tr>
      <w:tr>
        <w:trPr>
          <w:trHeight w:val="206"/>
        </w:trPr>
        <w:tc>
          <w:tcPr>
            <w:tcW w:w="4900" w:type="dxa"/>
            <w:vAlign w:val="bottom"/>
            <w:tcBorders>
              <w:top w:val="single" w:sz="8" w:color="auto"/>
              <w:left w:val="single" w:sz="8" w:color="auto"/>
              <w:bottom w:val="single" w:sz="8" w:color="auto"/>
              <w:right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color w:val="auto"/>
              </w:rPr>
              <w:t>Segment Value (before deducting the Annual Deduction)</w:t>
            </w:r>
            <w:r>
              <w:rPr>
                <w:rFonts w:ascii="Times New Roman" w:cs="Times New Roman" w:eastAsia="Times New Roman" w:hAnsi="Times New Roman"/>
                <w:sz w:val="17"/>
                <w:szCs w:val="17"/>
                <w:color w:val="auto"/>
                <w:vertAlign w:val="superscript"/>
              </w:rPr>
              <w:t>(1)</w:t>
            </w:r>
          </w:p>
        </w:tc>
        <w:tc>
          <w:tcPr>
            <w:tcW w:w="14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$51,000</w:t>
            </w:r>
          </w:p>
        </w:tc>
      </w:tr>
      <w:tr>
        <w:trPr>
          <w:trHeight w:val="206"/>
        </w:trPr>
        <w:tc>
          <w:tcPr>
            <w:tcW w:w="4900" w:type="dxa"/>
            <w:vAlign w:val="bottom"/>
            <w:tcBorders>
              <w:left w:val="single" w:sz="8" w:color="auto"/>
              <w:bottom w:val="single" w:sz="8" w:color="auto"/>
              <w:right w:val="single" w:sz="8" w:color="auto"/>
            </w:tcBorders>
            <w:gridSpan w:val="2"/>
            <w:shd w:val="clear" w:color="auto" w:fill="F0FFFF"/>
          </w:tcPr>
          <w:p>
            <w:pPr>
              <w:ind w:left="220"/>
              <w:spacing w:after="0"/>
              <w:rPr>
                <w:sz w:val="20"/>
                <w:szCs w:val="20"/>
                <w:color w:val="auto"/>
              </w:rPr>
            </w:pPr>
            <w:r>
              <w:rPr>
                <w:rFonts w:ascii="Times New Roman" w:cs="Times New Roman" w:eastAsia="Times New Roman" w:hAnsi="Times New Roman"/>
                <w:sz w:val="14"/>
                <w:szCs w:val="14"/>
                <w:color w:val="auto"/>
              </w:rPr>
              <w:t>Segment Value (after deducting the Annual Deduction)</w:t>
            </w:r>
            <w:r>
              <w:rPr>
                <w:rFonts w:ascii="Times New Roman" w:cs="Times New Roman" w:eastAsia="Times New Roman" w:hAnsi="Times New Roman"/>
                <w:sz w:val="17"/>
                <w:szCs w:val="17"/>
                <w:color w:val="auto"/>
                <w:vertAlign w:val="superscript"/>
              </w:rPr>
              <w:t>(1)</w:t>
            </w:r>
          </w:p>
        </w:tc>
        <w:tc>
          <w:tcPr>
            <w:tcW w:w="140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color w:val="auto"/>
              </w:rPr>
              <w:t>$50,000</w:t>
            </w:r>
          </w:p>
        </w:tc>
      </w:tr>
      <w:tr>
        <w:trPr>
          <w:trHeight w:val="174"/>
        </w:trPr>
        <w:tc>
          <w:tcPr>
            <w:tcW w:w="4900" w:type="dxa"/>
            <w:vAlign w:val="bottom"/>
            <w:tcBorders>
              <w:left w:val="single" w:sz="8" w:color="auto"/>
              <w:right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color w:val="auto"/>
              </w:rPr>
              <w:t>Closing Value of the Index</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5"/>
              </w:rPr>
              <w:t>1,000</w:t>
            </w:r>
          </w:p>
        </w:tc>
      </w:tr>
      <w:tr>
        <w:trPr>
          <w:trHeight w:val="22"/>
        </w:trPr>
        <w:tc>
          <w:tcPr>
            <w:tcW w:w="840" w:type="dxa"/>
            <w:vAlign w:val="bottom"/>
            <w:tcBorders>
              <w:left w:val="single" w:sz="8" w:color="auto"/>
              <w:bottom w:val="single" w:sz="8" w:color="auto"/>
            </w:tcBorders>
          </w:tcPr>
          <w:p>
            <w:pPr>
              <w:spacing w:after="0" w:line="20" w:lineRule="exact"/>
              <w:rPr>
                <w:sz w:val="1"/>
                <w:szCs w:val="1"/>
                <w:color w:val="auto"/>
              </w:rPr>
            </w:pPr>
          </w:p>
        </w:tc>
        <w:tc>
          <w:tcPr>
            <w:tcW w:w="4060" w:type="dxa"/>
            <w:vAlign w:val="bottom"/>
            <w:tcBorders>
              <w:bottom w:val="single" w:sz="8" w:color="auto"/>
              <w:right w:val="single" w:sz="8" w:color="auto"/>
            </w:tcBorders>
          </w:tcPr>
          <w:p>
            <w:pPr>
              <w:spacing w:after="0" w:line="20" w:lineRule="exact"/>
              <w:rPr>
                <w:sz w:val="1"/>
                <w:szCs w:val="1"/>
                <w:color w:val="auto"/>
              </w:rPr>
            </w:pPr>
          </w:p>
        </w:tc>
        <w:tc>
          <w:tcPr>
            <w:tcW w:w="1400" w:type="dxa"/>
            <w:vAlign w:val="bottom"/>
            <w:tcBorders>
              <w:bottom w:val="single" w:sz="8" w:color="auto"/>
              <w:right w:val="single" w:sz="8" w:color="auto"/>
            </w:tcBorders>
          </w:tcPr>
          <w:p>
            <w:pPr>
              <w:spacing w:after="0" w:line="20" w:lineRule="exact"/>
              <w:rPr>
                <w:sz w:val="1"/>
                <w:szCs w:val="1"/>
                <w:color w:val="auto"/>
              </w:rPr>
            </w:pPr>
          </w:p>
        </w:tc>
      </w:tr>
      <w:tr>
        <w:trPr>
          <w:trHeight w:val="201"/>
        </w:trPr>
        <w:tc>
          <w:tcPr>
            <w:tcW w:w="4900" w:type="dxa"/>
            <w:vAlign w:val="bottom"/>
            <w:tcBorders>
              <w:left w:val="single" w:sz="8" w:color="auto"/>
              <w:bottom w:val="single" w:sz="8" w:color="F0FFFF"/>
              <w:right w:val="single" w:sz="8" w:color="F0FFFF"/>
            </w:tcBorders>
            <w:gridSpan w:val="2"/>
            <w:shd w:val="clear" w:color="auto" w:fill="F0FFFF"/>
          </w:tcPr>
          <w:p>
            <w:pPr>
              <w:ind w:left="80"/>
              <w:spacing w:after="0"/>
              <w:rPr>
                <w:sz w:val="20"/>
                <w:szCs w:val="20"/>
                <w:color w:val="auto"/>
              </w:rPr>
            </w:pPr>
            <w:r>
              <w:rPr>
                <w:rFonts w:ascii="Times New Roman" w:cs="Times New Roman" w:eastAsia="Times New Roman" w:hAnsi="Times New Roman"/>
                <w:sz w:val="14"/>
                <w:szCs w:val="14"/>
                <w:b w:val="1"/>
                <w:bCs w:val="1"/>
                <w:color w:val="auto"/>
              </w:rPr>
              <w:t>Segment Maturity Date</w:t>
            </w:r>
          </w:p>
        </w:tc>
        <w:tc>
          <w:tcPr>
            <w:tcW w:w="1400" w:type="dxa"/>
            <w:vAlign w:val="bottom"/>
            <w:tcBorders>
              <w:bottom w:val="single" w:sz="8" w:color="F0FFFF"/>
              <w:right w:val="single" w:sz="8" w:color="auto"/>
            </w:tcBorders>
            <w:shd w:val="clear" w:color="auto" w:fill="F0FFFF"/>
          </w:tcPr>
          <w:p>
            <w:pPr>
              <w:spacing w:after="0"/>
              <w:rPr>
                <w:sz w:val="17"/>
                <w:szCs w:val="17"/>
                <w:color w:val="auto"/>
              </w:rPr>
            </w:pPr>
          </w:p>
        </w:tc>
      </w:tr>
      <w:tr>
        <w:trPr>
          <w:trHeight w:val="174"/>
        </w:trPr>
        <w:tc>
          <w:tcPr>
            <w:tcW w:w="4900" w:type="dxa"/>
            <w:vAlign w:val="bottom"/>
            <w:tcBorders>
              <w:top w:val="single" w:sz="8" w:color="auto"/>
              <w:left w:val="single" w:sz="8" w:color="auto"/>
              <w:right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color w:val="auto"/>
              </w:rPr>
              <w:t>Closing Value of the Index</w:t>
            </w:r>
          </w:p>
        </w:tc>
        <w:tc>
          <w:tcPr>
            <w:tcW w:w="14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5"/>
              </w:rPr>
              <w:t>1,200</w:t>
            </w:r>
          </w:p>
        </w:tc>
      </w:tr>
      <w:tr>
        <w:trPr>
          <w:trHeight w:val="22"/>
        </w:trPr>
        <w:tc>
          <w:tcPr>
            <w:tcW w:w="840" w:type="dxa"/>
            <w:vAlign w:val="bottom"/>
            <w:tcBorders>
              <w:left w:val="single" w:sz="8" w:color="auto"/>
              <w:bottom w:val="single" w:sz="8" w:color="auto"/>
            </w:tcBorders>
          </w:tcPr>
          <w:p>
            <w:pPr>
              <w:spacing w:after="0" w:line="20" w:lineRule="exact"/>
              <w:rPr>
                <w:sz w:val="1"/>
                <w:szCs w:val="1"/>
                <w:color w:val="auto"/>
              </w:rPr>
            </w:pPr>
          </w:p>
        </w:tc>
        <w:tc>
          <w:tcPr>
            <w:tcW w:w="4060" w:type="dxa"/>
            <w:vAlign w:val="bottom"/>
            <w:tcBorders>
              <w:bottom w:val="single" w:sz="8" w:color="auto"/>
              <w:right w:val="single" w:sz="8" w:color="auto"/>
            </w:tcBorders>
          </w:tcPr>
          <w:p>
            <w:pPr>
              <w:spacing w:after="0" w:line="20" w:lineRule="exact"/>
              <w:rPr>
                <w:sz w:val="1"/>
                <w:szCs w:val="1"/>
                <w:color w:val="auto"/>
              </w:rPr>
            </w:pPr>
          </w:p>
        </w:tc>
        <w:tc>
          <w:tcPr>
            <w:tcW w:w="1400" w:type="dxa"/>
            <w:vAlign w:val="bottom"/>
            <w:tcBorders>
              <w:bottom w:val="single" w:sz="8" w:color="auto"/>
              <w:right w:val="single" w:sz="8" w:color="auto"/>
            </w:tcBorders>
          </w:tcPr>
          <w:p>
            <w:pPr>
              <w:spacing w:after="0" w:line="20" w:lineRule="exact"/>
              <w:rPr>
                <w:sz w:val="1"/>
                <w:szCs w:val="1"/>
                <w:color w:val="auto"/>
              </w:rPr>
            </w:pPr>
          </w:p>
        </w:tc>
      </w:tr>
      <w:tr>
        <w:trPr>
          <w:trHeight w:val="206"/>
        </w:trPr>
        <w:tc>
          <w:tcPr>
            <w:tcW w:w="4900" w:type="dxa"/>
            <w:vAlign w:val="bottom"/>
            <w:tcBorders>
              <w:left w:val="single" w:sz="8" w:color="auto"/>
              <w:bottom w:val="single" w:sz="8" w:color="auto"/>
              <w:right w:val="single" w:sz="8" w:color="auto"/>
            </w:tcBorders>
            <w:gridSpan w:val="2"/>
            <w:shd w:val="clear" w:color="auto" w:fill="F0FFFF"/>
          </w:tcPr>
          <w:p>
            <w:pPr>
              <w:ind w:left="220"/>
              <w:spacing w:after="0"/>
              <w:rPr>
                <w:sz w:val="20"/>
                <w:szCs w:val="20"/>
                <w:color w:val="auto"/>
              </w:rPr>
            </w:pPr>
            <w:r>
              <w:rPr>
                <w:rFonts w:ascii="Times New Roman" w:cs="Times New Roman" w:eastAsia="Times New Roman" w:hAnsi="Times New Roman"/>
                <w:sz w:val="14"/>
                <w:szCs w:val="14"/>
                <w:color w:val="auto"/>
              </w:rPr>
              <w:t>Segment Index Performance</w:t>
            </w:r>
            <w:r>
              <w:rPr>
                <w:rFonts w:ascii="Times New Roman" w:cs="Times New Roman" w:eastAsia="Times New Roman" w:hAnsi="Times New Roman"/>
                <w:sz w:val="17"/>
                <w:szCs w:val="17"/>
                <w:color w:val="auto"/>
                <w:vertAlign w:val="superscript"/>
              </w:rPr>
              <w:t>(2)</w:t>
            </w:r>
          </w:p>
        </w:tc>
        <w:tc>
          <w:tcPr>
            <w:tcW w:w="140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color w:val="auto"/>
              </w:rPr>
              <w:t>20%</w:t>
            </w:r>
          </w:p>
        </w:tc>
      </w:tr>
      <w:tr>
        <w:trPr>
          <w:trHeight w:val="174"/>
        </w:trPr>
        <w:tc>
          <w:tcPr>
            <w:tcW w:w="4900" w:type="dxa"/>
            <w:vAlign w:val="bottom"/>
            <w:tcBorders>
              <w:left w:val="single" w:sz="8" w:color="auto"/>
              <w:right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color w:val="auto"/>
              </w:rPr>
              <w:t>Cap Rate</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10%</w:t>
            </w:r>
          </w:p>
        </w:tc>
      </w:tr>
      <w:tr>
        <w:trPr>
          <w:trHeight w:val="22"/>
        </w:trPr>
        <w:tc>
          <w:tcPr>
            <w:tcW w:w="840" w:type="dxa"/>
            <w:vAlign w:val="bottom"/>
            <w:tcBorders>
              <w:left w:val="single" w:sz="8" w:color="auto"/>
              <w:bottom w:val="single" w:sz="8" w:color="auto"/>
            </w:tcBorders>
          </w:tcPr>
          <w:p>
            <w:pPr>
              <w:spacing w:after="0" w:line="20" w:lineRule="exact"/>
              <w:rPr>
                <w:sz w:val="1"/>
                <w:szCs w:val="1"/>
                <w:color w:val="auto"/>
              </w:rPr>
            </w:pPr>
          </w:p>
        </w:tc>
        <w:tc>
          <w:tcPr>
            <w:tcW w:w="4060" w:type="dxa"/>
            <w:vAlign w:val="bottom"/>
            <w:tcBorders>
              <w:bottom w:val="single" w:sz="8" w:color="auto"/>
              <w:right w:val="single" w:sz="8" w:color="auto"/>
            </w:tcBorders>
          </w:tcPr>
          <w:p>
            <w:pPr>
              <w:spacing w:after="0" w:line="20" w:lineRule="exact"/>
              <w:rPr>
                <w:sz w:val="1"/>
                <w:szCs w:val="1"/>
                <w:color w:val="auto"/>
              </w:rPr>
            </w:pPr>
          </w:p>
        </w:tc>
        <w:tc>
          <w:tcPr>
            <w:tcW w:w="1400" w:type="dxa"/>
            <w:vAlign w:val="bottom"/>
            <w:tcBorders>
              <w:bottom w:val="single" w:sz="8" w:color="auto"/>
              <w:right w:val="single" w:sz="8" w:color="auto"/>
            </w:tcBorders>
          </w:tcPr>
          <w:p>
            <w:pPr>
              <w:spacing w:after="0" w:line="20" w:lineRule="exact"/>
              <w:rPr>
                <w:sz w:val="1"/>
                <w:szCs w:val="1"/>
                <w:color w:val="auto"/>
              </w:rPr>
            </w:pPr>
          </w:p>
        </w:tc>
      </w:tr>
      <w:tr>
        <w:trPr>
          <w:trHeight w:val="201"/>
        </w:trPr>
        <w:tc>
          <w:tcPr>
            <w:tcW w:w="4900" w:type="dxa"/>
            <w:vAlign w:val="bottom"/>
            <w:tcBorders>
              <w:left w:val="single" w:sz="8" w:color="auto"/>
              <w:bottom w:val="single" w:sz="8" w:color="F0FFFF"/>
              <w:right w:val="single" w:sz="8" w:color="auto"/>
            </w:tcBorders>
            <w:gridSpan w:val="2"/>
            <w:shd w:val="clear" w:color="auto" w:fill="F0FFFF"/>
          </w:tcPr>
          <w:p>
            <w:pPr>
              <w:ind w:left="220"/>
              <w:spacing w:after="0"/>
              <w:rPr>
                <w:sz w:val="20"/>
                <w:szCs w:val="20"/>
                <w:color w:val="auto"/>
              </w:rPr>
            </w:pPr>
            <w:r>
              <w:rPr>
                <w:rFonts w:ascii="Times New Roman" w:cs="Times New Roman" w:eastAsia="Times New Roman" w:hAnsi="Times New Roman"/>
                <w:sz w:val="14"/>
                <w:szCs w:val="14"/>
                <w:color w:val="auto"/>
              </w:rPr>
              <w:t>Buffer Rate</w:t>
            </w:r>
          </w:p>
        </w:tc>
        <w:tc>
          <w:tcPr>
            <w:tcW w:w="1400" w:type="dxa"/>
            <w:vAlign w:val="bottom"/>
            <w:tcBorders>
              <w:bottom w:val="single" w:sz="8" w:color="F0FFFF"/>
              <w:right w:val="single" w:sz="8" w:color="auto"/>
            </w:tcBorders>
            <w:shd w:val="clear" w:color="auto" w:fill="F0FFFF"/>
          </w:tcPr>
          <w:p>
            <w:pPr>
              <w:ind w:left="420"/>
              <w:spacing w:after="0"/>
              <w:rPr>
                <w:sz w:val="20"/>
                <w:szCs w:val="20"/>
                <w:color w:val="auto"/>
              </w:rPr>
            </w:pPr>
            <w:r>
              <w:rPr>
                <w:rFonts w:ascii="Times New Roman" w:cs="Times New Roman" w:eastAsia="Times New Roman" w:hAnsi="Times New Roman"/>
                <w:sz w:val="14"/>
                <w:szCs w:val="14"/>
                <w:color w:val="auto"/>
              </w:rPr>
              <w:t>Buffer 10</w:t>
            </w:r>
          </w:p>
        </w:tc>
      </w:tr>
      <w:tr>
        <w:trPr>
          <w:trHeight w:val="206"/>
        </w:trPr>
        <w:tc>
          <w:tcPr>
            <w:tcW w:w="4900" w:type="dxa"/>
            <w:vAlign w:val="bottom"/>
            <w:tcBorders>
              <w:top w:val="single" w:sz="8" w:color="auto"/>
              <w:left w:val="single" w:sz="8" w:color="auto"/>
              <w:bottom w:val="single" w:sz="8" w:color="auto"/>
              <w:right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color w:val="auto"/>
              </w:rPr>
              <w:t>Segment Performance Rate (one year)</w:t>
            </w:r>
            <w:r>
              <w:rPr>
                <w:rFonts w:ascii="Times New Roman" w:cs="Times New Roman" w:eastAsia="Times New Roman" w:hAnsi="Times New Roman"/>
                <w:sz w:val="17"/>
                <w:szCs w:val="17"/>
                <w:color w:val="auto"/>
                <w:vertAlign w:val="superscript"/>
              </w:rPr>
              <w:t>(3)</w:t>
            </w:r>
          </w:p>
        </w:tc>
        <w:tc>
          <w:tcPr>
            <w:tcW w:w="14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10%</w:t>
            </w:r>
          </w:p>
        </w:tc>
      </w:tr>
      <w:tr>
        <w:trPr>
          <w:trHeight w:val="206"/>
        </w:trPr>
        <w:tc>
          <w:tcPr>
            <w:tcW w:w="4900" w:type="dxa"/>
            <w:vAlign w:val="bottom"/>
            <w:tcBorders>
              <w:left w:val="single" w:sz="8" w:color="auto"/>
              <w:bottom w:val="single" w:sz="8" w:color="auto"/>
              <w:right w:val="single" w:sz="8" w:color="auto"/>
            </w:tcBorders>
            <w:gridSpan w:val="2"/>
            <w:shd w:val="clear" w:color="auto" w:fill="F0FFFF"/>
          </w:tcPr>
          <w:p>
            <w:pPr>
              <w:ind w:left="220"/>
              <w:spacing w:after="0"/>
              <w:rPr>
                <w:sz w:val="20"/>
                <w:szCs w:val="20"/>
                <w:color w:val="auto"/>
              </w:rPr>
            </w:pPr>
            <w:r>
              <w:rPr>
                <w:rFonts w:ascii="Times New Roman" w:cs="Times New Roman" w:eastAsia="Times New Roman" w:hAnsi="Times New Roman"/>
                <w:sz w:val="14"/>
                <w:szCs w:val="14"/>
                <w:color w:val="auto"/>
              </w:rPr>
              <w:t>Segment Credit</w:t>
            </w:r>
            <w:r>
              <w:rPr>
                <w:rFonts w:ascii="Times New Roman" w:cs="Times New Roman" w:eastAsia="Times New Roman" w:hAnsi="Times New Roman"/>
                <w:sz w:val="17"/>
                <w:szCs w:val="17"/>
                <w:color w:val="auto"/>
                <w:vertAlign w:val="superscript"/>
              </w:rPr>
              <w:t>(4)</w:t>
            </w:r>
          </w:p>
        </w:tc>
        <w:tc>
          <w:tcPr>
            <w:tcW w:w="140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color w:val="auto"/>
                <w:w w:val="98"/>
              </w:rPr>
              <w:t>$5,000</w:t>
            </w:r>
          </w:p>
        </w:tc>
      </w:tr>
      <w:tr>
        <w:trPr>
          <w:trHeight w:val="191"/>
        </w:trPr>
        <w:tc>
          <w:tcPr>
            <w:tcW w:w="4900" w:type="dxa"/>
            <w:vAlign w:val="bottom"/>
            <w:tcBorders>
              <w:left w:val="single" w:sz="8" w:color="auto"/>
              <w:bottom w:val="single" w:sz="8" w:color="auto"/>
              <w:right w:val="single" w:sz="8" w:color="auto"/>
            </w:tcBorders>
            <w:gridSpan w:val="2"/>
          </w:tcPr>
          <w:p>
            <w:pPr>
              <w:ind w:left="220"/>
              <w:spacing w:after="0" w:line="191" w:lineRule="exact"/>
              <w:rPr>
                <w:sz w:val="20"/>
                <w:szCs w:val="20"/>
                <w:color w:val="auto"/>
              </w:rPr>
            </w:pPr>
            <w:r>
              <w:rPr>
                <w:rFonts w:ascii="Times New Roman" w:cs="Times New Roman" w:eastAsia="Times New Roman" w:hAnsi="Times New Roman"/>
                <w:sz w:val="14"/>
                <w:szCs w:val="14"/>
                <w:b w:val="1"/>
                <w:bCs w:val="1"/>
                <w:color w:val="auto"/>
              </w:rPr>
              <w:t>Segment Value</w:t>
            </w:r>
            <w:r>
              <w:rPr>
                <w:rFonts w:ascii="Times New Roman" w:cs="Times New Roman" w:eastAsia="Times New Roman" w:hAnsi="Times New Roman"/>
                <w:sz w:val="17"/>
                <w:szCs w:val="17"/>
                <w:b w:val="1"/>
                <w:bCs w:val="1"/>
                <w:color w:val="auto"/>
                <w:vertAlign w:val="superscript"/>
              </w:rPr>
              <w:t>(5)</w:t>
            </w: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$55,000</w:t>
            </w:r>
          </w:p>
        </w:tc>
      </w:tr>
      <w:tr>
        <w:trPr>
          <w:trHeight w:val="140"/>
        </w:trPr>
        <w:tc>
          <w:tcPr>
            <w:tcW w:w="840" w:type="dxa"/>
            <w:vAlign w:val="bottom"/>
            <w:tcBorders>
              <w:bottom w:val="single" w:sz="8" w:color="auto"/>
            </w:tcBorders>
          </w:tcPr>
          <w:p>
            <w:pPr>
              <w:spacing w:after="0"/>
              <w:rPr>
                <w:sz w:val="12"/>
                <w:szCs w:val="12"/>
                <w:color w:val="auto"/>
              </w:rPr>
            </w:pPr>
          </w:p>
        </w:tc>
        <w:tc>
          <w:tcPr>
            <w:tcW w:w="4060" w:type="dxa"/>
            <w:vAlign w:val="bottom"/>
          </w:tcPr>
          <w:p>
            <w:pPr>
              <w:spacing w:after="0"/>
              <w:rPr>
                <w:sz w:val="12"/>
                <w:szCs w:val="12"/>
                <w:color w:val="auto"/>
              </w:rPr>
            </w:pPr>
          </w:p>
        </w:tc>
        <w:tc>
          <w:tcPr>
            <w:tcW w:w="140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179070</wp:posOffset>
            </wp:positionH>
            <wp:positionV relativeFrom="page">
              <wp:posOffset>422275</wp:posOffset>
            </wp:positionV>
            <wp:extent cx="719010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9010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-1925955</wp:posOffset>
            </wp:positionV>
            <wp:extent cx="3983990" cy="1435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983990" cy="1435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-1645285</wp:posOffset>
            </wp:positionV>
            <wp:extent cx="3983990" cy="1435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983990" cy="1435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-1357630</wp:posOffset>
            </wp:positionV>
            <wp:extent cx="3983990" cy="1371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983990" cy="13716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-1083310</wp:posOffset>
            </wp:positionV>
            <wp:extent cx="3983990" cy="1371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983990" cy="13716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-802640</wp:posOffset>
            </wp:positionV>
            <wp:extent cx="3983990" cy="1371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983990" cy="13716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-528320</wp:posOffset>
            </wp:positionV>
            <wp:extent cx="3983990" cy="1435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983990" cy="1435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-241300</wp:posOffset>
            </wp:positionV>
            <wp:extent cx="3983990" cy="1308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983990" cy="130810"/>
                    </a:xfrm>
                    <a:prstGeom prst="rect">
                      <a:avLst/>
                    </a:prstGeom>
                    <a:noFill/>
                  </pic:spPr>
                </pic:pic>
              </a:graphicData>
            </a:graphic>
          </wp:anchor>
        </w:drawing>
        <w:drawing>
          <wp:anchor simplePos="0" relativeHeight="251657728" behindDoc="1" locked="0" layoutInCell="0" allowOverlap="1">
            <wp:simplePos x="0" y="0"/>
            <wp:positionH relativeFrom="column">
              <wp:posOffset>518795</wp:posOffset>
            </wp:positionH>
            <wp:positionV relativeFrom="paragraph">
              <wp:posOffset>-31750</wp:posOffset>
            </wp:positionV>
            <wp:extent cx="31750" cy="450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1750" cy="4508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-31750</wp:posOffset>
            </wp:positionV>
            <wp:extent cx="31750" cy="450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1750" cy="45085"/>
                    </a:xfrm>
                    <a:prstGeom prst="rect">
                      <a:avLst/>
                    </a:prstGeom>
                    <a:noFill/>
                  </pic:spPr>
                </pic:pic>
              </a:graphicData>
            </a:graphic>
          </wp:anchor>
        </w:drawing>
      </w:r>
    </w:p>
    <w:p>
      <w:pPr>
        <w:spacing w:after="0" w:line="50" w:lineRule="exact"/>
        <w:rPr>
          <w:sz w:val="20"/>
          <w:szCs w:val="20"/>
          <w:color w:val="auto"/>
        </w:rPr>
      </w:pPr>
    </w:p>
    <w:p>
      <w:pPr>
        <w:ind w:left="5"/>
        <w:spacing w:after="0"/>
        <w:rPr>
          <w:sz w:val="20"/>
          <w:szCs w:val="20"/>
          <w:color w:val="auto"/>
        </w:rPr>
      </w:pPr>
      <w:r>
        <w:rPr>
          <w:rFonts w:ascii="Times New Roman" w:cs="Times New Roman" w:eastAsia="Times New Roman" w:hAnsi="Times New Roman"/>
          <w:sz w:val="14"/>
          <w:szCs w:val="14"/>
          <w:color w:val="auto"/>
        </w:rPr>
        <w:t>The following notes to the table above provide important calculations showing how certain values are determined.</w:t>
      </w:r>
    </w:p>
    <w:p>
      <w:pPr>
        <w:spacing w:after="0" w:line="45" w:lineRule="exact"/>
        <w:rPr>
          <w:sz w:val="20"/>
          <w:szCs w:val="20"/>
          <w:color w:val="auto"/>
        </w:rPr>
      </w:pPr>
    </w:p>
    <w:p>
      <w:pPr>
        <w:jc w:val="both"/>
        <w:ind w:left="265" w:right="2999" w:hanging="265"/>
        <w:spacing w:after="0" w:line="218" w:lineRule="auto"/>
        <w:tabs>
          <w:tab w:leader="none" w:pos="265" w:val="left"/>
        </w:tabs>
        <w:numPr>
          <w:ilvl w:val="0"/>
          <w:numId w:val="2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On the Policy Start Date and each Policy Anniversary thereafter, we deduct the charges for the Annual Deduction from your Cash Value. The Annual Deduction for each Policy Year will be taken from any Indexed Account according to the Policy Deduction Method. For purposes of this example, assume the Annual Deduction is $1,000.</w:t>
      </w:r>
    </w:p>
    <w:p>
      <w:pPr>
        <w:spacing w:after="0" w:line="31" w:lineRule="exact"/>
        <w:rPr>
          <w:rFonts w:ascii="Times New Roman" w:cs="Times New Roman" w:eastAsia="Times New Roman" w:hAnsi="Times New Roman"/>
          <w:sz w:val="18"/>
          <w:szCs w:val="18"/>
          <w:color w:val="auto"/>
          <w:vertAlign w:val="superscript"/>
        </w:rPr>
      </w:pPr>
    </w:p>
    <w:p>
      <w:pPr>
        <w:jc w:val="both"/>
        <w:ind w:left="265" w:right="2999" w:hanging="265"/>
        <w:spacing w:after="0" w:line="219" w:lineRule="auto"/>
        <w:tabs>
          <w:tab w:leader="none" w:pos="265" w:val="left"/>
        </w:tabs>
        <w:numPr>
          <w:ilvl w:val="0"/>
          <w:numId w:val="2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Segment Index Performance is equal to the percentage change in the Closing Value of the Index measured from the Segment Start Date to the Segment Maturity Date. Segment Index Performance is calculated as follows:</w:t>
      </w:r>
    </w:p>
    <w:p>
      <w:pPr>
        <w:spacing w:after="0" w:line="39" w:lineRule="exact"/>
        <w:rPr>
          <w:sz w:val="20"/>
          <w:szCs w:val="20"/>
          <w:color w:val="auto"/>
        </w:rPr>
      </w:pPr>
    </w:p>
    <w:p>
      <w:pPr>
        <w:ind w:left="1425"/>
        <w:spacing w:after="0"/>
        <w:rPr>
          <w:sz w:val="20"/>
          <w:szCs w:val="20"/>
          <w:color w:val="auto"/>
        </w:rPr>
      </w:pPr>
      <w:r>
        <w:rPr>
          <w:rFonts w:ascii="Times New Roman" w:cs="Times New Roman" w:eastAsia="Times New Roman" w:hAnsi="Times New Roman"/>
          <w:sz w:val="14"/>
          <w:szCs w:val="14"/>
          <w:color w:val="auto"/>
        </w:rPr>
        <w:t>(1,200 [Closing Value of the Index at Segment Maturity Date]</w:t>
      </w:r>
    </w:p>
    <w:p>
      <w:pPr>
        <w:ind w:left="1305" w:hanging="105"/>
        <w:spacing w:after="0"/>
        <w:tabs>
          <w:tab w:leader="none" w:pos="1305" w:val="left"/>
        </w:tabs>
        <w:numPr>
          <w:ilvl w:val="1"/>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1,000 [Closing Value of the Index at Segment Start Date]) – 1 = 20%</w:t>
      </w:r>
    </w:p>
    <w:p>
      <w:pPr>
        <w:spacing w:after="0" w:line="30" w:lineRule="exact"/>
        <w:rPr>
          <w:rFonts w:ascii="Times New Roman" w:cs="Times New Roman" w:eastAsia="Times New Roman" w:hAnsi="Times New Roman"/>
          <w:sz w:val="14"/>
          <w:szCs w:val="14"/>
          <w:color w:val="auto"/>
        </w:rPr>
      </w:pPr>
    </w:p>
    <w:p>
      <w:pPr>
        <w:ind w:left="265" w:right="2999" w:hanging="265"/>
        <w:spacing w:after="0" w:line="211" w:lineRule="auto"/>
        <w:tabs>
          <w:tab w:leader="none" w:pos="265" w:val="left"/>
        </w:tabs>
        <w:numPr>
          <w:ilvl w:val="0"/>
          <w:numId w:val="2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Since Segment Index Performance is greater than zero and exceeds the Cap Rate, the Segment Performance Rate equals the Cap Rate.</w:t>
      </w:r>
    </w:p>
    <w:p>
      <w:pPr>
        <w:spacing w:after="0" w:line="1" w:lineRule="exact"/>
        <w:rPr>
          <w:sz w:val="20"/>
          <w:szCs w:val="20"/>
          <w:color w:val="auto"/>
        </w:rPr>
      </w:pPr>
    </w:p>
    <w:p>
      <w:pPr>
        <w:ind w:left="5"/>
        <w:spacing w:after="0"/>
        <w:rPr>
          <w:sz w:val="20"/>
          <w:szCs w:val="20"/>
          <w:color w:val="auto"/>
        </w:rPr>
      </w:pPr>
      <w:r>
        <w:rPr>
          <w:rFonts w:ascii="Times New Roman" w:cs="Times New Roman" w:eastAsia="Times New Roman" w:hAnsi="Times New Roman"/>
          <w:sz w:val="4"/>
          <w:szCs w:val="4"/>
          <w:color w:val="auto"/>
        </w:rPr>
        <w:t>(4)</w:t>
      </w:r>
    </w:p>
    <w:p>
      <w:pPr>
        <w:spacing w:after="0" w:line="4" w:lineRule="exact"/>
        <w:rPr>
          <w:sz w:val="20"/>
          <w:szCs w:val="20"/>
          <w:color w:val="auto"/>
        </w:rPr>
      </w:pPr>
    </w:p>
    <w:p>
      <w:pPr>
        <w:jc w:val="both"/>
        <w:ind w:left="265" w:right="2999"/>
        <w:spacing w:after="0" w:line="222" w:lineRule="auto"/>
        <w:rPr>
          <w:sz w:val="20"/>
          <w:szCs w:val="20"/>
          <w:color w:val="auto"/>
        </w:rPr>
      </w:pPr>
      <w:r>
        <w:rPr>
          <w:rFonts w:ascii="Times New Roman" w:cs="Times New Roman" w:eastAsia="Times New Roman" w:hAnsi="Times New Roman"/>
          <w:sz w:val="14"/>
          <w:szCs w:val="14"/>
          <w:color w:val="auto"/>
        </w:rPr>
        <w:t>The Segment Credit is equal to the product of the current Segment Value (Segment Value at the Segment Start Date adjusted for any loans and Accelerated Death Benefit payment; there are no adjustments in the</w:t>
      </w:r>
    </w:p>
    <w:p>
      <w:pPr>
        <w:ind w:left="265"/>
        <w:spacing w:after="0"/>
        <w:rPr>
          <w:sz w:val="20"/>
          <w:szCs w:val="20"/>
          <w:color w:val="auto"/>
        </w:rPr>
      </w:pPr>
      <w:r>
        <w:rPr>
          <w:rFonts w:ascii="Times New Roman" w:cs="Times New Roman" w:eastAsia="Times New Roman" w:hAnsi="Times New Roman"/>
          <w:sz w:val="14"/>
          <w:szCs w:val="14"/>
          <w:color w:val="auto"/>
        </w:rPr>
        <w:t>example) multiplied by the Segment Performance Rate. The Segment Credit is calculated as follows:</w:t>
      </w:r>
    </w:p>
    <w:p>
      <w:pPr>
        <w:spacing w:after="0" w:line="31" w:lineRule="exact"/>
        <w:rPr>
          <w:sz w:val="20"/>
          <w:szCs w:val="20"/>
          <w:color w:val="auto"/>
        </w:rPr>
      </w:pPr>
    </w:p>
    <w:p>
      <w:pPr>
        <w:ind w:left="965"/>
        <w:spacing w:after="0"/>
        <w:rPr>
          <w:sz w:val="20"/>
          <w:szCs w:val="20"/>
          <w:color w:val="auto"/>
        </w:rPr>
      </w:pPr>
      <w:r>
        <w:rPr>
          <w:rFonts w:ascii="Times New Roman" w:cs="Times New Roman" w:eastAsia="Times New Roman" w:hAnsi="Times New Roman"/>
          <w:sz w:val="14"/>
          <w:szCs w:val="14"/>
          <w:color w:val="auto"/>
        </w:rPr>
        <w:t>$50,000 [current Segment Value] x 10% [Segment Performance Rate] = $5,000</w:t>
      </w:r>
    </w:p>
    <w:p>
      <w:pPr>
        <w:ind w:left="5"/>
        <w:spacing w:after="0" w:line="204" w:lineRule="auto"/>
        <w:rPr>
          <w:sz w:val="20"/>
          <w:szCs w:val="20"/>
          <w:color w:val="auto"/>
        </w:rPr>
      </w:pPr>
      <w:r>
        <w:rPr>
          <w:rFonts w:ascii="Times New Roman" w:cs="Times New Roman" w:eastAsia="Times New Roman" w:hAnsi="Times New Roman"/>
          <w:sz w:val="6"/>
          <w:szCs w:val="6"/>
          <w:color w:val="auto"/>
        </w:rPr>
        <w:t>(5)</w:t>
      </w:r>
    </w:p>
    <w:p>
      <w:pPr>
        <w:ind w:left="265"/>
        <w:spacing w:after="0" w:line="230" w:lineRule="auto"/>
        <w:rPr>
          <w:sz w:val="20"/>
          <w:szCs w:val="20"/>
          <w:color w:val="auto"/>
        </w:rPr>
      </w:pPr>
      <w:r>
        <w:rPr>
          <w:rFonts w:ascii="Times New Roman" w:cs="Times New Roman" w:eastAsia="Times New Roman" w:hAnsi="Times New Roman"/>
          <w:sz w:val="14"/>
          <w:szCs w:val="14"/>
          <w:color w:val="auto"/>
        </w:rPr>
        <w:t>The Segment Value on the Segment Maturity Date is equal to the current Segment Value (Segment Value at</w:t>
      </w:r>
    </w:p>
    <w:p>
      <w:pPr>
        <w:jc w:val="both"/>
        <w:ind w:left="265" w:right="2999"/>
        <w:spacing w:after="0" w:line="228" w:lineRule="auto"/>
        <w:rPr>
          <w:sz w:val="20"/>
          <w:szCs w:val="20"/>
          <w:color w:val="auto"/>
        </w:rPr>
      </w:pPr>
      <w:r>
        <w:rPr>
          <w:rFonts w:ascii="Times New Roman" w:cs="Times New Roman" w:eastAsia="Times New Roman" w:hAnsi="Times New Roman"/>
          <w:sz w:val="14"/>
          <w:szCs w:val="14"/>
          <w:color w:val="auto"/>
        </w:rPr>
        <w:t>Segment Start Date adjusted for any loans and Accelerated Death Benefit payment; there are no adjustments in the example) plus the Segment Credit. The Segment Value on the Segment Maturity Date is calculated as follows:</w:t>
      </w:r>
    </w:p>
    <w:p>
      <w:pPr>
        <w:spacing w:after="0" w:line="31" w:lineRule="exact"/>
        <w:rPr>
          <w:sz w:val="20"/>
          <w:szCs w:val="20"/>
          <w:color w:val="auto"/>
        </w:rPr>
      </w:pPr>
    </w:p>
    <w:p>
      <w:pPr>
        <w:ind w:left="1185"/>
        <w:spacing w:after="0"/>
        <w:rPr>
          <w:sz w:val="20"/>
          <w:szCs w:val="20"/>
          <w:color w:val="auto"/>
        </w:rPr>
      </w:pPr>
      <w:r>
        <w:rPr>
          <w:rFonts w:ascii="Times New Roman" w:cs="Times New Roman" w:eastAsia="Times New Roman" w:hAnsi="Times New Roman"/>
          <w:sz w:val="14"/>
          <w:szCs w:val="14"/>
          <w:color w:val="auto"/>
        </w:rPr>
        <w:t>$50,000 [current Segment Value] + $5,000 [Segment Credit] = $55,000</w:t>
      </w:r>
    </w:p>
    <w:p>
      <w:pPr>
        <w:spacing w:after="0" w:line="86" w:lineRule="exact"/>
        <w:rPr>
          <w:sz w:val="20"/>
          <w:szCs w:val="20"/>
          <w:color w:val="auto"/>
        </w:rPr>
      </w:pPr>
    </w:p>
    <w:p>
      <w:pPr>
        <w:ind w:left="265"/>
        <w:spacing w:after="0"/>
        <w:rPr>
          <w:sz w:val="20"/>
          <w:szCs w:val="20"/>
          <w:color w:val="auto"/>
        </w:rPr>
      </w:pPr>
      <w:r>
        <w:rPr>
          <w:rFonts w:ascii="Times New Roman" w:cs="Times New Roman" w:eastAsia="Times New Roman" w:hAnsi="Times New Roman"/>
          <w:sz w:val="14"/>
          <w:szCs w:val="14"/>
          <w:color w:val="auto"/>
        </w:rPr>
        <w:t>Indexed Accounts after Transfer:</w:t>
      </w:r>
    </w:p>
    <w:p>
      <w:pPr>
        <w:spacing w:after="0" w:line="115" w:lineRule="exact"/>
        <w:rPr>
          <w:sz w:val="20"/>
          <w:szCs w:val="20"/>
          <w:color w:val="auto"/>
        </w:rPr>
      </w:pPr>
    </w:p>
    <w:tbl>
      <w:tblPr>
        <w:tblLayout w:type="fixed"/>
        <w:tblInd w:w="15" w:type="dxa"/>
        <w:tblCellMar>
          <w:top w:w="0" w:type="dxa"/>
          <w:left w:w="0" w:type="dxa"/>
          <w:bottom w:w="0" w:type="dxa"/>
          <w:right w:w="0" w:type="dxa"/>
        </w:tblCellMar>
      </w:tblPr>
      <w:tr>
        <w:trPr>
          <w:trHeight w:val="221"/>
        </w:trPr>
        <w:tc>
          <w:tcPr>
            <w:tcW w:w="2240" w:type="dxa"/>
            <w:vAlign w:val="bottom"/>
            <w:tcBorders>
              <w:top w:val="single" w:sz="8" w:color="auto"/>
              <w:left w:val="single" w:sz="8" w:color="auto"/>
              <w:bottom w:val="single" w:sz="8" w:color="auto"/>
              <w:right w:val="single" w:sz="8" w:color="auto"/>
            </w:tcBorders>
            <w:gridSpan w:val="2"/>
          </w:tcPr>
          <w:p>
            <w:pPr>
              <w:ind w:left="840"/>
              <w:spacing w:after="0"/>
              <w:rPr>
                <w:sz w:val="20"/>
                <w:szCs w:val="20"/>
                <w:color w:val="auto"/>
              </w:rPr>
            </w:pPr>
            <w:r>
              <w:rPr>
                <w:rFonts w:ascii="Times New Roman" w:cs="Times New Roman" w:eastAsia="Times New Roman" w:hAnsi="Times New Roman"/>
                <w:sz w:val="11"/>
                <w:szCs w:val="11"/>
                <w:b w:val="1"/>
                <w:bCs w:val="1"/>
                <w:color w:val="auto"/>
              </w:rPr>
              <w:t>Policy Year</w:t>
            </w:r>
          </w:p>
        </w:tc>
        <w:tc>
          <w:tcPr>
            <w:tcW w:w="2160" w:type="dxa"/>
            <w:vAlign w:val="bottom"/>
            <w:tcBorders>
              <w:top w:val="single" w:sz="8" w:color="auto"/>
              <w:bottom w:val="single" w:sz="8" w:color="auto"/>
            </w:tcBorders>
          </w:tcPr>
          <w:p>
            <w:pPr>
              <w:spacing w:after="0"/>
              <w:rPr>
                <w:sz w:val="19"/>
                <w:szCs w:val="19"/>
                <w:color w:val="auto"/>
              </w:rPr>
            </w:pPr>
          </w:p>
        </w:tc>
        <w:tc>
          <w:tcPr>
            <w:tcW w:w="2200" w:type="dxa"/>
            <w:vAlign w:val="bottom"/>
            <w:tcBorders>
              <w:top w:val="single" w:sz="8" w:color="auto"/>
              <w:bottom w:val="single" w:sz="8" w:color="auto"/>
              <w:right w:val="single" w:sz="8" w:color="auto"/>
            </w:tcBorders>
          </w:tcPr>
          <w:p>
            <w:pPr>
              <w:jc w:val="right"/>
              <w:ind w:right="2102"/>
              <w:spacing w:after="0"/>
              <w:rPr>
                <w:sz w:val="20"/>
                <w:szCs w:val="20"/>
                <w:color w:val="auto"/>
              </w:rPr>
            </w:pPr>
            <w:r>
              <w:rPr>
                <w:rFonts w:ascii="Times New Roman" w:cs="Times New Roman" w:eastAsia="Times New Roman" w:hAnsi="Times New Roman"/>
                <w:sz w:val="5"/>
                <w:szCs w:val="5"/>
                <w:b w:val="1"/>
                <w:bCs w:val="1"/>
                <w:color w:val="auto"/>
                <w:w w:val="78"/>
              </w:rPr>
              <w:t>2</w:t>
            </w:r>
          </w:p>
        </w:tc>
      </w:tr>
      <w:tr>
        <w:trPr>
          <w:trHeight w:val="178"/>
        </w:trPr>
        <w:tc>
          <w:tcPr>
            <w:tcW w:w="840" w:type="dxa"/>
            <w:vAlign w:val="bottom"/>
            <w:tcBorders>
              <w:left w:val="single" w:sz="8" w:color="auto"/>
            </w:tcBorders>
            <w:shd w:val="clear" w:color="auto" w:fill="F0FFFF"/>
          </w:tcPr>
          <w:p>
            <w:pPr>
              <w:spacing w:after="0"/>
              <w:rPr>
                <w:sz w:val="15"/>
                <w:szCs w:val="15"/>
                <w:color w:val="auto"/>
              </w:rPr>
            </w:pPr>
          </w:p>
        </w:tc>
        <w:tc>
          <w:tcPr>
            <w:tcW w:w="1400" w:type="dxa"/>
            <w:vAlign w:val="bottom"/>
            <w:tcBorders>
              <w:right w:val="single" w:sz="8" w:color="auto"/>
            </w:tcBorders>
            <w:shd w:val="clear" w:color="auto" w:fill="F0FFFF"/>
          </w:tcPr>
          <w:p>
            <w:pPr>
              <w:spacing w:after="0"/>
              <w:rPr>
                <w:sz w:val="15"/>
                <w:szCs w:val="15"/>
                <w:color w:val="auto"/>
              </w:rPr>
            </w:pPr>
          </w:p>
        </w:tc>
        <w:tc>
          <w:tcPr>
            <w:tcW w:w="2160" w:type="dxa"/>
            <w:vAlign w:val="bottom"/>
            <w:tcBorders>
              <w:right w:val="single" w:sz="8" w:color="F0FFFF"/>
            </w:tcBorders>
            <w:shd w:val="clear" w:color="auto" w:fill="F0FFFF"/>
          </w:tcPr>
          <w:p>
            <w:pPr>
              <w:jc w:val="center"/>
              <w:spacing w:after="0" w:line="178" w:lineRule="exact"/>
              <w:rPr>
                <w:sz w:val="20"/>
                <w:szCs w:val="20"/>
                <w:color w:val="auto"/>
              </w:rPr>
            </w:pPr>
            <w:r>
              <w:rPr>
                <w:rFonts w:ascii="Times New Roman" w:cs="Times New Roman" w:eastAsia="Times New Roman" w:hAnsi="Times New Roman"/>
                <w:sz w:val="14"/>
                <w:szCs w:val="14"/>
                <w:color w:val="auto"/>
                <w:w w:val="96"/>
              </w:rPr>
              <w:t>1-Year Term / Buffer 10 / S&amp;P 500</w:t>
            </w:r>
            <w:r>
              <w:rPr>
                <w:rFonts w:ascii="Times New Roman" w:cs="Times New Roman" w:eastAsia="Times New Roman" w:hAnsi="Times New Roman"/>
                <w:sz w:val="17"/>
                <w:szCs w:val="17"/>
                <w:color w:val="auto"/>
                <w:w w:val="96"/>
                <w:vertAlign w:val="superscript"/>
              </w:rPr>
              <w:t>®</w:t>
            </w:r>
          </w:p>
        </w:tc>
        <w:tc>
          <w:tcPr>
            <w:tcW w:w="2200" w:type="dxa"/>
            <w:vAlign w:val="bottom"/>
            <w:tcBorders>
              <w:left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color w:val="auto"/>
                <w:w w:val="96"/>
              </w:rPr>
              <w:t>1-Year Term / Buffer 10 / Russell</w:t>
            </w:r>
          </w:p>
        </w:tc>
      </w:tr>
      <w:tr>
        <w:trPr>
          <w:trHeight w:val="239"/>
        </w:trPr>
        <w:tc>
          <w:tcPr>
            <w:tcW w:w="840" w:type="dxa"/>
            <w:vAlign w:val="bottom"/>
            <w:tcBorders>
              <w:left w:val="single" w:sz="8" w:color="auto"/>
              <w:bottom w:val="single" w:sz="8" w:color="auto"/>
            </w:tcBorders>
            <w:shd w:val="clear" w:color="auto" w:fill="F0FFFF"/>
          </w:tcPr>
          <w:p>
            <w:pPr>
              <w:spacing w:after="0"/>
              <w:rPr>
                <w:sz w:val="20"/>
                <w:szCs w:val="20"/>
                <w:color w:val="auto"/>
              </w:rPr>
            </w:pPr>
          </w:p>
        </w:tc>
        <w:tc>
          <w:tcPr>
            <w:tcW w:w="1400" w:type="dxa"/>
            <w:vAlign w:val="bottom"/>
            <w:tcBorders>
              <w:bottom w:val="single" w:sz="8" w:color="auto"/>
              <w:right w:val="single" w:sz="8" w:color="auto"/>
            </w:tcBorders>
            <w:shd w:val="clear" w:color="auto" w:fill="F0FFFF"/>
          </w:tcPr>
          <w:p>
            <w:pPr>
              <w:spacing w:after="0"/>
              <w:rPr>
                <w:sz w:val="20"/>
                <w:szCs w:val="20"/>
                <w:color w:val="auto"/>
              </w:rPr>
            </w:pPr>
          </w:p>
        </w:tc>
        <w:tc>
          <w:tcPr>
            <w:tcW w:w="2160" w:type="dxa"/>
            <w:vAlign w:val="bottom"/>
            <w:tcBorders>
              <w:bottom w:val="single" w:sz="8" w:color="auto"/>
              <w:right w:val="single" w:sz="8" w:color="F0FFFF"/>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color w:val="auto"/>
                <w:w w:val="97"/>
              </w:rPr>
              <w:t>Index with a Cap Rate of 10%</w:t>
            </w:r>
          </w:p>
        </w:tc>
        <w:tc>
          <w:tcPr>
            <w:tcW w:w="2200" w:type="dxa"/>
            <w:vAlign w:val="bottom"/>
            <w:tcBorders>
              <w:left w:val="single" w:sz="8" w:color="auto"/>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color w:val="auto"/>
                <w:w w:val="97"/>
              </w:rPr>
              <w:t>2000</w:t>
            </w:r>
            <w:r>
              <w:rPr>
                <w:rFonts w:ascii="Times New Roman" w:cs="Times New Roman" w:eastAsia="Times New Roman" w:hAnsi="Times New Roman"/>
                <w:sz w:val="17"/>
                <w:szCs w:val="17"/>
                <w:color w:val="auto"/>
                <w:w w:val="97"/>
                <w:vertAlign w:val="superscript"/>
              </w:rPr>
              <w:t>®</w:t>
            </w:r>
            <w:r>
              <w:rPr>
                <w:rFonts w:ascii="Times New Roman" w:cs="Times New Roman" w:eastAsia="Times New Roman" w:hAnsi="Times New Roman"/>
                <w:sz w:val="14"/>
                <w:szCs w:val="14"/>
                <w:color w:val="auto"/>
                <w:w w:val="97"/>
              </w:rPr>
              <w:t xml:space="preserve"> Index with a Cap Rate of 12%</w:t>
            </w:r>
          </w:p>
        </w:tc>
      </w:tr>
      <w:tr>
        <w:trPr>
          <w:trHeight w:val="152"/>
        </w:trPr>
        <w:tc>
          <w:tcPr>
            <w:tcW w:w="2240" w:type="dxa"/>
            <w:vAlign w:val="bottom"/>
            <w:tcBorders>
              <w:left w:val="single" w:sz="8" w:color="auto"/>
              <w:right w:val="single" w:sz="8" w:color="auto"/>
            </w:tcBorders>
            <w:gridSpan w:val="2"/>
          </w:tcPr>
          <w:p>
            <w:pPr>
              <w:ind w:left="80"/>
              <w:spacing w:after="0" w:line="153" w:lineRule="exact"/>
              <w:rPr>
                <w:sz w:val="20"/>
                <w:szCs w:val="20"/>
                <w:color w:val="auto"/>
              </w:rPr>
            </w:pPr>
            <w:r>
              <w:rPr>
                <w:rFonts w:ascii="Times New Roman" w:cs="Times New Roman" w:eastAsia="Times New Roman" w:hAnsi="Times New Roman"/>
                <w:sz w:val="14"/>
                <w:szCs w:val="14"/>
                <w:color w:val="auto"/>
              </w:rPr>
              <w:t>Segment Value at Segment Start Date</w:t>
            </w:r>
          </w:p>
        </w:tc>
        <w:tc>
          <w:tcPr>
            <w:tcW w:w="2160" w:type="dxa"/>
            <w:vAlign w:val="bottom"/>
          </w:tcPr>
          <w:p>
            <w:pPr>
              <w:spacing w:after="0"/>
              <w:rPr>
                <w:sz w:val="13"/>
                <w:szCs w:val="13"/>
                <w:color w:val="auto"/>
              </w:rPr>
            </w:pPr>
          </w:p>
        </w:tc>
        <w:tc>
          <w:tcPr>
            <w:tcW w:w="2200" w:type="dxa"/>
            <w:vAlign w:val="bottom"/>
            <w:tcBorders>
              <w:left w:val="single" w:sz="8" w:color="auto"/>
              <w:right w:val="single" w:sz="8" w:color="auto"/>
            </w:tcBorders>
          </w:tcPr>
          <w:p>
            <w:pPr>
              <w:spacing w:after="0"/>
              <w:rPr>
                <w:sz w:val="13"/>
                <w:szCs w:val="13"/>
                <w:color w:val="auto"/>
              </w:rPr>
            </w:pPr>
          </w:p>
        </w:tc>
      </w:tr>
      <w:tr>
        <w:trPr>
          <w:trHeight w:val="229"/>
        </w:trPr>
        <w:tc>
          <w:tcPr>
            <w:tcW w:w="224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color w:val="auto"/>
              </w:rPr>
              <w:t>(second term)</w:t>
            </w:r>
            <w:r>
              <w:rPr>
                <w:rFonts w:ascii="Times New Roman" w:cs="Times New Roman" w:eastAsia="Times New Roman" w:hAnsi="Times New Roman"/>
                <w:sz w:val="17"/>
                <w:szCs w:val="17"/>
                <w:color w:val="auto"/>
                <w:vertAlign w:val="superscript"/>
              </w:rPr>
              <w:t>(1)</w:t>
            </w:r>
          </w:p>
        </w:tc>
        <w:tc>
          <w:tcPr>
            <w:tcW w:w="2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$27,500</w:t>
            </w:r>
          </w:p>
        </w:tc>
        <w:tc>
          <w:tcPr>
            <w:tcW w:w="22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$27,500</w:t>
            </w:r>
          </w:p>
        </w:tc>
      </w:tr>
      <w:tr>
        <w:trPr>
          <w:trHeight w:val="140"/>
        </w:trPr>
        <w:tc>
          <w:tcPr>
            <w:tcW w:w="840" w:type="dxa"/>
            <w:vAlign w:val="bottom"/>
            <w:tcBorders>
              <w:bottom w:val="single" w:sz="8" w:color="auto"/>
            </w:tcBorders>
          </w:tcPr>
          <w:p>
            <w:pPr>
              <w:spacing w:after="0"/>
              <w:rPr>
                <w:sz w:val="12"/>
                <w:szCs w:val="12"/>
                <w:color w:val="auto"/>
              </w:rPr>
            </w:pPr>
          </w:p>
        </w:tc>
        <w:tc>
          <w:tcPr>
            <w:tcW w:w="14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20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-776605</wp:posOffset>
            </wp:positionV>
            <wp:extent cx="4180205" cy="1435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180205" cy="1435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-358775</wp:posOffset>
            </wp:positionV>
            <wp:extent cx="4180205" cy="2482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180205" cy="248285"/>
                    </a:xfrm>
                    <a:prstGeom prst="rect">
                      <a:avLst/>
                    </a:prstGeom>
                    <a:noFill/>
                  </pic:spPr>
                </pic:pic>
              </a:graphicData>
            </a:graphic>
          </wp:anchor>
        </w:drawing>
        <w:drawing>
          <wp:anchor simplePos="0" relativeHeight="251657728" behindDoc="1" locked="0" layoutInCell="0" allowOverlap="1">
            <wp:simplePos x="0" y="0"/>
            <wp:positionH relativeFrom="column">
              <wp:posOffset>518795</wp:posOffset>
            </wp:positionH>
            <wp:positionV relativeFrom="paragraph">
              <wp:posOffset>-31750</wp:posOffset>
            </wp:positionV>
            <wp:extent cx="31750" cy="450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1750" cy="4508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-31750</wp:posOffset>
            </wp:positionV>
            <wp:extent cx="31750" cy="450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1750" cy="45085"/>
                    </a:xfrm>
                    <a:prstGeom prst="rect">
                      <a:avLst/>
                    </a:prstGeom>
                    <a:noFill/>
                  </pic:spPr>
                </pic:pic>
              </a:graphicData>
            </a:graphic>
          </wp:anchor>
        </w:drawing>
      </w:r>
    </w:p>
    <w:p>
      <w:pPr>
        <w:spacing w:after="0" w:line="50" w:lineRule="exact"/>
        <w:rPr>
          <w:sz w:val="20"/>
          <w:szCs w:val="20"/>
          <w:color w:val="auto"/>
        </w:rPr>
      </w:pPr>
    </w:p>
    <w:p>
      <w:pPr>
        <w:ind w:left="5"/>
        <w:spacing w:after="0"/>
        <w:rPr>
          <w:sz w:val="20"/>
          <w:szCs w:val="20"/>
          <w:color w:val="auto"/>
        </w:rPr>
      </w:pPr>
      <w:r>
        <w:rPr>
          <w:rFonts w:ascii="Times New Roman" w:cs="Times New Roman" w:eastAsia="Times New Roman" w:hAnsi="Times New Roman"/>
          <w:sz w:val="14"/>
          <w:szCs w:val="14"/>
          <w:color w:val="auto"/>
        </w:rPr>
        <w:t>Notes to the table above.</w:t>
      </w:r>
    </w:p>
    <w:p>
      <w:pPr>
        <w:ind w:left="5"/>
        <w:spacing w:after="0" w:line="204" w:lineRule="auto"/>
        <w:rPr>
          <w:sz w:val="20"/>
          <w:szCs w:val="20"/>
          <w:color w:val="auto"/>
        </w:rPr>
      </w:pPr>
      <w:r>
        <w:rPr>
          <w:rFonts w:ascii="Times New Roman" w:cs="Times New Roman" w:eastAsia="Times New Roman" w:hAnsi="Times New Roman"/>
          <w:sz w:val="6"/>
          <w:szCs w:val="6"/>
          <w:color w:val="auto"/>
        </w:rPr>
        <w:t>(1)</w:t>
      </w:r>
    </w:p>
    <w:p>
      <w:pPr>
        <w:ind w:left="265" w:right="2999"/>
        <w:spacing w:after="0" w:line="235" w:lineRule="auto"/>
        <w:rPr>
          <w:sz w:val="20"/>
          <w:szCs w:val="20"/>
          <w:color w:val="auto"/>
        </w:rPr>
      </w:pPr>
      <w:r>
        <w:rPr>
          <w:rFonts w:ascii="Times New Roman" w:cs="Times New Roman" w:eastAsia="Times New Roman" w:hAnsi="Times New Roman"/>
          <w:sz w:val="14"/>
          <w:szCs w:val="14"/>
          <w:color w:val="auto"/>
        </w:rPr>
        <w:t>The Segment Value at Segment Maturity Date is reallocated so that 50% is renewed in the same Indexed Account and 50% is allocated to a new Indexed Account.</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3085"/>
        <w:spacing w:after="0"/>
        <w:rPr>
          <w:sz w:val="20"/>
          <w:szCs w:val="20"/>
          <w:color w:val="auto"/>
        </w:rPr>
      </w:pPr>
      <w:r>
        <w:rPr>
          <w:rFonts w:ascii="Times New Roman" w:cs="Times New Roman" w:eastAsia="Times New Roman" w:hAnsi="Times New Roman"/>
          <w:sz w:val="14"/>
          <w:szCs w:val="14"/>
          <w:color w:val="auto"/>
        </w:rPr>
        <w:t>39</w:t>
      </w:r>
    </w:p>
    <w:p>
      <w:pPr>
        <w:sectPr>
          <w:pgSz w:w="11900" w:h="16838" w:orient="portrait"/>
          <w:cols w:equalWidth="0" w:num="1">
            <w:col w:w="9224"/>
          </w:cols>
          <w:pgMar w:left="1235" w:top="1071" w:right="1440" w:bottom="1440" w:gutter="0" w:footer="0" w:header="0"/>
        </w:sectPr>
      </w:pPr>
    </w:p>
    <w:bookmarkStart w:id="42" w:name="page43"/>
    <w:bookmarkEnd w:id="42"/>
    <w:p>
      <w:pPr>
        <w:ind w:left="1345"/>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422275</wp:posOffset>
            </wp:positionV>
            <wp:extent cx="719010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90105" cy="38735"/>
                    </a:xfrm>
                    <a:prstGeom prst="rect">
                      <a:avLst/>
                    </a:prstGeom>
                    <a:noFill/>
                  </pic:spPr>
                </pic:pic>
              </a:graphicData>
            </a:graphic>
          </wp:anchor>
        </w:drawing>
        <w:t>AUTOMATIC CASH VALUE REBALANCING PROGRAM</w:t>
      </w:r>
    </w:p>
    <w:p>
      <w:pPr>
        <w:spacing w:after="0" w:line="100" w:lineRule="exact"/>
        <w:rPr>
          <w:sz w:val="20"/>
          <w:szCs w:val="20"/>
          <w:color w:val="auto"/>
        </w:rPr>
      </w:pPr>
    </w:p>
    <w:p>
      <w:pPr>
        <w:jc w:val="both"/>
        <w:ind w:left="5" w:right="2939" w:firstLine="274"/>
        <w:spacing w:after="0" w:line="251" w:lineRule="auto"/>
        <w:rPr>
          <w:sz w:val="20"/>
          <w:szCs w:val="20"/>
          <w:color w:val="auto"/>
        </w:rPr>
      </w:pPr>
      <w:r>
        <w:rPr>
          <w:rFonts w:ascii="Times New Roman" w:cs="Times New Roman" w:eastAsia="Times New Roman" w:hAnsi="Times New Roman"/>
          <w:sz w:val="14"/>
          <w:szCs w:val="14"/>
          <w:color w:val="auto"/>
        </w:rPr>
        <w:t>If you elect the automatic Cash Value rebalancing program, we will automatically reset your unloaned Cash allocated to each Indexed Account and the Fixed Account to percentage levels that you request. If you elect this program, we will transfer amounts among the Indexed Accounts and the Fixed Account necessary to “rebalance” the Cash Value to your specified percentages. Once you elect this program, the automatic rebalancing will occur on every Policy Anniversary.</w:t>
      </w:r>
    </w:p>
    <w:p>
      <w:pPr>
        <w:spacing w:after="0" w:line="63" w:lineRule="exact"/>
        <w:rPr>
          <w:sz w:val="20"/>
          <w:szCs w:val="20"/>
          <w:color w:val="auto"/>
        </w:rPr>
      </w:pPr>
    </w:p>
    <w:p>
      <w:pPr>
        <w:jc w:val="both"/>
        <w:ind w:left="5" w:right="2939" w:firstLine="274"/>
        <w:spacing w:after="0" w:line="251" w:lineRule="auto"/>
        <w:rPr>
          <w:sz w:val="20"/>
          <w:szCs w:val="20"/>
          <w:color w:val="auto"/>
        </w:rPr>
      </w:pPr>
      <w:r>
        <w:rPr>
          <w:rFonts w:ascii="Times New Roman" w:cs="Times New Roman" w:eastAsia="Times New Roman" w:hAnsi="Times New Roman"/>
          <w:sz w:val="14"/>
          <w:szCs w:val="14"/>
          <w:color w:val="auto"/>
        </w:rPr>
        <w:t>An automatic Cash Value rebalancing program is intended to transfer unloaned Cash Value from those accounts that have increased in value to those that have declined or not increased as much in value. Over time, this method of allocating may help you “buy low and sell high,” although there can be no assurance that this objective will be achieved. Automatic Cash Value rebalancing does not guarantee profits, nor does it assure that you will not have losses.</w:t>
      </w:r>
    </w:p>
    <w:p>
      <w:pPr>
        <w:spacing w:after="0" w:line="74" w:lineRule="exact"/>
        <w:rPr>
          <w:sz w:val="20"/>
          <w:szCs w:val="20"/>
          <w:color w:val="auto"/>
        </w:rPr>
      </w:pPr>
    </w:p>
    <w:p>
      <w:pPr>
        <w:jc w:val="both"/>
        <w:ind w:left="5" w:right="2939" w:firstLine="274"/>
        <w:spacing w:after="0" w:line="249" w:lineRule="auto"/>
        <w:rPr>
          <w:sz w:val="20"/>
          <w:szCs w:val="20"/>
          <w:color w:val="auto"/>
        </w:rPr>
      </w:pPr>
      <w:r>
        <w:rPr>
          <w:rFonts w:ascii="Times New Roman" w:cs="Times New Roman" w:eastAsia="Times New Roman" w:hAnsi="Times New Roman"/>
          <w:sz w:val="14"/>
          <w:szCs w:val="14"/>
          <w:color w:val="auto"/>
        </w:rPr>
        <w:t>For example, assume that you want your initial Net Premium split between two Indexed Accounts. You want 40% to be in Indexed Account “A” and 60% to be in Indexed Account “B.” Hypothetically, over the next year Indexed Account “A” does very well while Indexed Account “B” performs poorly. On the Segment Maturity Date, Indexed Account “A” now represents 50% of your Cash Value because of the interest that was credited. If you have elected automatic Cash Value rebalancing, we will bring back the Indexed Account Cash Value in Indexed Account “A” back to 40% by transferring amounts to Indexed Account “B,” thus increasing its Indexed Account Cash Value to 60%.</w:t>
      </w:r>
    </w:p>
    <w:p>
      <w:pPr>
        <w:spacing w:after="0" w:line="75" w:lineRule="exact"/>
        <w:rPr>
          <w:sz w:val="20"/>
          <w:szCs w:val="20"/>
          <w:color w:val="auto"/>
        </w:rPr>
      </w:pPr>
    </w:p>
    <w:p>
      <w:pPr>
        <w:jc w:val="both"/>
        <w:ind w:left="5" w:right="2939" w:firstLine="274"/>
        <w:spacing w:after="0" w:line="248" w:lineRule="auto"/>
        <w:rPr>
          <w:sz w:val="20"/>
          <w:szCs w:val="20"/>
          <w:color w:val="auto"/>
        </w:rPr>
      </w:pPr>
      <w:r>
        <w:rPr>
          <w:rFonts w:ascii="Times New Roman" w:cs="Times New Roman" w:eastAsia="Times New Roman" w:hAnsi="Times New Roman"/>
          <w:sz w:val="14"/>
          <w:szCs w:val="14"/>
          <w:color w:val="auto"/>
        </w:rPr>
        <w:t>If you submit a subsequent premium payment, the Net Premium will be allocated to the Indexed Accounts (or the associated Holding Accounts if outside the Transfer Period) and Fixed Account in accordance with your current specified percentages. You cannot allocate or make transfers to or from the Fixed Account and/or to or from the Indexed Accounts on a basis other than the specified percentages if you have elected the automatic Cash Value rebalancing program. Automatic Cash Value rebalancing will remain in effect until we receive your written termination request in Good Order. We will terminate the program once you start Distribution Payments under the GDR. We reserve the right to end the automatic Cash Value rebalancing program by sending you one month’s notification.</w:t>
      </w:r>
    </w:p>
    <w:p>
      <w:pPr>
        <w:spacing w:after="0" w:line="229" w:lineRule="exact"/>
        <w:rPr>
          <w:sz w:val="20"/>
          <w:szCs w:val="20"/>
          <w:color w:val="auto"/>
        </w:rPr>
      </w:pPr>
    </w:p>
    <w:p>
      <w:pPr>
        <w:jc w:val="center"/>
        <w:ind w:right="2934"/>
        <w:spacing w:after="0"/>
        <w:rPr>
          <w:sz w:val="20"/>
          <w:szCs w:val="20"/>
          <w:color w:val="auto"/>
        </w:rPr>
      </w:pPr>
      <w:r>
        <w:rPr>
          <w:rFonts w:ascii="Times New Roman" w:cs="Times New Roman" w:eastAsia="Times New Roman" w:hAnsi="Times New Roman"/>
          <w:sz w:val="14"/>
          <w:szCs w:val="14"/>
          <w:b w:val="1"/>
          <w:bCs w:val="1"/>
          <w:color w:val="auto"/>
        </w:rPr>
        <w:t>LOANS</w:t>
      </w:r>
    </w:p>
    <w:p>
      <w:pPr>
        <w:spacing w:after="0" w:line="100" w:lineRule="exact"/>
        <w:rPr>
          <w:sz w:val="20"/>
          <w:szCs w:val="20"/>
          <w:color w:val="auto"/>
        </w:rPr>
      </w:pPr>
    </w:p>
    <w:p>
      <w:pPr>
        <w:jc w:val="both"/>
        <w:ind w:left="5" w:right="2939" w:firstLine="274"/>
        <w:spacing w:after="0" w:line="252" w:lineRule="auto"/>
        <w:rPr>
          <w:sz w:val="20"/>
          <w:szCs w:val="20"/>
          <w:color w:val="auto"/>
        </w:rPr>
      </w:pPr>
      <w:r>
        <w:rPr>
          <w:rFonts w:ascii="Times New Roman" w:cs="Times New Roman" w:eastAsia="Times New Roman" w:hAnsi="Times New Roman"/>
          <w:sz w:val="14"/>
          <w:szCs w:val="14"/>
          <w:color w:val="auto"/>
        </w:rPr>
        <w:t>You may borrow money from your Policy by taking a loan. A loan reduces the Policy’s Cash Value in the Indexed Accounts, Holding Accounts, and the Fixed Account and may increase your risk of Policy lapse. Policy Proceeds payable will also be reduced by the amount of any Policy Loan Balance. Loans may have tax consequences.</w:t>
      </w:r>
    </w:p>
    <w:p>
      <w:pPr>
        <w:spacing w:after="0" w:line="75" w:lineRule="exact"/>
        <w:rPr>
          <w:sz w:val="20"/>
          <w:szCs w:val="20"/>
          <w:color w:val="auto"/>
        </w:rPr>
      </w:pPr>
    </w:p>
    <w:p>
      <w:pPr>
        <w:ind w:left="265"/>
        <w:spacing w:after="0"/>
        <w:rPr>
          <w:sz w:val="20"/>
          <w:szCs w:val="20"/>
          <w:color w:val="auto"/>
        </w:rPr>
      </w:pPr>
      <w:r>
        <w:rPr>
          <w:rFonts w:ascii="Times New Roman" w:cs="Times New Roman" w:eastAsia="Times New Roman" w:hAnsi="Times New Roman"/>
          <w:sz w:val="14"/>
          <w:szCs w:val="14"/>
          <w:color w:val="auto"/>
        </w:rPr>
        <w:t>There are two ways to take a loan: (1) a loan, which is available as long as your Policy has Loan Value and</w:t>
      </w:r>
    </w:p>
    <w:p>
      <w:pPr>
        <w:spacing w:after="0" w:line="15" w:lineRule="exact"/>
        <w:rPr>
          <w:sz w:val="20"/>
          <w:szCs w:val="20"/>
          <w:color w:val="auto"/>
        </w:rPr>
      </w:pPr>
    </w:p>
    <w:p>
      <w:pPr>
        <w:jc w:val="both"/>
        <w:ind w:left="5" w:right="2939" w:hanging="5"/>
        <w:spacing w:after="0" w:line="248" w:lineRule="auto"/>
        <w:tabs>
          <w:tab w:leader="none" w:pos="21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Distribution Payment or the One-time Payment, which is available through the GDR. After the Policy has been in force for at least ten years, you are eligible to exercise the GDR. The Policy cannot be a MEC, and you must repay any Policy Loan Balance before starting Distribution Payments.</w:t>
      </w:r>
    </w:p>
    <w:p>
      <w:pPr>
        <w:spacing w:after="0" w:line="144" w:lineRule="exact"/>
        <w:rPr>
          <w:sz w:val="20"/>
          <w:szCs w:val="20"/>
          <w:color w:val="auto"/>
        </w:rPr>
      </w:pPr>
    </w:p>
    <w:p>
      <w:pPr>
        <w:ind w:left="5"/>
        <w:spacing w:after="0"/>
        <w:rPr>
          <w:sz w:val="20"/>
          <w:szCs w:val="20"/>
          <w:color w:val="auto"/>
        </w:rPr>
      </w:pPr>
      <w:r>
        <w:rPr>
          <w:rFonts w:ascii="Times New Roman" w:cs="Times New Roman" w:eastAsia="Times New Roman" w:hAnsi="Times New Roman"/>
          <w:sz w:val="14"/>
          <w:szCs w:val="14"/>
          <w:b w:val="1"/>
          <w:bCs w:val="1"/>
          <w:color w:val="auto"/>
        </w:rPr>
        <w:t>Loans that are not Distribution Payments under the GDR</w:t>
      </w:r>
    </w:p>
    <w:p>
      <w:pPr>
        <w:spacing w:after="0" w:line="96" w:lineRule="exact"/>
        <w:rPr>
          <w:sz w:val="20"/>
          <w:szCs w:val="20"/>
          <w:color w:val="auto"/>
        </w:rPr>
      </w:pPr>
    </w:p>
    <w:p>
      <w:pPr>
        <w:jc w:val="both"/>
        <w:ind w:left="5" w:right="2939" w:firstLine="274"/>
        <w:spacing w:after="0" w:line="259" w:lineRule="auto"/>
        <w:rPr>
          <w:sz w:val="20"/>
          <w:szCs w:val="20"/>
          <w:color w:val="auto"/>
        </w:rPr>
      </w:pPr>
      <w:r>
        <w:rPr>
          <w:rFonts w:ascii="Times New Roman" w:cs="Times New Roman" w:eastAsia="Times New Roman" w:hAnsi="Times New Roman"/>
          <w:sz w:val="14"/>
          <w:szCs w:val="14"/>
          <w:b w:val="1"/>
          <w:bCs w:val="1"/>
          <w:i w:val="1"/>
          <w:iCs w:val="1"/>
          <w:color w:val="auto"/>
        </w:rPr>
        <w:t>Note: The provisions in this sub-section do not apply to Distribution Payments under the GDR. See “GUARANTEED DISTRIBUTION RIDER” for a complete description of the terms, conditions, and limitations associated with Distribution Payments and the GDR.</w:t>
      </w:r>
    </w:p>
    <w:p>
      <w:pPr>
        <w:spacing w:after="0" w:line="69" w:lineRule="exact"/>
        <w:rPr>
          <w:sz w:val="20"/>
          <w:szCs w:val="20"/>
          <w:color w:val="auto"/>
        </w:rPr>
      </w:pPr>
    </w:p>
    <w:p>
      <w:pPr>
        <w:jc w:val="both"/>
        <w:ind w:left="5" w:right="2939" w:firstLine="274"/>
        <w:spacing w:after="0" w:line="248" w:lineRule="auto"/>
        <w:rPr>
          <w:sz w:val="20"/>
          <w:szCs w:val="20"/>
          <w:color w:val="auto"/>
        </w:rPr>
      </w:pPr>
      <w:r>
        <w:rPr>
          <w:rFonts w:ascii="Times New Roman" w:cs="Times New Roman" w:eastAsia="Times New Roman" w:hAnsi="Times New Roman"/>
          <w:sz w:val="14"/>
          <w:szCs w:val="14"/>
          <w:color w:val="auto"/>
        </w:rPr>
        <w:t>If your Policy has Loan Value, you may borrow from your Policy at any time, by submitting a request. Although you can call our Administrative Office at any time to determine what is available for a loan, the maximum amount you may borrow (defined below as the Loan Value) will be calculated at the end of the Business Day when we process the loan. These amounts may be different. If you request a loan that exceeds the Loan Value, your request will not be considered in Good Order. We will contact you to let you know that your requested amount exceeds the Loan Value. We will not consider your request in Good Order unless you revise the loan request to an amount that is less than or equal to the Loan Value. The Loan Value on the date of the loan equals:</w:t>
      </w:r>
    </w:p>
    <w:p>
      <w:pPr>
        <w:spacing w:after="0" w:line="68" w:lineRule="exact"/>
        <w:rPr>
          <w:sz w:val="20"/>
          <w:szCs w:val="20"/>
          <w:color w:val="auto"/>
        </w:rPr>
      </w:pPr>
    </w:p>
    <w:p>
      <w:pPr>
        <w:ind w:left="445" w:hanging="171"/>
        <w:spacing w:after="0"/>
        <w:tabs>
          <w:tab w:leader="none" w:pos="445"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Policy’s Cash Value times 90%, plus</w:t>
      </w:r>
    </w:p>
    <w:p>
      <w:pPr>
        <w:spacing w:after="0" w:line="96" w:lineRule="exact"/>
        <w:rPr>
          <w:rFonts w:ascii="Times New Roman" w:cs="Times New Roman" w:eastAsia="Times New Roman" w:hAnsi="Times New Roman"/>
          <w:sz w:val="14"/>
          <w:szCs w:val="14"/>
          <w:color w:val="auto"/>
        </w:rPr>
      </w:pPr>
    </w:p>
    <w:p>
      <w:pPr>
        <w:jc w:val="both"/>
        <w:ind w:left="445" w:right="2999" w:hanging="171"/>
        <w:spacing w:after="0" w:line="256" w:lineRule="auto"/>
        <w:tabs>
          <w:tab w:leader="none" w:pos="445"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Projected interest from the date of the loan request to the next Policy Anniversary (calculated using the Fixed Account Guaranteed Minimum Interest Rate, Holding Account guaranteed minimum interest rate, and Loan Account guaranteed minimum interest rate); less</w:t>
      </w:r>
    </w:p>
    <w:p>
      <w:pPr>
        <w:spacing w:after="0" w:line="71" w:lineRule="exact"/>
        <w:rPr>
          <w:rFonts w:ascii="Times New Roman" w:cs="Times New Roman" w:eastAsia="Times New Roman" w:hAnsi="Times New Roman"/>
          <w:sz w:val="14"/>
          <w:szCs w:val="14"/>
          <w:color w:val="auto"/>
        </w:rPr>
      </w:pPr>
    </w:p>
    <w:p>
      <w:pPr>
        <w:ind w:left="445" w:hanging="171"/>
        <w:spacing w:after="0"/>
        <w:tabs>
          <w:tab w:leader="none" w:pos="445"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Policy Loan Balance; less</w:t>
      </w:r>
    </w:p>
    <w:p>
      <w:pPr>
        <w:spacing w:after="0" w:line="85" w:lineRule="exact"/>
        <w:rPr>
          <w:rFonts w:ascii="Times New Roman" w:cs="Times New Roman" w:eastAsia="Times New Roman" w:hAnsi="Times New Roman"/>
          <w:sz w:val="14"/>
          <w:szCs w:val="14"/>
          <w:color w:val="auto"/>
        </w:rPr>
      </w:pPr>
    </w:p>
    <w:p>
      <w:pPr>
        <w:jc w:val="both"/>
        <w:ind w:left="445" w:right="2999" w:hanging="171"/>
        <w:spacing w:after="0" w:line="256" w:lineRule="auto"/>
        <w:tabs>
          <w:tab w:leader="none" w:pos="445"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Projected Loan Interest from the date of the loan request to the next Policy Anniversary. This projection is equal to 90% of the Cash Value plus Fixed Account, Holding Account and Loan Account interest to the next Policy Anniversary,</w:t>
      </w:r>
    </w:p>
    <w:p>
      <w:pPr>
        <w:spacing w:after="0" w:line="205" w:lineRule="exact"/>
        <w:rPr>
          <w:sz w:val="20"/>
          <w:szCs w:val="20"/>
          <w:color w:val="auto"/>
        </w:rPr>
      </w:pPr>
    </w:p>
    <w:p>
      <w:pPr>
        <w:ind w:left="3085"/>
        <w:spacing w:after="0"/>
        <w:rPr>
          <w:sz w:val="20"/>
          <w:szCs w:val="20"/>
          <w:color w:val="auto"/>
        </w:rPr>
      </w:pPr>
      <w:r>
        <w:rPr>
          <w:rFonts w:ascii="Times New Roman" w:cs="Times New Roman" w:eastAsia="Times New Roman" w:hAnsi="Times New Roman"/>
          <w:sz w:val="14"/>
          <w:szCs w:val="14"/>
          <w:color w:val="auto"/>
        </w:rPr>
        <w:t>40</w:t>
      </w:r>
    </w:p>
    <w:p>
      <w:pPr>
        <w:sectPr>
          <w:pgSz w:w="11900" w:h="16838" w:orient="portrait"/>
          <w:cols w:equalWidth="0" w:num="1">
            <w:col w:w="9224"/>
          </w:cols>
          <w:pgMar w:left="1235" w:top="1079" w:right="1440" w:bottom="1440" w:gutter="0" w:footer="0" w:header="0"/>
        </w:sectPr>
      </w:pPr>
    </w:p>
    <w:bookmarkStart w:id="43" w:name="page44"/>
    <w:bookmarkEnd w:id="43"/>
    <w:p>
      <w:pPr>
        <w:ind w:left="440" w:right="2939"/>
        <w:spacing w:after="0" w:line="273" w:lineRule="auto"/>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422275</wp:posOffset>
            </wp:positionV>
            <wp:extent cx="719010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90105" cy="38735"/>
                    </a:xfrm>
                    <a:prstGeom prst="rect">
                      <a:avLst/>
                    </a:prstGeom>
                    <a:noFill/>
                  </pic:spPr>
                </pic:pic>
              </a:graphicData>
            </a:graphic>
          </wp:anchor>
        </w:drawing>
        <w:t xml:space="preserve">multiplied by the Annual Maximum Fixed Loan Interest Rate </w:t>
      </w:r>
      <w:r>
        <w:rPr>
          <w:rFonts w:ascii="Times New Roman" w:cs="Times New Roman" w:eastAsia="Times New Roman" w:hAnsi="Times New Roman"/>
          <w:sz w:val="14"/>
          <w:szCs w:val="14"/>
          <w:color w:val="auto"/>
        </w:rPr>
        <w:t>multiplied by the number of days to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next Policy Anniversary divided by the total number of days in the Policy Year; less</w:t>
      </w:r>
    </w:p>
    <w:p>
      <w:pPr>
        <w:spacing w:after="0" w:line="59" w:lineRule="exact"/>
        <w:rPr>
          <w:sz w:val="20"/>
          <w:szCs w:val="20"/>
          <w:color w:val="auto"/>
        </w:rPr>
      </w:pPr>
    </w:p>
    <w:p>
      <w:pPr>
        <w:ind w:left="260"/>
        <w:spacing w:after="0"/>
        <w:tabs>
          <w:tab w:leader="none" w:pos="420" w:val="left"/>
        </w:tabs>
        <w:rPr>
          <w:sz w:val="20"/>
          <w:szCs w:val="20"/>
          <w:color w:val="auto"/>
        </w:rPr>
      </w:pP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3"/>
          <w:szCs w:val="13"/>
          <w:color w:val="auto"/>
        </w:rPr>
        <w:t>Any Surrender charge.</w:t>
      </w:r>
    </w:p>
    <w:p>
      <w:pPr>
        <w:spacing w:after="0" w:line="86" w:lineRule="exact"/>
        <w:rPr>
          <w:sz w:val="20"/>
          <w:szCs w:val="20"/>
          <w:color w:val="auto"/>
        </w:rPr>
      </w:pPr>
    </w:p>
    <w:p>
      <w:pPr>
        <w:jc w:val="both"/>
        <w:ind w:right="2939" w:firstLine="274"/>
        <w:spacing w:after="0" w:line="252" w:lineRule="auto"/>
        <w:rPr>
          <w:sz w:val="20"/>
          <w:szCs w:val="20"/>
          <w:color w:val="auto"/>
        </w:rPr>
      </w:pPr>
      <w:r>
        <w:rPr>
          <w:rFonts w:ascii="Times New Roman" w:cs="Times New Roman" w:eastAsia="Times New Roman" w:hAnsi="Times New Roman"/>
          <w:sz w:val="14"/>
          <w:szCs w:val="14"/>
          <w:color w:val="auto"/>
        </w:rPr>
        <w:t>The Fixed Account Guaranteed Minimum Interest Rate, Holding Account guaranteed minimum interest rate for each Holding Account, and Loan Account guaranteed minimum interest rate that apply to your Policy can be found in the Policy specifications pages. The annual maximum fixed loan interest rate is 8%, but we may use a lower interest rate, which will be shown on the annual statement.</w:t>
      </w:r>
    </w:p>
    <w:p>
      <w:pPr>
        <w:spacing w:after="0" w:line="75" w:lineRule="exact"/>
        <w:rPr>
          <w:sz w:val="20"/>
          <w:szCs w:val="20"/>
          <w:color w:val="auto"/>
        </w:rPr>
      </w:pPr>
    </w:p>
    <w:p>
      <w:pPr>
        <w:jc w:val="both"/>
        <w:ind w:right="2939" w:firstLine="274"/>
        <w:spacing w:after="0" w:line="256" w:lineRule="auto"/>
        <w:rPr>
          <w:sz w:val="20"/>
          <w:szCs w:val="20"/>
          <w:color w:val="auto"/>
        </w:rPr>
      </w:pPr>
      <w:r>
        <w:rPr>
          <w:rFonts w:ascii="Times New Roman" w:cs="Times New Roman" w:eastAsia="Times New Roman" w:hAnsi="Times New Roman"/>
          <w:sz w:val="14"/>
          <w:szCs w:val="14"/>
          <w:color w:val="auto"/>
        </w:rPr>
        <w:t>We make the loan as of the date when we receive a loan request in Good Order. You may increase your risk of lapse if you take a loan. You should contact our Administrative Office or your financial representative for information on loan procedures.</w:t>
      </w:r>
    </w:p>
    <w:p>
      <w:pPr>
        <w:spacing w:after="0" w:line="71" w:lineRule="exact"/>
        <w:rPr>
          <w:sz w:val="20"/>
          <w:szCs w:val="20"/>
          <w:color w:val="auto"/>
        </w:rPr>
      </w:pPr>
    </w:p>
    <w:p>
      <w:pPr>
        <w:jc w:val="both"/>
        <w:ind w:right="2939" w:firstLine="274"/>
        <w:spacing w:after="0" w:line="251" w:lineRule="auto"/>
        <w:rPr>
          <w:sz w:val="20"/>
          <w:szCs w:val="20"/>
          <w:color w:val="auto"/>
        </w:rPr>
      </w:pPr>
      <w:r>
        <w:rPr>
          <w:rFonts w:ascii="Times New Roman" w:cs="Times New Roman" w:eastAsia="Times New Roman" w:hAnsi="Times New Roman"/>
          <w:sz w:val="14"/>
          <w:szCs w:val="14"/>
          <w:color w:val="auto"/>
        </w:rPr>
        <w:t>If your Policy has an Excess Loan, we will send a notification to your last known address and that of any assignee of record. We grant you a Grace Period to pay the excess due. The Grace Period begins on the monthly anniversary following the date we send you the Excess Loan notification. If the excess due remains unpaid at the end of the Grace Period, the Policy will terminate without value. The Grace Period will end 62 days from the date the notification is sent.</w:t>
      </w:r>
    </w:p>
    <w:p>
      <w:pPr>
        <w:spacing w:after="0" w:line="63" w:lineRule="exact"/>
        <w:rPr>
          <w:sz w:val="20"/>
          <w:szCs w:val="20"/>
          <w:color w:val="auto"/>
        </w:rPr>
      </w:pPr>
    </w:p>
    <w:p>
      <w:pPr>
        <w:jc w:val="both"/>
        <w:ind w:right="2939" w:firstLine="274"/>
        <w:spacing w:after="0" w:line="247" w:lineRule="auto"/>
        <w:rPr>
          <w:sz w:val="20"/>
          <w:szCs w:val="20"/>
          <w:color w:val="auto"/>
        </w:rPr>
      </w:pPr>
      <w:r>
        <w:rPr>
          <w:rFonts w:ascii="Times New Roman" w:cs="Times New Roman" w:eastAsia="Times New Roman" w:hAnsi="Times New Roman"/>
          <w:sz w:val="14"/>
          <w:szCs w:val="14"/>
          <w:color w:val="auto"/>
        </w:rPr>
        <w:t>A loan reduces the Policy’s Cash Value in the Indexed Accounts, Holding Accounts, and the Fixed Account by the amount of the loan. We attribute loans to the Indexed Accounts, Holding Accounts, and the Fixed Account in accordance with the Policy Deduction Method. You cannot instruct us to deduct the loan or payment from specific Indexed Accounts or the Fixed Account. When we apply the Policy Deduction Method, the sum of the values in an Indexed Account and its associated Holding Account is considered one proportion. The corresponding proportional amount is subtracted first from the Holding Account until it has been reduced to zero and then any remaining amount is subtracted from the associated Indexed Account. When you take a loan, we transfer Cash Value equal to the amount of the loan from the Indexed Accounts, Holding Accounts, and the Fixed Account to the Loan Account (which is part of our General Account) to serve as collateral for the loan being taken.</w:t>
      </w:r>
    </w:p>
    <w:p>
      <w:pPr>
        <w:spacing w:after="0" w:line="81" w:lineRule="exact"/>
        <w:rPr>
          <w:sz w:val="20"/>
          <w:szCs w:val="20"/>
          <w:color w:val="auto"/>
        </w:rPr>
      </w:pPr>
    </w:p>
    <w:p>
      <w:pPr>
        <w:jc w:val="both"/>
        <w:ind w:right="2939" w:firstLine="274"/>
        <w:spacing w:after="0" w:line="247" w:lineRule="auto"/>
        <w:rPr>
          <w:sz w:val="20"/>
          <w:szCs w:val="20"/>
          <w:color w:val="auto"/>
        </w:rPr>
      </w:pPr>
      <w:r>
        <w:rPr>
          <w:rFonts w:ascii="Times New Roman" w:cs="Times New Roman" w:eastAsia="Times New Roman" w:hAnsi="Times New Roman"/>
          <w:sz w:val="14"/>
          <w:szCs w:val="14"/>
          <w:color w:val="auto"/>
        </w:rPr>
        <w:t>If you are allocated to an Indexed Account and take a loan on any day other than a Policy Anniversary, the amount withdrawn for the loan will reduce the current Segment Value for each Segment by the same percentage that the loan reduces the Interim Segment Value of such Segment. Accordingly, when negative Segment Index Performance has caused the Interim Segment Value to be less than the current Segment Value, taking a loan may cause the current Segment Value to be reduced by a greater amount than the Interim Segment Value is reduced. On the other hand, when positive Segment Index Performance has caused the Interim Segment Value to be greater than the current Segment Value, the current Segment Value will be reduced by a lesser amount than the Interim Segment Value is reduced. The remaining Segment Value after the loan will be used as the new Segment Value for the remainder of the Segment Term or until you take another loan or request an Accelerated Death Benefit payment.</w:t>
      </w:r>
    </w:p>
    <w:p>
      <w:pPr>
        <w:spacing w:after="0" w:line="81" w:lineRule="exact"/>
        <w:rPr>
          <w:sz w:val="20"/>
          <w:szCs w:val="20"/>
          <w:color w:val="auto"/>
        </w:rPr>
      </w:pPr>
    </w:p>
    <w:p>
      <w:pPr>
        <w:jc w:val="both"/>
        <w:ind w:right="2939" w:firstLine="274"/>
        <w:spacing w:after="0" w:line="251" w:lineRule="auto"/>
        <w:rPr>
          <w:sz w:val="20"/>
          <w:szCs w:val="20"/>
          <w:color w:val="auto"/>
        </w:rPr>
      </w:pPr>
      <w:r>
        <w:rPr>
          <w:rFonts w:ascii="Times New Roman" w:cs="Times New Roman" w:eastAsia="Times New Roman" w:hAnsi="Times New Roman"/>
          <w:sz w:val="14"/>
          <w:szCs w:val="14"/>
          <w:color w:val="auto"/>
        </w:rPr>
        <w:t>The amount transferred from the Indexed Accounts to the Loan Account does not participate in the Indexed Accounts, which means the Cash Value in the Loan Account is not subject to potential positive Index performance. Therefore, loans can permanently affect the Policy Proceeds and Cash Value of the Policy, even if repaid. In addition, we reduce any Policy Proceeds payable under a Policy by the Policy Loan Balance, which includes interest.</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Example 4A—Loan Value</w:t>
      </w:r>
    </w:p>
    <w:p>
      <w:pPr>
        <w:spacing w:after="0" w:line="90" w:lineRule="exact"/>
        <w:rPr>
          <w:sz w:val="20"/>
          <w:szCs w:val="20"/>
          <w:color w:val="auto"/>
        </w:rPr>
      </w:pPr>
    </w:p>
    <w:p>
      <w:pPr>
        <w:jc w:val="both"/>
        <w:ind w:right="2939" w:firstLine="274"/>
        <w:spacing w:after="0" w:line="249" w:lineRule="auto"/>
        <w:rPr>
          <w:sz w:val="20"/>
          <w:szCs w:val="20"/>
          <w:color w:val="auto"/>
        </w:rPr>
      </w:pPr>
      <w:r>
        <w:rPr>
          <w:rFonts w:ascii="Times New Roman" w:cs="Times New Roman" w:eastAsia="Times New Roman" w:hAnsi="Times New Roman"/>
          <w:sz w:val="14"/>
          <w:szCs w:val="14"/>
          <w:color w:val="auto"/>
        </w:rPr>
        <w:t>Loan Value is the maximum amount you may borrow from your Policy at any time. Example 4A is intended to show how Loan Value is calculated for loans that are not Distribution Payments. For purposes of calculating Loan Value, we project, to the next Policy Anniversary, the interest that you could earn and that we could charge (the Loan Interest). This is only a projection and is not what will actually be earned or charged if you were to take a loan. See “Interest” below for more information on the maximum Loan Interest rate and the minimum Loan Account interest rate.</w:t>
      </w:r>
    </w:p>
    <w:p>
      <w:pPr>
        <w:spacing w:after="0" w:line="68" w:lineRule="exact"/>
        <w:rPr>
          <w:sz w:val="20"/>
          <w:szCs w:val="20"/>
          <w:color w:val="auto"/>
        </w:rPr>
      </w:pPr>
    </w:p>
    <w:p>
      <w:pPr>
        <w:jc w:val="both"/>
        <w:ind w:right="2939" w:firstLine="274"/>
        <w:spacing w:after="0" w:line="251" w:lineRule="auto"/>
        <w:rPr>
          <w:sz w:val="20"/>
          <w:szCs w:val="20"/>
          <w:color w:val="auto"/>
        </w:rPr>
      </w:pPr>
      <w:r>
        <w:rPr>
          <w:rFonts w:ascii="Times New Roman" w:cs="Times New Roman" w:eastAsia="Times New Roman" w:hAnsi="Times New Roman"/>
          <w:sz w:val="14"/>
          <w:szCs w:val="14"/>
          <w:color w:val="auto"/>
        </w:rPr>
        <w:t>Assume an existing Policy Loan Balance of $10,000 and a Cash Value of $50,000, which has been allocated among the Fixed Account, an Indexed Account, (with a portion in the Holding Account until the next Policy Anniversary), and the Loan Account. Assume a Surrender charge of $2,000 would apply upon a full Surrender or Lapse. For purposes of these examples, assume the Loan Value is calculated exactly halfway through the Segment Term.</w:t>
      </w:r>
    </w:p>
    <w:p>
      <w:pPr>
        <w:spacing w:after="0" w:line="63" w:lineRule="exact"/>
        <w:rPr>
          <w:sz w:val="20"/>
          <w:szCs w:val="20"/>
          <w:color w:val="auto"/>
        </w:rPr>
      </w:pPr>
    </w:p>
    <w:p>
      <w:pPr>
        <w:jc w:val="both"/>
        <w:ind w:right="2939" w:firstLine="274"/>
        <w:spacing w:after="0" w:line="249" w:lineRule="auto"/>
        <w:rPr>
          <w:sz w:val="20"/>
          <w:szCs w:val="20"/>
          <w:color w:val="auto"/>
        </w:rPr>
      </w:pPr>
      <w:r>
        <w:rPr>
          <w:rFonts w:ascii="Times New Roman" w:cs="Times New Roman" w:eastAsia="Times New Roman" w:hAnsi="Times New Roman"/>
          <w:sz w:val="14"/>
          <w:szCs w:val="14"/>
          <w:color w:val="auto"/>
        </w:rPr>
        <w:t>In order to show how we calculate Loan Value in Example 4A when you already have an existing loan, we have to show both Policy Loan Balance and the Loan Account Cash Value. The Policy Loan Balance is an amount equal to the outstanding loan amounts plus accrued Loan Interest (interest we charge you for taking a loan, which accrues daily). The Loan Account Cash Value is the amount of Cash Value that was transferred from the Indexed Accounts, Holding Account, and/ or Fixed Account when the loan was taken and also includes the Loan Account interest (interest we credit you daily on the Cash Value in the Loan Account). On the Policy Anniversary, the Loan Account Cash Value will be adjusted to reflect the loan interest</w:t>
      </w:r>
    </w:p>
    <w:p>
      <w:pPr>
        <w:spacing w:after="0" w:line="199"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4"/>
          <w:szCs w:val="14"/>
          <w:color w:val="auto"/>
        </w:rPr>
        <w:t>41</w:t>
      </w:r>
    </w:p>
    <w:p>
      <w:pPr>
        <w:sectPr>
          <w:pgSz w:w="11900" w:h="16838" w:orient="portrait"/>
          <w:cols w:equalWidth="0" w:num="1">
            <w:col w:w="9219"/>
          </w:cols>
          <w:pgMar w:left="1240" w:top="1079" w:right="1440" w:bottom="1440" w:gutter="0" w:footer="0" w:header="0"/>
        </w:sectPr>
      </w:pPr>
    </w:p>
    <w:bookmarkStart w:id="44" w:name="page45"/>
    <w:bookmarkEnd w:id="44"/>
    <w:p>
      <w:pPr>
        <w:jc w:val="both"/>
        <w:ind w:left="5" w:right="2939"/>
        <w:spacing w:after="0" w:line="256"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422275</wp:posOffset>
            </wp:positionV>
            <wp:extent cx="719010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90105" cy="38735"/>
                    </a:xfrm>
                    <a:prstGeom prst="rect">
                      <a:avLst/>
                    </a:prstGeom>
                    <a:noFill/>
                  </pic:spPr>
                </pic:pic>
              </a:graphicData>
            </a:graphic>
          </wp:anchor>
        </w:drawing>
        <w:t>spread (the difference between the unpaid interest we charge you and the interest we credited you). When the Loan Interest is greater than the Loan Account interest, the Policy Loan Balance will be greater than the Loan Account Cash Value.</w:t>
      </w:r>
    </w:p>
    <w:p>
      <w:pPr>
        <w:spacing w:after="0" w:line="153" w:lineRule="exact"/>
        <w:rPr>
          <w:sz w:val="20"/>
          <w:szCs w:val="20"/>
          <w:color w:val="auto"/>
        </w:rPr>
      </w:pPr>
    </w:p>
    <w:p>
      <w:pPr>
        <w:ind w:left="5"/>
        <w:spacing w:after="0"/>
        <w:rPr>
          <w:sz w:val="20"/>
          <w:szCs w:val="20"/>
          <w:color w:val="auto"/>
        </w:rPr>
      </w:pPr>
      <w:r>
        <w:rPr>
          <w:rFonts w:ascii="Times New Roman" w:cs="Times New Roman" w:eastAsia="Times New Roman" w:hAnsi="Times New Roman"/>
          <w:sz w:val="14"/>
          <w:szCs w:val="14"/>
          <w:u w:val="single" w:color="auto"/>
          <w:color w:val="auto"/>
        </w:rPr>
        <w:t>Example 4A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4003675" cy="21158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4003675" cy="2115820"/>
                    </a:xfrm>
                    <a:prstGeom prst="rect">
                      <a:avLst/>
                    </a:prstGeom>
                    <a:noFill/>
                  </pic:spPr>
                </pic:pic>
              </a:graphicData>
            </a:graphic>
          </wp:anchor>
        </w:drawing>
      </w:r>
    </w:p>
    <w:p>
      <w:pPr>
        <w:spacing w:after="0" w:line="62" w:lineRule="exact"/>
        <w:rPr>
          <w:sz w:val="20"/>
          <w:szCs w:val="20"/>
          <w:color w:val="auto"/>
        </w:rPr>
      </w:pPr>
    </w:p>
    <w:p>
      <w:pPr>
        <w:ind w:left="85"/>
        <w:spacing w:after="0"/>
        <w:rPr>
          <w:sz w:val="20"/>
          <w:szCs w:val="20"/>
          <w:color w:val="auto"/>
        </w:rPr>
      </w:pPr>
      <w:r>
        <w:rPr>
          <w:rFonts w:ascii="Times New Roman" w:cs="Times New Roman" w:eastAsia="Times New Roman" w:hAnsi="Times New Roman"/>
          <w:sz w:val="14"/>
          <w:szCs w:val="14"/>
          <w:b w:val="1"/>
          <w:bCs w:val="1"/>
          <w:color w:val="auto"/>
        </w:rPr>
        <w:t>Cash Value Allocations Halfway Through Policy Year</w:t>
      </w:r>
    </w:p>
    <w:p>
      <w:pPr>
        <w:spacing w:after="0" w:line="21" w:lineRule="exact"/>
        <w:rPr>
          <w:sz w:val="20"/>
          <w:szCs w:val="20"/>
          <w:color w:val="auto"/>
        </w:rPr>
      </w:pPr>
    </w:p>
    <w:tbl>
      <w:tblPr>
        <w:tblLayout w:type="fixed"/>
        <w:tblInd w:w="5" w:type="dxa"/>
        <w:tblCellMar>
          <w:top w:w="0" w:type="dxa"/>
          <w:left w:w="0" w:type="dxa"/>
          <w:bottom w:w="0" w:type="dxa"/>
          <w:right w:w="0" w:type="dxa"/>
        </w:tblCellMar>
      </w:tblPr>
      <w:tr>
        <w:trPr>
          <w:trHeight w:val="216"/>
        </w:trPr>
        <w:tc>
          <w:tcPr>
            <w:tcW w:w="4900" w:type="dxa"/>
            <w:vAlign w:val="bottom"/>
            <w:tcBorders>
              <w:top w:val="single" w:sz="8" w:color="auto"/>
              <w:bottom w:val="single" w:sz="8" w:color="F0FFFF"/>
              <w:right w:val="single" w:sz="8" w:color="auto"/>
            </w:tcBorders>
            <w:shd w:val="clear" w:color="auto" w:fill="F0FFFF"/>
          </w:tcPr>
          <w:p>
            <w:pPr>
              <w:ind w:left="220"/>
              <w:spacing w:after="0"/>
              <w:rPr>
                <w:sz w:val="20"/>
                <w:szCs w:val="20"/>
                <w:color w:val="auto"/>
              </w:rPr>
            </w:pPr>
            <w:r>
              <w:rPr>
                <w:rFonts w:ascii="Times New Roman" w:cs="Times New Roman" w:eastAsia="Times New Roman" w:hAnsi="Times New Roman"/>
                <w:sz w:val="14"/>
                <w:szCs w:val="14"/>
                <w:color w:val="auto"/>
              </w:rPr>
              <w:t>Fixed Account Cash Value</w:t>
            </w:r>
          </w:p>
        </w:tc>
        <w:tc>
          <w:tcPr>
            <w:tcW w:w="1380" w:type="dxa"/>
            <w:vAlign w:val="bottom"/>
            <w:tcBorders>
              <w:top w:val="single" w:sz="8" w:color="auto"/>
              <w:bottom w:val="single" w:sz="8" w:color="F0FFFF"/>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color w:val="auto"/>
              </w:rPr>
              <w:t>$15,000</w:t>
            </w:r>
          </w:p>
        </w:tc>
        <w:tc>
          <w:tcPr>
            <w:tcW w:w="20" w:type="dxa"/>
            <w:vAlign w:val="bottom"/>
            <w:tcBorders>
              <w:top w:val="single" w:sz="8" w:color="auto"/>
            </w:tcBorders>
          </w:tcPr>
          <w:p>
            <w:pPr>
              <w:spacing w:after="0"/>
              <w:rPr>
                <w:sz w:val="18"/>
                <w:szCs w:val="18"/>
                <w:color w:val="auto"/>
              </w:rPr>
            </w:pPr>
          </w:p>
        </w:tc>
      </w:tr>
      <w:tr>
        <w:trPr>
          <w:trHeight w:val="174"/>
        </w:trPr>
        <w:tc>
          <w:tcPr>
            <w:tcW w:w="4900" w:type="dxa"/>
            <w:vAlign w:val="bottom"/>
            <w:tcBorders>
              <w:top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rPr>
              <w:t>Indexed Account Cash Value</w:t>
            </w:r>
          </w:p>
        </w:tc>
        <w:tc>
          <w:tcPr>
            <w:tcW w:w="1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$20,500</w:t>
            </w:r>
          </w:p>
        </w:tc>
        <w:tc>
          <w:tcPr>
            <w:tcW w:w="20" w:type="dxa"/>
            <w:vAlign w:val="bottom"/>
            <w:tcBorders>
              <w:top w:val="single" w:sz="8" w:color="auto"/>
            </w:tcBorders>
          </w:tcPr>
          <w:p>
            <w:pPr>
              <w:spacing w:after="0"/>
              <w:rPr>
                <w:sz w:val="15"/>
                <w:szCs w:val="15"/>
                <w:color w:val="auto"/>
              </w:rPr>
            </w:pPr>
          </w:p>
        </w:tc>
      </w:tr>
      <w:tr>
        <w:trPr>
          <w:trHeight w:val="22"/>
        </w:trPr>
        <w:tc>
          <w:tcPr>
            <w:tcW w:w="4900" w:type="dxa"/>
            <w:vAlign w:val="bottom"/>
            <w:tcBorders>
              <w:bottom w:val="single" w:sz="8" w:color="auto"/>
              <w:right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196"/>
        </w:trPr>
        <w:tc>
          <w:tcPr>
            <w:tcW w:w="4900" w:type="dxa"/>
            <w:vAlign w:val="bottom"/>
            <w:tcBorders>
              <w:bottom w:val="single" w:sz="8" w:color="F0FFFF"/>
              <w:right w:val="single" w:sz="8" w:color="auto"/>
            </w:tcBorders>
            <w:shd w:val="clear" w:color="auto" w:fill="F0FFFF"/>
          </w:tcPr>
          <w:p>
            <w:pPr>
              <w:ind w:left="220"/>
              <w:spacing w:after="0"/>
              <w:rPr>
                <w:sz w:val="20"/>
                <w:szCs w:val="20"/>
                <w:color w:val="auto"/>
              </w:rPr>
            </w:pPr>
            <w:r>
              <w:rPr>
                <w:rFonts w:ascii="Times New Roman" w:cs="Times New Roman" w:eastAsia="Times New Roman" w:hAnsi="Times New Roman"/>
                <w:sz w:val="14"/>
                <w:szCs w:val="14"/>
                <w:color w:val="auto"/>
              </w:rPr>
              <w:t>Holding Account Cash Value</w:t>
            </w:r>
          </w:p>
        </w:tc>
        <w:tc>
          <w:tcPr>
            <w:tcW w:w="1380" w:type="dxa"/>
            <w:vAlign w:val="bottom"/>
            <w:tcBorders>
              <w:bottom w:val="single" w:sz="8" w:color="F0FFFF"/>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color w:val="auto"/>
                <w:w w:val="98"/>
              </w:rPr>
              <w:t>$5,000</w:t>
            </w:r>
          </w:p>
        </w:tc>
        <w:tc>
          <w:tcPr>
            <w:tcW w:w="20" w:type="dxa"/>
            <w:vAlign w:val="bottom"/>
          </w:tcPr>
          <w:p>
            <w:pPr>
              <w:spacing w:after="0"/>
              <w:rPr>
                <w:sz w:val="17"/>
                <w:szCs w:val="17"/>
                <w:color w:val="auto"/>
              </w:rPr>
            </w:pPr>
          </w:p>
        </w:tc>
      </w:tr>
      <w:tr>
        <w:trPr>
          <w:trHeight w:val="174"/>
        </w:trPr>
        <w:tc>
          <w:tcPr>
            <w:tcW w:w="4900" w:type="dxa"/>
            <w:vAlign w:val="bottom"/>
            <w:tcBorders>
              <w:top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rPr>
              <w:t>Loan Account Cash Value</w:t>
            </w:r>
          </w:p>
        </w:tc>
        <w:tc>
          <w:tcPr>
            <w:tcW w:w="1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$9,500</w:t>
            </w:r>
          </w:p>
        </w:tc>
        <w:tc>
          <w:tcPr>
            <w:tcW w:w="20" w:type="dxa"/>
            <w:vAlign w:val="bottom"/>
            <w:tcBorders>
              <w:top w:val="single" w:sz="8" w:color="auto"/>
            </w:tcBorders>
          </w:tcPr>
          <w:p>
            <w:pPr>
              <w:spacing w:after="0"/>
              <w:rPr>
                <w:sz w:val="15"/>
                <w:szCs w:val="15"/>
                <w:color w:val="auto"/>
              </w:rPr>
            </w:pPr>
          </w:p>
        </w:tc>
      </w:tr>
      <w:tr>
        <w:trPr>
          <w:trHeight w:val="22"/>
        </w:trPr>
        <w:tc>
          <w:tcPr>
            <w:tcW w:w="4900" w:type="dxa"/>
            <w:vAlign w:val="bottom"/>
            <w:tcBorders>
              <w:bottom w:val="single" w:sz="8" w:color="auto"/>
              <w:right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06"/>
        </w:trPr>
        <w:tc>
          <w:tcPr>
            <w:tcW w:w="4900" w:type="dxa"/>
            <w:vAlign w:val="bottom"/>
            <w:tcBorders>
              <w:bottom w:val="single" w:sz="8" w:color="auto"/>
              <w:right w:val="single" w:sz="8" w:color="auto"/>
            </w:tcBorders>
            <w:shd w:val="clear" w:color="auto" w:fill="F0FFFF"/>
          </w:tcPr>
          <w:p>
            <w:pPr>
              <w:ind w:left="220"/>
              <w:spacing w:after="0"/>
              <w:rPr>
                <w:sz w:val="20"/>
                <w:szCs w:val="20"/>
                <w:color w:val="auto"/>
              </w:rPr>
            </w:pPr>
            <w:r>
              <w:rPr>
                <w:rFonts w:ascii="Times New Roman" w:cs="Times New Roman" w:eastAsia="Times New Roman" w:hAnsi="Times New Roman"/>
                <w:sz w:val="14"/>
                <w:szCs w:val="14"/>
                <w:color w:val="auto"/>
              </w:rPr>
              <w:t>Cash Value</w:t>
            </w:r>
            <w:r>
              <w:rPr>
                <w:rFonts w:ascii="Times New Roman" w:cs="Times New Roman" w:eastAsia="Times New Roman" w:hAnsi="Times New Roman"/>
                <w:sz w:val="17"/>
                <w:szCs w:val="17"/>
                <w:color w:val="auto"/>
                <w:vertAlign w:val="superscript"/>
              </w:rPr>
              <w:t>(1)</w:t>
            </w:r>
          </w:p>
        </w:tc>
        <w:tc>
          <w:tcPr>
            <w:tcW w:w="1380" w:type="dxa"/>
            <w:vAlign w:val="bottom"/>
            <w:tcBorders>
              <w:bottom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color w:val="auto"/>
              </w:rPr>
              <w:t>$50,000</w:t>
            </w:r>
          </w:p>
        </w:tc>
        <w:tc>
          <w:tcPr>
            <w:tcW w:w="20" w:type="dxa"/>
            <w:vAlign w:val="bottom"/>
            <w:tcBorders>
              <w:bottom w:val="single" w:sz="8" w:color="auto"/>
            </w:tcBorders>
          </w:tcPr>
          <w:p>
            <w:pPr>
              <w:spacing w:after="0"/>
              <w:rPr>
                <w:sz w:val="17"/>
                <w:szCs w:val="17"/>
                <w:color w:val="auto"/>
              </w:rPr>
            </w:pPr>
          </w:p>
        </w:tc>
      </w:tr>
      <w:tr>
        <w:trPr>
          <w:trHeight w:val="174"/>
        </w:trPr>
        <w:tc>
          <w:tcPr>
            <w:tcW w:w="490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Loan Value Calculation Halfway Through Policy Year</w:t>
            </w:r>
          </w:p>
        </w:tc>
        <w:tc>
          <w:tcPr>
            <w:tcW w:w="13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2"/>
        </w:trPr>
        <w:tc>
          <w:tcPr>
            <w:tcW w:w="49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06"/>
        </w:trPr>
        <w:tc>
          <w:tcPr>
            <w:tcW w:w="4900" w:type="dxa"/>
            <w:vAlign w:val="bottom"/>
            <w:tcBorders>
              <w:bottom w:val="single" w:sz="8" w:color="auto"/>
              <w:right w:val="single" w:sz="8" w:color="auto"/>
            </w:tcBorders>
            <w:shd w:val="clear" w:color="auto" w:fill="F0FFFF"/>
          </w:tcPr>
          <w:p>
            <w:pPr>
              <w:ind w:left="220"/>
              <w:spacing w:after="0"/>
              <w:rPr>
                <w:sz w:val="20"/>
                <w:szCs w:val="20"/>
                <w:color w:val="auto"/>
              </w:rPr>
            </w:pPr>
            <w:r>
              <w:rPr>
                <w:rFonts w:ascii="Times New Roman" w:cs="Times New Roman" w:eastAsia="Times New Roman" w:hAnsi="Times New Roman"/>
                <w:sz w:val="14"/>
                <w:szCs w:val="14"/>
                <w:color w:val="auto"/>
              </w:rPr>
              <w:t>90% of Cash Value</w:t>
            </w:r>
            <w:r>
              <w:rPr>
                <w:rFonts w:ascii="Times New Roman" w:cs="Times New Roman" w:eastAsia="Times New Roman" w:hAnsi="Times New Roman"/>
                <w:sz w:val="17"/>
                <w:szCs w:val="17"/>
                <w:color w:val="auto"/>
                <w:vertAlign w:val="superscript"/>
              </w:rPr>
              <w:t>(2)</w:t>
            </w:r>
          </w:p>
        </w:tc>
        <w:tc>
          <w:tcPr>
            <w:tcW w:w="1380" w:type="dxa"/>
            <w:vAlign w:val="bottom"/>
            <w:tcBorders>
              <w:bottom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color w:val="auto"/>
              </w:rPr>
              <w:t>$45,000</w:t>
            </w:r>
          </w:p>
        </w:tc>
        <w:tc>
          <w:tcPr>
            <w:tcW w:w="20" w:type="dxa"/>
            <w:vAlign w:val="bottom"/>
            <w:tcBorders>
              <w:bottom w:val="single" w:sz="8" w:color="auto"/>
            </w:tcBorders>
          </w:tcPr>
          <w:p>
            <w:pPr>
              <w:spacing w:after="0"/>
              <w:rPr>
                <w:sz w:val="17"/>
                <w:szCs w:val="17"/>
                <w:color w:val="auto"/>
              </w:rPr>
            </w:pPr>
          </w:p>
        </w:tc>
      </w:tr>
      <w:tr>
        <w:trPr>
          <w:trHeight w:val="206"/>
        </w:trPr>
        <w:tc>
          <w:tcPr>
            <w:tcW w:w="490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rPr>
              <w:t>Projected Fixed Account interest to the next Policy Anniversary</w:t>
            </w:r>
            <w:r>
              <w:rPr>
                <w:rFonts w:ascii="Times New Roman" w:cs="Times New Roman" w:eastAsia="Times New Roman" w:hAnsi="Times New Roman"/>
                <w:sz w:val="17"/>
                <w:szCs w:val="17"/>
                <w:color w:val="auto"/>
                <w:vertAlign w:val="superscript"/>
              </w:rPr>
              <w:t>(3)</w:t>
            </w: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$67</w:t>
            </w:r>
          </w:p>
        </w:tc>
        <w:tc>
          <w:tcPr>
            <w:tcW w:w="20" w:type="dxa"/>
            <w:vAlign w:val="bottom"/>
            <w:tcBorders>
              <w:bottom w:val="single" w:sz="8" w:color="auto"/>
            </w:tcBorders>
          </w:tcPr>
          <w:p>
            <w:pPr>
              <w:spacing w:after="0"/>
              <w:rPr>
                <w:sz w:val="17"/>
                <w:szCs w:val="17"/>
                <w:color w:val="auto"/>
              </w:rPr>
            </w:pPr>
          </w:p>
        </w:tc>
      </w:tr>
      <w:tr>
        <w:trPr>
          <w:trHeight w:val="206"/>
        </w:trPr>
        <w:tc>
          <w:tcPr>
            <w:tcW w:w="4900" w:type="dxa"/>
            <w:vAlign w:val="bottom"/>
            <w:tcBorders>
              <w:bottom w:val="single" w:sz="8" w:color="auto"/>
              <w:right w:val="single" w:sz="8" w:color="auto"/>
            </w:tcBorders>
            <w:shd w:val="clear" w:color="auto" w:fill="F0FFFF"/>
          </w:tcPr>
          <w:p>
            <w:pPr>
              <w:ind w:left="220"/>
              <w:spacing w:after="0"/>
              <w:rPr>
                <w:sz w:val="20"/>
                <w:szCs w:val="20"/>
                <w:color w:val="auto"/>
              </w:rPr>
            </w:pPr>
            <w:r>
              <w:rPr>
                <w:rFonts w:ascii="Times New Roman" w:cs="Times New Roman" w:eastAsia="Times New Roman" w:hAnsi="Times New Roman"/>
                <w:sz w:val="14"/>
                <w:szCs w:val="14"/>
                <w:color w:val="auto"/>
              </w:rPr>
              <w:t>Projected Holding Account interest to the next Policy Anniversary</w:t>
            </w:r>
            <w:r>
              <w:rPr>
                <w:rFonts w:ascii="Times New Roman" w:cs="Times New Roman" w:eastAsia="Times New Roman" w:hAnsi="Times New Roman"/>
                <w:sz w:val="17"/>
                <w:szCs w:val="17"/>
                <w:color w:val="auto"/>
                <w:vertAlign w:val="superscript"/>
              </w:rPr>
              <w:t>(4)</w:t>
            </w:r>
          </w:p>
        </w:tc>
        <w:tc>
          <w:tcPr>
            <w:tcW w:w="1380" w:type="dxa"/>
            <w:vAlign w:val="bottom"/>
            <w:tcBorders>
              <w:bottom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color w:val="auto"/>
              </w:rPr>
              <w:t>$22</w:t>
            </w:r>
          </w:p>
        </w:tc>
        <w:tc>
          <w:tcPr>
            <w:tcW w:w="20" w:type="dxa"/>
            <w:vAlign w:val="bottom"/>
            <w:tcBorders>
              <w:bottom w:val="single" w:sz="8" w:color="auto"/>
            </w:tcBorders>
          </w:tcPr>
          <w:p>
            <w:pPr>
              <w:spacing w:after="0"/>
              <w:rPr>
                <w:sz w:val="17"/>
                <w:szCs w:val="17"/>
                <w:color w:val="auto"/>
              </w:rPr>
            </w:pPr>
          </w:p>
        </w:tc>
      </w:tr>
      <w:tr>
        <w:trPr>
          <w:trHeight w:val="206"/>
        </w:trPr>
        <w:tc>
          <w:tcPr>
            <w:tcW w:w="490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rPr>
              <w:t>Projected Loan Account interest to the next Policy Anniversary</w:t>
            </w:r>
            <w:r>
              <w:rPr>
                <w:rFonts w:ascii="Times New Roman" w:cs="Times New Roman" w:eastAsia="Times New Roman" w:hAnsi="Times New Roman"/>
                <w:sz w:val="17"/>
                <w:szCs w:val="17"/>
                <w:color w:val="auto"/>
                <w:vertAlign w:val="superscript"/>
              </w:rPr>
              <w:t>(5)</w:t>
            </w: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$42</w:t>
            </w:r>
          </w:p>
        </w:tc>
        <w:tc>
          <w:tcPr>
            <w:tcW w:w="20" w:type="dxa"/>
            <w:vAlign w:val="bottom"/>
            <w:tcBorders>
              <w:bottom w:val="single" w:sz="8" w:color="auto"/>
            </w:tcBorders>
          </w:tcPr>
          <w:p>
            <w:pPr>
              <w:spacing w:after="0"/>
              <w:rPr>
                <w:sz w:val="17"/>
                <w:szCs w:val="17"/>
                <w:color w:val="auto"/>
              </w:rPr>
            </w:pPr>
          </w:p>
        </w:tc>
      </w:tr>
      <w:tr>
        <w:trPr>
          <w:trHeight w:val="196"/>
        </w:trPr>
        <w:tc>
          <w:tcPr>
            <w:tcW w:w="4900" w:type="dxa"/>
            <w:vAlign w:val="bottom"/>
            <w:tcBorders>
              <w:bottom w:val="single" w:sz="8" w:color="F0FFFF"/>
              <w:right w:val="single" w:sz="8" w:color="auto"/>
            </w:tcBorders>
            <w:shd w:val="clear" w:color="auto" w:fill="F0FFFF"/>
          </w:tcPr>
          <w:p>
            <w:pPr>
              <w:ind w:left="220"/>
              <w:spacing w:after="0"/>
              <w:rPr>
                <w:sz w:val="20"/>
                <w:szCs w:val="20"/>
                <w:color w:val="auto"/>
              </w:rPr>
            </w:pPr>
            <w:r>
              <w:rPr>
                <w:rFonts w:ascii="Times New Roman" w:cs="Times New Roman" w:eastAsia="Times New Roman" w:hAnsi="Times New Roman"/>
                <w:sz w:val="14"/>
                <w:szCs w:val="14"/>
                <w:color w:val="auto"/>
              </w:rPr>
              <w:t>Policy Loan Balance</w:t>
            </w:r>
          </w:p>
        </w:tc>
        <w:tc>
          <w:tcPr>
            <w:tcW w:w="1380" w:type="dxa"/>
            <w:vAlign w:val="bottom"/>
            <w:tcBorders>
              <w:bottom w:val="single" w:sz="8" w:color="F0FFFF"/>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color w:val="auto"/>
              </w:rPr>
              <w:t>$10,000</w:t>
            </w:r>
          </w:p>
        </w:tc>
        <w:tc>
          <w:tcPr>
            <w:tcW w:w="20" w:type="dxa"/>
            <w:vAlign w:val="bottom"/>
          </w:tcPr>
          <w:p>
            <w:pPr>
              <w:spacing w:after="0"/>
              <w:rPr>
                <w:sz w:val="17"/>
                <w:szCs w:val="17"/>
                <w:color w:val="auto"/>
              </w:rPr>
            </w:pPr>
          </w:p>
        </w:tc>
      </w:tr>
      <w:tr>
        <w:trPr>
          <w:trHeight w:val="206"/>
        </w:trPr>
        <w:tc>
          <w:tcPr>
            <w:tcW w:w="4900" w:type="dxa"/>
            <w:vAlign w:val="bottom"/>
            <w:tcBorders>
              <w:top w:val="single" w:sz="8" w:color="auto"/>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rPr>
              <w:t>Projected Loan Interest to the next Policy Anniversary</w:t>
            </w:r>
            <w:r>
              <w:rPr>
                <w:rFonts w:ascii="Times New Roman" w:cs="Times New Roman" w:eastAsia="Times New Roman" w:hAnsi="Times New Roman"/>
                <w:sz w:val="17"/>
                <w:szCs w:val="17"/>
                <w:color w:val="auto"/>
                <w:vertAlign w:val="superscript"/>
              </w:rPr>
              <w:t>(6)</w:t>
            </w:r>
          </w:p>
        </w:tc>
        <w:tc>
          <w:tcPr>
            <w:tcW w:w="13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$1,810</w:t>
            </w:r>
          </w:p>
        </w:tc>
        <w:tc>
          <w:tcPr>
            <w:tcW w:w="20" w:type="dxa"/>
            <w:vAlign w:val="bottom"/>
            <w:tcBorders>
              <w:top w:val="single" w:sz="8" w:color="auto"/>
              <w:bottom w:val="single" w:sz="8" w:color="auto"/>
            </w:tcBorders>
          </w:tcPr>
          <w:p>
            <w:pPr>
              <w:spacing w:after="0"/>
              <w:rPr>
                <w:sz w:val="17"/>
                <w:szCs w:val="17"/>
                <w:color w:val="auto"/>
              </w:rPr>
            </w:pPr>
          </w:p>
        </w:tc>
      </w:tr>
      <w:tr>
        <w:trPr>
          <w:trHeight w:val="196"/>
        </w:trPr>
        <w:tc>
          <w:tcPr>
            <w:tcW w:w="4900" w:type="dxa"/>
            <w:vAlign w:val="bottom"/>
            <w:tcBorders>
              <w:bottom w:val="single" w:sz="8" w:color="F0FFFF"/>
              <w:right w:val="single" w:sz="8" w:color="auto"/>
            </w:tcBorders>
            <w:shd w:val="clear" w:color="auto" w:fill="F0FFFF"/>
          </w:tcPr>
          <w:p>
            <w:pPr>
              <w:ind w:left="220"/>
              <w:spacing w:after="0"/>
              <w:rPr>
                <w:sz w:val="20"/>
                <w:szCs w:val="20"/>
                <w:color w:val="auto"/>
              </w:rPr>
            </w:pPr>
            <w:r>
              <w:rPr>
                <w:rFonts w:ascii="Times New Roman" w:cs="Times New Roman" w:eastAsia="Times New Roman" w:hAnsi="Times New Roman"/>
                <w:sz w:val="14"/>
                <w:szCs w:val="14"/>
                <w:color w:val="auto"/>
              </w:rPr>
              <w:t>Surrender charge</w:t>
            </w:r>
          </w:p>
        </w:tc>
        <w:tc>
          <w:tcPr>
            <w:tcW w:w="1380" w:type="dxa"/>
            <w:vAlign w:val="bottom"/>
            <w:tcBorders>
              <w:bottom w:val="single" w:sz="8" w:color="F0FFFF"/>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color w:val="auto"/>
                <w:w w:val="98"/>
              </w:rPr>
              <w:t>$2,000</w:t>
            </w:r>
          </w:p>
        </w:tc>
        <w:tc>
          <w:tcPr>
            <w:tcW w:w="20" w:type="dxa"/>
            <w:vAlign w:val="bottom"/>
          </w:tcPr>
          <w:p>
            <w:pPr>
              <w:spacing w:after="0"/>
              <w:rPr>
                <w:sz w:val="17"/>
                <w:szCs w:val="17"/>
                <w:color w:val="auto"/>
              </w:rPr>
            </w:pPr>
          </w:p>
        </w:tc>
      </w:tr>
      <w:tr>
        <w:trPr>
          <w:trHeight w:val="191"/>
        </w:trPr>
        <w:tc>
          <w:tcPr>
            <w:tcW w:w="4900" w:type="dxa"/>
            <w:vAlign w:val="bottom"/>
            <w:tcBorders>
              <w:top w:val="single" w:sz="8" w:color="auto"/>
              <w:bottom w:val="single" w:sz="8" w:color="auto"/>
              <w:right w:val="single" w:sz="8" w:color="auto"/>
            </w:tcBorders>
          </w:tcPr>
          <w:p>
            <w:pPr>
              <w:ind w:left="220"/>
              <w:spacing w:after="0" w:line="191" w:lineRule="exact"/>
              <w:rPr>
                <w:sz w:val="20"/>
                <w:szCs w:val="20"/>
                <w:color w:val="auto"/>
              </w:rPr>
            </w:pPr>
            <w:r>
              <w:rPr>
                <w:rFonts w:ascii="Times New Roman" w:cs="Times New Roman" w:eastAsia="Times New Roman" w:hAnsi="Times New Roman"/>
                <w:sz w:val="14"/>
                <w:szCs w:val="14"/>
                <w:color w:val="auto"/>
              </w:rPr>
              <w:t>Loan Value</w:t>
            </w:r>
            <w:r>
              <w:rPr>
                <w:rFonts w:ascii="Times New Roman" w:cs="Times New Roman" w:eastAsia="Times New Roman" w:hAnsi="Times New Roman"/>
                <w:sz w:val="17"/>
                <w:szCs w:val="17"/>
                <w:color w:val="auto"/>
                <w:vertAlign w:val="superscript"/>
              </w:rPr>
              <w:t>(7)</w:t>
            </w:r>
          </w:p>
        </w:tc>
        <w:tc>
          <w:tcPr>
            <w:tcW w:w="13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$31,321</w:t>
            </w:r>
          </w:p>
        </w:tc>
        <w:tc>
          <w:tcPr>
            <w:tcW w:w="20" w:type="dxa"/>
            <w:vAlign w:val="bottom"/>
            <w:tcBorders>
              <w:top w:val="single" w:sz="8" w:color="auto"/>
              <w:bottom w:val="single" w:sz="8" w:color="auto"/>
            </w:tcBorders>
          </w:tcPr>
          <w:p>
            <w:pPr>
              <w:spacing w:after="0"/>
              <w:rPr>
                <w:sz w:val="16"/>
                <w:szCs w:val="16"/>
                <w:color w:val="auto"/>
              </w:rPr>
            </w:pPr>
          </w:p>
        </w:tc>
      </w:tr>
    </w:tbl>
    <w:p>
      <w:pPr>
        <w:spacing w:after="0" w:line="24" w:lineRule="exact"/>
        <w:rPr>
          <w:sz w:val="20"/>
          <w:szCs w:val="20"/>
          <w:color w:val="auto"/>
        </w:rPr>
      </w:pPr>
    </w:p>
    <w:p>
      <w:pPr>
        <w:ind w:left="5"/>
        <w:spacing w:after="0"/>
        <w:rPr>
          <w:sz w:val="20"/>
          <w:szCs w:val="20"/>
          <w:color w:val="auto"/>
        </w:rPr>
      </w:pPr>
      <w:r>
        <w:rPr>
          <w:rFonts w:ascii="Times New Roman" w:cs="Times New Roman" w:eastAsia="Times New Roman" w:hAnsi="Times New Roman"/>
          <w:sz w:val="13"/>
          <w:szCs w:val="13"/>
          <w:color w:val="auto"/>
        </w:rPr>
        <w:t>The following notes to the table above provide important calculations showing how certain values are determined.</w:t>
      </w:r>
    </w:p>
    <w:p>
      <w:pPr>
        <w:ind w:left="5"/>
        <w:spacing w:after="0" w:line="183" w:lineRule="auto"/>
        <w:rPr>
          <w:sz w:val="20"/>
          <w:szCs w:val="20"/>
          <w:color w:val="auto"/>
        </w:rPr>
      </w:pPr>
      <w:r>
        <w:rPr>
          <w:rFonts w:ascii="Times New Roman" w:cs="Times New Roman" w:eastAsia="Times New Roman" w:hAnsi="Times New Roman"/>
          <w:sz w:val="8"/>
          <w:szCs w:val="8"/>
          <w:color w:val="auto"/>
        </w:rPr>
        <w:t>(1)</w:t>
      </w:r>
    </w:p>
    <w:p>
      <w:pPr>
        <w:ind w:left="265" w:right="2999"/>
        <w:spacing w:after="0" w:line="235" w:lineRule="auto"/>
        <w:rPr>
          <w:sz w:val="20"/>
          <w:szCs w:val="20"/>
          <w:color w:val="auto"/>
        </w:rPr>
      </w:pPr>
      <w:r>
        <w:rPr>
          <w:rFonts w:ascii="Times New Roman" w:cs="Times New Roman" w:eastAsia="Times New Roman" w:hAnsi="Times New Roman"/>
          <w:sz w:val="14"/>
          <w:szCs w:val="14"/>
          <w:color w:val="auto"/>
        </w:rPr>
        <w:t>Cash Value is equal to the total of the Fixed Account, Indexed Account, Holding Account and Loan Account cash values. Cash Value is calculated as follows:</w:t>
      </w:r>
    </w:p>
    <w:p>
      <w:pPr>
        <w:spacing w:after="0" w:line="38" w:lineRule="exact"/>
        <w:rPr>
          <w:sz w:val="20"/>
          <w:szCs w:val="20"/>
          <w:color w:val="auto"/>
        </w:rPr>
      </w:pPr>
    </w:p>
    <w:p>
      <w:pPr>
        <w:ind w:left="945"/>
        <w:spacing w:after="0"/>
        <w:rPr>
          <w:sz w:val="20"/>
          <w:szCs w:val="20"/>
          <w:color w:val="auto"/>
        </w:rPr>
      </w:pPr>
      <w:r>
        <w:rPr>
          <w:rFonts w:ascii="Times New Roman" w:cs="Times New Roman" w:eastAsia="Times New Roman" w:hAnsi="Times New Roman"/>
          <w:sz w:val="14"/>
          <w:szCs w:val="14"/>
          <w:color w:val="auto"/>
        </w:rPr>
        <w:t>$15,000 [Fixed Account Cash Value] + $20,500 [Indexed Account Cash Value]</w:t>
      </w:r>
    </w:p>
    <w:p>
      <w:pPr>
        <w:ind w:left="805" w:hanging="104"/>
        <w:spacing w:after="0"/>
        <w:tabs>
          <w:tab w:leader="none" w:pos="805" w:val="left"/>
        </w:tabs>
        <w:numPr>
          <w:ilvl w:val="1"/>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$5,000 [Holding Account Cash Value] + $9,500 [Loan Account Cash Value] = $50,000</w:t>
      </w:r>
    </w:p>
    <w:p>
      <w:pPr>
        <w:spacing w:after="0" w:line="1" w:lineRule="exact"/>
        <w:rPr>
          <w:rFonts w:ascii="Times New Roman" w:cs="Times New Roman" w:eastAsia="Times New Roman" w:hAnsi="Times New Roman"/>
          <w:sz w:val="14"/>
          <w:szCs w:val="14"/>
          <w:color w:val="auto"/>
        </w:rPr>
      </w:pPr>
    </w:p>
    <w:p>
      <w:pPr>
        <w:ind w:left="265" w:hanging="265"/>
        <w:spacing w:after="0" w:line="238" w:lineRule="auto"/>
        <w:tabs>
          <w:tab w:leader="none" w:pos="265" w:val="left"/>
        </w:tabs>
        <w:numPr>
          <w:ilvl w:val="0"/>
          <w:numId w:val="30"/>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90% of the Cash Value is calculated as follows:</w:t>
      </w:r>
    </w:p>
    <w:p>
      <w:pPr>
        <w:spacing w:after="0" w:line="30" w:lineRule="exact"/>
        <w:rPr>
          <w:sz w:val="20"/>
          <w:szCs w:val="20"/>
          <w:color w:val="auto"/>
        </w:rPr>
      </w:pPr>
    </w:p>
    <w:p>
      <w:pPr>
        <w:ind w:left="2065"/>
        <w:spacing w:after="0"/>
        <w:rPr>
          <w:sz w:val="20"/>
          <w:szCs w:val="20"/>
          <w:color w:val="auto"/>
        </w:rPr>
      </w:pPr>
      <w:r>
        <w:rPr>
          <w:rFonts w:ascii="Times New Roman" w:cs="Times New Roman" w:eastAsia="Times New Roman" w:hAnsi="Times New Roman"/>
          <w:sz w:val="14"/>
          <w:szCs w:val="14"/>
          <w:color w:val="auto"/>
        </w:rPr>
        <w:t>90% x $50,000 [Cash Value] = $45,000</w:t>
      </w:r>
    </w:p>
    <w:p>
      <w:pPr>
        <w:spacing w:after="0" w:line="45" w:lineRule="exact"/>
        <w:rPr>
          <w:sz w:val="20"/>
          <w:szCs w:val="20"/>
          <w:color w:val="auto"/>
        </w:rPr>
      </w:pPr>
    </w:p>
    <w:p>
      <w:pPr>
        <w:jc w:val="both"/>
        <w:ind w:left="265" w:right="2999" w:hanging="265"/>
        <w:spacing w:after="0" w:line="218" w:lineRule="auto"/>
        <w:tabs>
          <w:tab w:leader="none" w:pos="265" w:val="left"/>
        </w:tabs>
        <w:numPr>
          <w:ilvl w:val="0"/>
          <w:numId w:val="31"/>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Projected Fixed Account interest to the next Policy Anniversary is equal to 90% of the Fixed Account Cash Value multiplied by the Fixed Account Guaranteed Minimum Interest Rate multiplied by the number of days to the next Policy Anniversary divided by the total number of days in the Policy Year. The projected Fixed Account interest to the next Policy Anniversary is calculated as follows:</w:t>
      </w:r>
    </w:p>
    <w:p>
      <w:pPr>
        <w:spacing w:after="0" w:line="42" w:lineRule="exact"/>
        <w:rPr>
          <w:sz w:val="20"/>
          <w:szCs w:val="20"/>
          <w:color w:val="auto"/>
        </w:rPr>
      </w:pPr>
    </w:p>
    <w:p>
      <w:pPr>
        <w:jc w:val="center"/>
        <w:ind w:right="2974"/>
        <w:spacing w:after="0"/>
        <w:rPr>
          <w:sz w:val="20"/>
          <w:szCs w:val="20"/>
          <w:color w:val="auto"/>
        </w:rPr>
      </w:pPr>
      <w:r>
        <w:rPr>
          <w:rFonts w:ascii="Times New Roman" w:cs="Times New Roman" w:eastAsia="Times New Roman" w:hAnsi="Times New Roman"/>
          <w:sz w:val="14"/>
          <w:szCs w:val="14"/>
          <w:color w:val="auto"/>
        </w:rPr>
        <w:t>90% x $15,000 [Fixed Account Cash Value] x 1% [Fixed Account Guaranteed Minimum Interest Rate]</w:t>
      </w:r>
    </w:p>
    <w:p>
      <w:pPr>
        <w:spacing w:after="0" w:line="2" w:lineRule="exact"/>
        <w:rPr>
          <w:sz w:val="20"/>
          <w:szCs w:val="20"/>
          <w:color w:val="auto"/>
        </w:rPr>
      </w:pPr>
    </w:p>
    <w:p>
      <w:pPr>
        <w:jc w:val="center"/>
        <w:ind w:right="2934"/>
        <w:spacing w:after="0"/>
        <w:rPr>
          <w:sz w:val="20"/>
          <w:szCs w:val="20"/>
          <w:color w:val="auto"/>
        </w:rPr>
      </w:pPr>
      <w:r>
        <w:rPr>
          <w:rFonts w:ascii="Times New Roman" w:cs="Times New Roman" w:eastAsia="Times New Roman" w:hAnsi="Times New Roman"/>
          <w:sz w:val="14"/>
          <w:szCs w:val="14"/>
          <w:color w:val="auto"/>
        </w:rPr>
        <w:t>x (183 [days to the next Policy Anniversary] ÷ 365) = $67</w:t>
      </w:r>
    </w:p>
    <w:p>
      <w:pPr>
        <w:ind w:left="5"/>
        <w:spacing w:after="0"/>
        <w:rPr>
          <w:sz w:val="20"/>
          <w:szCs w:val="20"/>
          <w:color w:val="auto"/>
        </w:rPr>
      </w:pPr>
      <w:r>
        <w:rPr>
          <w:rFonts w:ascii="Times New Roman" w:cs="Times New Roman" w:eastAsia="Times New Roman" w:hAnsi="Times New Roman"/>
          <w:sz w:val="4"/>
          <w:szCs w:val="4"/>
          <w:color w:val="auto"/>
        </w:rPr>
        <w:t>(4)</w:t>
      </w:r>
    </w:p>
    <w:p>
      <w:pPr>
        <w:spacing w:after="0" w:line="4" w:lineRule="exact"/>
        <w:rPr>
          <w:sz w:val="20"/>
          <w:szCs w:val="20"/>
          <w:color w:val="auto"/>
        </w:rPr>
      </w:pPr>
    </w:p>
    <w:p>
      <w:pPr>
        <w:jc w:val="both"/>
        <w:ind w:left="265" w:right="2999"/>
        <w:spacing w:after="0" w:line="229" w:lineRule="auto"/>
        <w:rPr>
          <w:sz w:val="20"/>
          <w:szCs w:val="20"/>
          <w:color w:val="auto"/>
        </w:rPr>
      </w:pPr>
      <w:r>
        <w:rPr>
          <w:rFonts w:ascii="Times New Roman" w:cs="Times New Roman" w:eastAsia="Times New Roman" w:hAnsi="Times New Roman"/>
          <w:sz w:val="14"/>
          <w:szCs w:val="14"/>
          <w:color w:val="auto"/>
        </w:rPr>
        <w:t>Projected Holding Account interest to the next Policy Anniversary is equal to 90% of the Holding Account Cash Value multiplied by the Holding Account guaranteed minimum interest rate multiplied by the number of days to the next Policy Anniversary divided by the total number of days in the Policy Year. The projected Holding Account interest to the next Policy Anniversary is calculated as follows:</w:t>
      </w:r>
    </w:p>
    <w:p>
      <w:pPr>
        <w:spacing w:after="0" w:line="37" w:lineRule="exact"/>
        <w:rPr>
          <w:sz w:val="20"/>
          <w:szCs w:val="20"/>
          <w:color w:val="auto"/>
        </w:rPr>
      </w:pPr>
    </w:p>
    <w:p>
      <w:pPr>
        <w:jc w:val="center"/>
        <w:ind w:right="2974"/>
        <w:spacing w:after="0"/>
        <w:rPr>
          <w:sz w:val="20"/>
          <w:szCs w:val="20"/>
          <w:color w:val="auto"/>
        </w:rPr>
      </w:pPr>
      <w:r>
        <w:rPr>
          <w:rFonts w:ascii="Times New Roman" w:cs="Times New Roman" w:eastAsia="Times New Roman" w:hAnsi="Times New Roman"/>
          <w:sz w:val="14"/>
          <w:szCs w:val="14"/>
          <w:color w:val="auto"/>
        </w:rPr>
        <w:t>90% x $5,000 [Holding Account Cash Value] x 1% [Holding Account guaranteed minimum interest rate]</w:t>
      </w:r>
    </w:p>
    <w:p>
      <w:pPr>
        <w:jc w:val="center"/>
        <w:ind w:right="2934"/>
        <w:spacing w:after="0"/>
        <w:rPr>
          <w:sz w:val="20"/>
          <w:szCs w:val="20"/>
          <w:color w:val="auto"/>
        </w:rPr>
      </w:pPr>
      <w:r>
        <w:rPr>
          <w:rFonts w:ascii="Times New Roman" w:cs="Times New Roman" w:eastAsia="Times New Roman" w:hAnsi="Times New Roman"/>
          <w:sz w:val="14"/>
          <w:szCs w:val="14"/>
          <w:color w:val="auto"/>
        </w:rPr>
        <w:t>x (183 [days to the next Policy Anniversary] ÷ 365) = $22</w:t>
      </w:r>
    </w:p>
    <w:p>
      <w:pPr>
        <w:spacing w:after="0" w:line="31" w:lineRule="exact"/>
        <w:rPr>
          <w:sz w:val="20"/>
          <w:szCs w:val="20"/>
          <w:color w:val="auto"/>
        </w:rPr>
      </w:pPr>
    </w:p>
    <w:p>
      <w:pPr>
        <w:jc w:val="both"/>
        <w:ind w:left="265" w:right="2999" w:hanging="265"/>
        <w:spacing w:after="0" w:line="218" w:lineRule="auto"/>
        <w:tabs>
          <w:tab w:leader="none" w:pos="265" w:val="left"/>
        </w:tabs>
        <w:numPr>
          <w:ilvl w:val="0"/>
          <w:numId w:val="32"/>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Projected Loan Account interest to the next Policy Anniversary is equal to 90% of the Loan Account Cash Value multiplied by the Loan Account guaranteed minimum interest rate multiplied by the number of days to the next Policy Anniversary divided by the total number of days in the Policy Year. The projected Loan Account interest to the next Policy Anniversary is calculated as follows:</w:t>
      </w:r>
    </w:p>
    <w:p>
      <w:pPr>
        <w:spacing w:after="0" w:line="42" w:lineRule="exact"/>
        <w:rPr>
          <w:sz w:val="20"/>
          <w:szCs w:val="20"/>
          <w:color w:val="auto"/>
        </w:rPr>
      </w:pPr>
    </w:p>
    <w:p>
      <w:pPr>
        <w:jc w:val="center"/>
        <w:ind w:right="2974"/>
        <w:spacing w:after="0"/>
        <w:rPr>
          <w:sz w:val="20"/>
          <w:szCs w:val="20"/>
          <w:color w:val="auto"/>
        </w:rPr>
      </w:pPr>
      <w:r>
        <w:rPr>
          <w:rFonts w:ascii="Times New Roman" w:cs="Times New Roman" w:eastAsia="Times New Roman" w:hAnsi="Times New Roman"/>
          <w:sz w:val="14"/>
          <w:szCs w:val="14"/>
          <w:color w:val="auto"/>
        </w:rPr>
        <w:t>90% x $9,500 [Loan Account Cash Value] x 1% [Loan Account guaranteed minimum interest rate]</w:t>
      </w:r>
    </w:p>
    <w:p>
      <w:pPr>
        <w:spacing w:after="0" w:line="2" w:lineRule="exact"/>
        <w:rPr>
          <w:sz w:val="20"/>
          <w:szCs w:val="20"/>
          <w:color w:val="auto"/>
        </w:rPr>
      </w:pPr>
    </w:p>
    <w:p>
      <w:pPr>
        <w:jc w:val="center"/>
        <w:ind w:right="2934"/>
        <w:spacing w:after="0"/>
        <w:rPr>
          <w:sz w:val="20"/>
          <w:szCs w:val="20"/>
          <w:color w:val="auto"/>
        </w:rPr>
      </w:pPr>
      <w:r>
        <w:rPr>
          <w:rFonts w:ascii="Times New Roman" w:cs="Times New Roman" w:eastAsia="Times New Roman" w:hAnsi="Times New Roman"/>
          <w:sz w:val="14"/>
          <w:szCs w:val="14"/>
          <w:color w:val="auto"/>
        </w:rPr>
        <w:t>x (183 [days to the next Policy Anniversary] ÷ 365) = $42</w:t>
      </w:r>
    </w:p>
    <w:p>
      <w:pPr>
        <w:ind w:left="5"/>
        <w:spacing w:after="0"/>
        <w:rPr>
          <w:sz w:val="20"/>
          <w:szCs w:val="20"/>
          <w:color w:val="auto"/>
        </w:rPr>
      </w:pPr>
      <w:r>
        <w:rPr>
          <w:rFonts w:ascii="Times New Roman" w:cs="Times New Roman" w:eastAsia="Times New Roman" w:hAnsi="Times New Roman"/>
          <w:sz w:val="4"/>
          <w:szCs w:val="4"/>
          <w:color w:val="auto"/>
        </w:rPr>
        <w:t>(6)</w:t>
      </w:r>
    </w:p>
    <w:p>
      <w:pPr>
        <w:spacing w:after="0" w:line="4" w:lineRule="exact"/>
        <w:rPr>
          <w:sz w:val="20"/>
          <w:szCs w:val="20"/>
          <w:color w:val="auto"/>
        </w:rPr>
      </w:pPr>
    </w:p>
    <w:p>
      <w:pPr>
        <w:jc w:val="both"/>
        <w:ind w:left="265" w:right="2999"/>
        <w:spacing w:after="0" w:line="229" w:lineRule="auto"/>
        <w:rPr>
          <w:sz w:val="20"/>
          <w:szCs w:val="20"/>
          <w:color w:val="auto"/>
        </w:rPr>
      </w:pPr>
      <w:r>
        <w:rPr>
          <w:rFonts w:ascii="Times New Roman" w:cs="Times New Roman" w:eastAsia="Times New Roman" w:hAnsi="Times New Roman"/>
          <w:sz w:val="14"/>
          <w:szCs w:val="14"/>
          <w:color w:val="auto"/>
        </w:rPr>
        <w:t>Projected Loan Interest to the next Policy Anniversary is equal to 90% of the Cash Value plus Fixed Account, Holding Account and Loan Account interest to the next Policy Anniversary, multiplied by the Annual Maximum Fixed Loan Interest Rate multiplied by the number of days to the next Policy Anniversary divided by the total number of days in the Policy Year. The projected Loan interest to the next Policy Anniversary is calculated as follows:</w:t>
      </w:r>
    </w:p>
    <w:p>
      <w:pPr>
        <w:spacing w:after="0" w:line="41" w:lineRule="exact"/>
        <w:rPr>
          <w:sz w:val="20"/>
          <w:szCs w:val="20"/>
          <w:color w:val="auto"/>
        </w:rPr>
      </w:pPr>
    </w:p>
    <w:p>
      <w:pPr>
        <w:ind w:left="305"/>
        <w:spacing w:after="0"/>
        <w:rPr>
          <w:sz w:val="20"/>
          <w:szCs w:val="20"/>
          <w:color w:val="auto"/>
        </w:rPr>
      </w:pPr>
      <w:r>
        <w:rPr>
          <w:rFonts w:ascii="Times New Roman" w:cs="Times New Roman" w:eastAsia="Times New Roman" w:hAnsi="Times New Roman"/>
          <w:sz w:val="14"/>
          <w:szCs w:val="14"/>
          <w:color w:val="auto"/>
        </w:rPr>
        <w:t>($45,000 [90% of Cash Value] + $67 [projected Fixed Account interest to the next Policy Anniversary]</w:t>
      </w:r>
    </w:p>
    <w:p>
      <w:pPr>
        <w:spacing w:after="0" w:line="1" w:lineRule="exact"/>
        <w:rPr>
          <w:sz w:val="20"/>
          <w:szCs w:val="20"/>
          <w:color w:val="auto"/>
        </w:rPr>
      </w:pPr>
    </w:p>
    <w:p>
      <w:pPr>
        <w:ind w:left="1205" w:hanging="120"/>
        <w:spacing w:after="0"/>
        <w:tabs>
          <w:tab w:leader="none" w:pos="1205" w:val="left"/>
        </w:tabs>
        <w:numPr>
          <w:ilvl w:val="1"/>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$22 [projected Holding Account interest to the next Policy Anniversary]</w:t>
      </w:r>
    </w:p>
    <w:p>
      <w:pPr>
        <w:ind w:left="245" w:hanging="114"/>
        <w:spacing w:after="0" w:line="230" w:lineRule="auto"/>
        <w:tabs>
          <w:tab w:leader="none" w:pos="245"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$42 [projected Loan Account interest to the next Policy Anniversary]) x 8% [Annual Maximum Fixed Loan</w:t>
      </w:r>
    </w:p>
    <w:p>
      <w:pPr>
        <w:ind w:left="2945"/>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w:t>
      </w:r>
    </w:p>
    <w:p>
      <w:pPr>
        <w:spacing w:after="0" w:line="206" w:lineRule="exact"/>
        <w:rPr>
          <w:sz w:val="20"/>
          <w:szCs w:val="20"/>
          <w:color w:val="auto"/>
        </w:rPr>
      </w:pPr>
    </w:p>
    <w:p>
      <w:pPr>
        <w:ind w:left="3085"/>
        <w:spacing w:after="0"/>
        <w:rPr>
          <w:sz w:val="20"/>
          <w:szCs w:val="20"/>
          <w:color w:val="auto"/>
        </w:rPr>
      </w:pPr>
      <w:r>
        <w:rPr>
          <w:rFonts w:ascii="Times New Roman" w:cs="Times New Roman" w:eastAsia="Times New Roman" w:hAnsi="Times New Roman"/>
          <w:sz w:val="14"/>
          <w:szCs w:val="14"/>
          <w:color w:val="auto"/>
        </w:rPr>
        <w:t>42</w:t>
      </w:r>
    </w:p>
    <w:p>
      <w:pPr>
        <w:sectPr>
          <w:pgSz w:w="11900" w:h="16838" w:orient="portrait"/>
          <w:cols w:equalWidth="0" w:num="1">
            <w:col w:w="9224"/>
          </w:cols>
          <w:pgMar w:left="1235" w:top="1083" w:right="1440" w:bottom="1440" w:gutter="0" w:footer="0" w:header="0"/>
        </w:sectPr>
      </w:pPr>
    </w:p>
    <w:bookmarkStart w:id="45" w:name="page46"/>
    <w:bookmarkEnd w:id="45"/>
    <w:p>
      <w:pPr>
        <w:jc w:val="center"/>
        <w:ind w:right="2974"/>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422275</wp:posOffset>
            </wp:positionV>
            <wp:extent cx="719010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90105" cy="38735"/>
                    </a:xfrm>
                    <a:prstGeom prst="rect">
                      <a:avLst/>
                    </a:prstGeom>
                    <a:noFill/>
                  </pic:spPr>
                </pic:pic>
              </a:graphicData>
            </a:graphic>
          </wp:anchor>
        </w:drawing>
        <w:t>Rate]</w:t>
      </w:r>
    </w:p>
    <w:p>
      <w:pPr>
        <w:spacing w:after="0" w:line="7" w:lineRule="exact"/>
        <w:rPr>
          <w:sz w:val="20"/>
          <w:szCs w:val="20"/>
          <w:color w:val="auto"/>
        </w:rPr>
      </w:pPr>
    </w:p>
    <w:p>
      <w:pPr>
        <w:jc w:val="center"/>
        <w:ind w:right="2934"/>
        <w:spacing w:after="0"/>
        <w:rPr>
          <w:sz w:val="20"/>
          <w:szCs w:val="20"/>
          <w:color w:val="auto"/>
        </w:rPr>
      </w:pPr>
      <w:r>
        <w:rPr>
          <w:rFonts w:ascii="Times New Roman" w:cs="Times New Roman" w:eastAsia="Times New Roman" w:hAnsi="Times New Roman"/>
          <w:sz w:val="14"/>
          <w:szCs w:val="14"/>
          <w:color w:val="auto"/>
        </w:rPr>
        <w:t>x (183 [days to the next Policy Anniversary] ÷ 365) = $1,810</w:t>
      </w:r>
    </w:p>
    <w:p>
      <w:pPr>
        <w:spacing w:after="0" w:line="31" w:lineRule="exact"/>
        <w:rPr>
          <w:sz w:val="20"/>
          <w:szCs w:val="20"/>
          <w:color w:val="auto"/>
        </w:rPr>
      </w:pPr>
    </w:p>
    <w:p>
      <w:pPr>
        <w:jc w:val="both"/>
        <w:ind w:left="265" w:right="2999" w:hanging="265"/>
        <w:spacing w:after="0" w:line="219" w:lineRule="auto"/>
        <w:tabs>
          <w:tab w:leader="none" w:pos="265" w:val="left"/>
        </w:tabs>
        <w:numPr>
          <w:ilvl w:val="0"/>
          <w:numId w:val="34"/>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Loan Value is equal to 90% of the Cash Value plus projected Fixed Account, Holding Account and Loan Account interest to the next Policy Anniversary less Loan Balance less projected Loan Interest to the next Policy Anniversary less Surrender charge. The Loan Value is calculated as follows:</w:t>
      </w:r>
    </w:p>
    <w:p>
      <w:pPr>
        <w:spacing w:after="0" w:line="42" w:lineRule="exact"/>
        <w:rPr>
          <w:sz w:val="20"/>
          <w:szCs w:val="20"/>
          <w:color w:val="auto"/>
        </w:rPr>
      </w:pPr>
    </w:p>
    <w:p>
      <w:pPr>
        <w:ind w:left="325"/>
        <w:spacing w:after="0"/>
        <w:rPr>
          <w:sz w:val="20"/>
          <w:szCs w:val="20"/>
          <w:color w:val="auto"/>
        </w:rPr>
      </w:pPr>
      <w:r>
        <w:rPr>
          <w:rFonts w:ascii="Times New Roman" w:cs="Times New Roman" w:eastAsia="Times New Roman" w:hAnsi="Times New Roman"/>
          <w:sz w:val="14"/>
          <w:szCs w:val="14"/>
          <w:color w:val="auto"/>
        </w:rPr>
        <w:t>$45,000 [90% of Cash Value] + $67 [projected Fixed Account interest to the next Policy Anniversary]</w:t>
      </w:r>
    </w:p>
    <w:p>
      <w:pPr>
        <w:spacing w:after="0" w:line="15" w:lineRule="exact"/>
        <w:rPr>
          <w:sz w:val="20"/>
          <w:szCs w:val="20"/>
          <w:color w:val="auto"/>
        </w:rPr>
      </w:pPr>
    </w:p>
    <w:p>
      <w:pPr>
        <w:ind w:left="1205" w:hanging="120"/>
        <w:spacing w:after="0"/>
        <w:tabs>
          <w:tab w:leader="none" w:pos="1205" w:val="left"/>
        </w:tabs>
        <w:numPr>
          <w:ilvl w:val="2"/>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$22 [projected Holding Account interest to the next Policy Anniversary]</w:t>
      </w:r>
    </w:p>
    <w:p>
      <w:pPr>
        <w:spacing w:after="0" w:line="3" w:lineRule="exact"/>
        <w:rPr>
          <w:rFonts w:ascii="Times New Roman" w:cs="Times New Roman" w:eastAsia="Times New Roman" w:hAnsi="Times New Roman"/>
          <w:sz w:val="14"/>
          <w:szCs w:val="14"/>
          <w:color w:val="auto"/>
        </w:rPr>
      </w:pPr>
    </w:p>
    <w:p>
      <w:pPr>
        <w:ind w:left="545" w:hanging="109"/>
        <w:spacing w:after="0" w:line="218" w:lineRule="auto"/>
        <w:tabs>
          <w:tab w:leader="none" w:pos="545" w:val="left"/>
        </w:tabs>
        <w:numPr>
          <w:ilvl w:val="1"/>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$42 [projected Loan Account interest to the next Policy Anniversary] – $10,000 [Loan Balance]</w:t>
      </w:r>
    </w:p>
    <w:p>
      <w:pPr>
        <w:ind w:left="265"/>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$1,810 [projected Loan Interest to the next Policy Anniversary] – $2,000 [Surrender charge] = $31,321</w:t>
      </w:r>
    </w:p>
    <w:p>
      <w:pPr>
        <w:spacing w:after="0" w:line="160" w:lineRule="exact"/>
        <w:rPr>
          <w:sz w:val="20"/>
          <w:szCs w:val="20"/>
          <w:color w:val="auto"/>
        </w:rPr>
      </w:pPr>
    </w:p>
    <w:p>
      <w:pPr>
        <w:ind w:left="5"/>
        <w:spacing w:after="0"/>
        <w:rPr>
          <w:sz w:val="20"/>
          <w:szCs w:val="20"/>
          <w:color w:val="auto"/>
        </w:rPr>
      </w:pPr>
      <w:r>
        <w:rPr>
          <w:rFonts w:ascii="Times New Roman" w:cs="Times New Roman" w:eastAsia="Times New Roman" w:hAnsi="Times New Roman"/>
          <w:sz w:val="14"/>
          <w:szCs w:val="14"/>
          <w:b w:val="1"/>
          <w:bCs w:val="1"/>
          <w:color w:val="auto"/>
        </w:rPr>
        <w:t>Loan Repayment</w:t>
      </w:r>
    </w:p>
    <w:p>
      <w:pPr>
        <w:spacing w:after="0" w:line="86" w:lineRule="exact"/>
        <w:rPr>
          <w:sz w:val="20"/>
          <w:szCs w:val="20"/>
          <w:color w:val="auto"/>
        </w:rPr>
      </w:pPr>
    </w:p>
    <w:p>
      <w:pPr>
        <w:ind w:left="5"/>
        <w:spacing w:after="0"/>
        <w:rPr>
          <w:sz w:val="20"/>
          <w:szCs w:val="20"/>
          <w:color w:val="auto"/>
        </w:rPr>
      </w:pPr>
      <w:r>
        <w:rPr>
          <w:rFonts w:ascii="Times New Roman" w:cs="Times New Roman" w:eastAsia="Times New Roman" w:hAnsi="Times New Roman"/>
          <w:sz w:val="14"/>
          <w:szCs w:val="14"/>
          <w:b w:val="1"/>
          <w:bCs w:val="1"/>
          <w:color w:val="auto"/>
        </w:rPr>
        <w:t>(Applies to all loans, including Distribution Payments and the One-time Payment under the GDR.)</w:t>
      </w:r>
    </w:p>
    <w:p>
      <w:pPr>
        <w:spacing w:after="0" w:line="100" w:lineRule="exact"/>
        <w:rPr>
          <w:sz w:val="20"/>
          <w:szCs w:val="20"/>
          <w:color w:val="auto"/>
        </w:rPr>
      </w:pPr>
    </w:p>
    <w:p>
      <w:pPr>
        <w:jc w:val="both"/>
        <w:ind w:left="5" w:right="2939" w:firstLine="274"/>
        <w:spacing w:after="0" w:line="252" w:lineRule="auto"/>
        <w:rPr>
          <w:sz w:val="20"/>
          <w:szCs w:val="20"/>
          <w:color w:val="auto"/>
        </w:rPr>
      </w:pPr>
      <w:r>
        <w:rPr>
          <w:rFonts w:ascii="Times New Roman" w:cs="Times New Roman" w:eastAsia="Times New Roman" w:hAnsi="Times New Roman"/>
          <w:sz w:val="14"/>
          <w:szCs w:val="14"/>
          <w:color w:val="auto"/>
        </w:rPr>
        <w:t>You may repay all or part of your loan at any time while the Insured is still alive. Any loan repayment must be at least $50 unless you are paying the entire Policy Loan Balance. When you make a loan repayment, the portion of the loan repayment that is not Loan Interest will be transferred from the Loan Account to the Fixed Account or the Holding Accounts, according to your latest premium allocation instruction on file with us.</w:t>
      </w:r>
    </w:p>
    <w:p>
      <w:pPr>
        <w:spacing w:after="0" w:line="64" w:lineRule="exact"/>
        <w:rPr>
          <w:sz w:val="20"/>
          <w:szCs w:val="20"/>
          <w:color w:val="auto"/>
        </w:rPr>
      </w:pPr>
    </w:p>
    <w:p>
      <w:pPr>
        <w:jc w:val="both"/>
        <w:ind w:left="5" w:right="2939" w:firstLine="274"/>
        <w:spacing w:after="0" w:line="252" w:lineRule="auto"/>
        <w:rPr>
          <w:sz w:val="20"/>
          <w:szCs w:val="20"/>
          <w:color w:val="auto"/>
        </w:rPr>
      </w:pPr>
      <w:r>
        <w:rPr>
          <w:rFonts w:ascii="Times New Roman" w:cs="Times New Roman" w:eastAsia="Times New Roman" w:hAnsi="Times New Roman"/>
          <w:sz w:val="14"/>
          <w:szCs w:val="14"/>
          <w:color w:val="auto"/>
        </w:rPr>
        <w:t>If a loan is outstanding, it may be better to repay the loan than to pay a premium, because the premium payment is subject to the Percent of Premium Charge, and the loan repayment is not subject to this charge. If you have a loan and we receive a payment, any payment we receive will be applied as a loan repayment unless it is clearly marked as a premium payment. Loans and Loan Interest also reduce any Policy Proceeds.</w:t>
      </w:r>
    </w:p>
    <w:p>
      <w:pPr>
        <w:spacing w:after="0" w:line="64" w:lineRule="exact"/>
        <w:rPr>
          <w:sz w:val="20"/>
          <w:szCs w:val="20"/>
          <w:color w:val="auto"/>
        </w:rPr>
      </w:pPr>
    </w:p>
    <w:p>
      <w:pPr>
        <w:jc w:val="both"/>
        <w:ind w:left="5" w:right="2939" w:firstLine="274"/>
        <w:spacing w:after="0" w:line="256" w:lineRule="auto"/>
        <w:rPr>
          <w:sz w:val="20"/>
          <w:szCs w:val="20"/>
          <w:color w:val="auto"/>
        </w:rPr>
      </w:pPr>
      <w:r>
        <w:rPr>
          <w:rFonts w:ascii="Times New Roman" w:cs="Times New Roman" w:eastAsia="Times New Roman" w:hAnsi="Times New Roman"/>
          <w:sz w:val="14"/>
          <w:szCs w:val="14"/>
          <w:color w:val="auto"/>
        </w:rPr>
        <w:t>A loan that is taken from, or secured by, a Policy may have tax consequences. Although the issue is not free from doubt, we believe that a loan from or secured by a Policy that is not classified as a MEC should generally not be treated as a taxable distribution. A tax adviser should be consulted when considering a loan.</w:t>
      </w:r>
    </w:p>
    <w:p>
      <w:pPr>
        <w:spacing w:after="0" w:line="139" w:lineRule="exact"/>
        <w:rPr>
          <w:sz w:val="20"/>
          <w:szCs w:val="20"/>
          <w:color w:val="auto"/>
        </w:rPr>
      </w:pPr>
    </w:p>
    <w:p>
      <w:pPr>
        <w:ind w:left="5"/>
        <w:spacing w:after="0"/>
        <w:rPr>
          <w:sz w:val="20"/>
          <w:szCs w:val="20"/>
          <w:color w:val="auto"/>
        </w:rPr>
      </w:pPr>
      <w:r>
        <w:rPr>
          <w:rFonts w:ascii="Times New Roman" w:cs="Times New Roman" w:eastAsia="Times New Roman" w:hAnsi="Times New Roman"/>
          <w:sz w:val="14"/>
          <w:szCs w:val="14"/>
          <w:b w:val="1"/>
          <w:bCs w:val="1"/>
          <w:color w:val="auto"/>
        </w:rPr>
        <w:t>Interest</w:t>
      </w:r>
    </w:p>
    <w:p>
      <w:pPr>
        <w:spacing w:after="0" w:line="86" w:lineRule="exact"/>
        <w:rPr>
          <w:sz w:val="20"/>
          <w:szCs w:val="20"/>
          <w:color w:val="auto"/>
        </w:rPr>
      </w:pPr>
    </w:p>
    <w:p>
      <w:pPr>
        <w:ind w:left="5"/>
        <w:spacing w:after="0"/>
        <w:rPr>
          <w:sz w:val="20"/>
          <w:szCs w:val="20"/>
          <w:color w:val="auto"/>
        </w:rPr>
      </w:pPr>
      <w:r>
        <w:rPr>
          <w:rFonts w:ascii="Times New Roman" w:cs="Times New Roman" w:eastAsia="Times New Roman" w:hAnsi="Times New Roman"/>
          <w:sz w:val="14"/>
          <w:szCs w:val="14"/>
          <w:b w:val="1"/>
          <w:bCs w:val="1"/>
          <w:color w:val="auto"/>
        </w:rPr>
        <w:t>(Applies to all loans, including Distribution Payments and the One-time Payment under the GDR.)</w:t>
      </w:r>
    </w:p>
    <w:p>
      <w:pPr>
        <w:spacing w:after="0" w:line="90" w:lineRule="exact"/>
        <w:rPr>
          <w:sz w:val="20"/>
          <w:szCs w:val="20"/>
          <w:color w:val="auto"/>
        </w:rPr>
      </w:pPr>
    </w:p>
    <w:p>
      <w:pPr>
        <w:ind w:left="265"/>
        <w:spacing w:after="0"/>
        <w:rPr>
          <w:sz w:val="20"/>
          <w:szCs w:val="20"/>
          <w:color w:val="auto"/>
        </w:rPr>
      </w:pPr>
      <w:r>
        <w:rPr>
          <w:rFonts w:ascii="Times New Roman" w:cs="Times New Roman" w:eastAsia="Times New Roman" w:hAnsi="Times New Roman"/>
          <w:sz w:val="14"/>
          <w:szCs w:val="14"/>
          <w:color w:val="auto"/>
        </w:rPr>
        <w:t>We charge Loan Interest on loans, and you earn interest on the Cash Value in the Loan Account.</w:t>
      </w:r>
    </w:p>
    <w:p>
      <w:pPr>
        <w:spacing w:after="0" w:line="86" w:lineRule="exact"/>
        <w:rPr>
          <w:sz w:val="20"/>
          <w:szCs w:val="20"/>
          <w:color w:val="auto"/>
        </w:rPr>
      </w:pPr>
    </w:p>
    <w:p>
      <w:pPr>
        <w:jc w:val="both"/>
        <w:ind w:left="5" w:right="2939" w:firstLine="274"/>
        <w:spacing w:after="0" w:line="267" w:lineRule="auto"/>
        <w:rPr>
          <w:sz w:val="20"/>
          <w:szCs w:val="20"/>
          <w:color w:val="auto"/>
        </w:rPr>
      </w:pPr>
      <w:r>
        <w:rPr>
          <w:rFonts w:ascii="Times New Roman" w:cs="Times New Roman" w:eastAsia="Times New Roman" w:hAnsi="Times New Roman"/>
          <w:sz w:val="14"/>
          <w:szCs w:val="14"/>
          <w:color w:val="auto"/>
        </w:rPr>
        <w:t>The Loan Interest we charge on the loan is subject to the annual maximum fixed loan interest rate (8%), and the interest you earn is subject to the Loan Account guaranteed minimum interest rate (not less than 1%).</w:t>
      </w:r>
    </w:p>
    <w:p>
      <w:pPr>
        <w:spacing w:after="0" w:line="53" w:lineRule="exact"/>
        <w:rPr>
          <w:sz w:val="20"/>
          <w:szCs w:val="20"/>
          <w:color w:val="auto"/>
        </w:rPr>
      </w:pPr>
    </w:p>
    <w:p>
      <w:pPr>
        <w:jc w:val="both"/>
        <w:ind w:left="5" w:right="2939" w:firstLine="274"/>
        <w:spacing w:after="0" w:line="249" w:lineRule="auto"/>
        <w:rPr>
          <w:sz w:val="20"/>
          <w:szCs w:val="20"/>
          <w:color w:val="auto"/>
        </w:rPr>
      </w:pPr>
      <w:r>
        <w:rPr>
          <w:rFonts w:ascii="Times New Roman" w:cs="Times New Roman" w:eastAsia="Times New Roman" w:hAnsi="Times New Roman"/>
          <w:sz w:val="14"/>
          <w:szCs w:val="14"/>
          <w:color w:val="auto"/>
        </w:rPr>
        <w:t>Loan Interest accrues daily based on the Policy Loan Balance and is due and payable annually on each Policy Anniversary. Such interest is calculated using compound interest at the annual maximum fixed loan interest rate. The annual maximum fixed loan interest rate is 8%, but we may use a lower interest rate, which will be shown on the annual statement. If not paid when due, we add the interest accrued to the loan amount, and we transfer an amount of Cash Value equal to the unpaid interest from the Indexed Accounts and the Fixed Account to the Loan Account in the same manner as a new loan. We may use a lower interest rate, which will be shown on the annual statement.</w:t>
      </w:r>
    </w:p>
    <w:p>
      <w:pPr>
        <w:spacing w:after="0" w:line="65" w:lineRule="exact"/>
        <w:rPr>
          <w:sz w:val="20"/>
          <w:szCs w:val="20"/>
          <w:color w:val="auto"/>
        </w:rPr>
      </w:pPr>
    </w:p>
    <w:p>
      <w:pPr>
        <w:jc w:val="both"/>
        <w:ind w:left="5" w:right="2939" w:firstLine="274"/>
        <w:spacing w:after="0" w:line="249" w:lineRule="auto"/>
        <w:rPr>
          <w:sz w:val="20"/>
          <w:szCs w:val="20"/>
          <w:color w:val="auto"/>
        </w:rPr>
      </w:pPr>
      <w:r>
        <w:rPr>
          <w:rFonts w:ascii="Times New Roman" w:cs="Times New Roman" w:eastAsia="Times New Roman" w:hAnsi="Times New Roman"/>
          <w:sz w:val="14"/>
          <w:szCs w:val="14"/>
          <w:color w:val="auto"/>
        </w:rPr>
        <w:t>Cash Value in the Loan Account earns interest daily, and the earned interest is transferred on each Policy Anniversary to the Indexed Accounts and to the Fixed Account, according to your latest allocation instructions on file with us. Earned interest is calculated using compound interest, and we can change the interest rate at any time. The current Loan Account guaranteed minimum interest rate for any Policy we offer will not be less than 1%. The Loan Account guaranteed minimum interest rate that applies to your Policy may be higher and can be found in the Policy specifications pages.</w:t>
      </w:r>
    </w:p>
    <w:p>
      <w:pPr>
        <w:spacing w:after="0" w:line="68" w:lineRule="exact"/>
        <w:rPr>
          <w:sz w:val="20"/>
          <w:szCs w:val="20"/>
          <w:color w:val="auto"/>
        </w:rPr>
      </w:pPr>
    </w:p>
    <w:p>
      <w:pPr>
        <w:jc w:val="both"/>
        <w:ind w:left="5" w:right="2939" w:firstLine="274"/>
        <w:spacing w:after="0" w:line="256" w:lineRule="auto"/>
        <w:rPr>
          <w:sz w:val="20"/>
          <w:szCs w:val="20"/>
          <w:color w:val="auto"/>
        </w:rPr>
      </w:pPr>
      <w:r>
        <w:rPr>
          <w:rFonts w:ascii="Times New Roman" w:cs="Times New Roman" w:eastAsia="Times New Roman" w:hAnsi="Times New Roman"/>
          <w:sz w:val="14"/>
          <w:szCs w:val="14"/>
          <w:color w:val="auto"/>
        </w:rPr>
        <w:t>Because Loan Interest accrues daily at an annual rate not more than the annual maximum fixed loan interest rate of 8%, and we credit interest on the Cash Value in Loan Account at a rate not less than the Loan Account guaranteed minimum interest rate of 1%, the loan interest spread will never be more than 7%.</w:t>
      </w:r>
    </w:p>
    <w:p>
      <w:pPr>
        <w:spacing w:after="0" w:line="57" w:lineRule="exact"/>
        <w:rPr>
          <w:sz w:val="20"/>
          <w:szCs w:val="20"/>
          <w:color w:val="auto"/>
        </w:rPr>
      </w:pPr>
    </w:p>
    <w:p>
      <w:pPr>
        <w:jc w:val="both"/>
        <w:ind w:left="5" w:right="2939" w:firstLine="274"/>
        <w:spacing w:after="0" w:line="259" w:lineRule="auto"/>
        <w:rPr>
          <w:sz w:val="20"/>
          <w:szCs w:val="20"/>
          <w:color w:val="auto"/>
        </w:rPr>
      </w:pPr>
      <w:r>
        <w:rPr>
          <w:rFonts w:ascii="Times New Roman" w:cs="Times New Roman" w:eastAsia="Times New Roman" w:hAnsi="Times New Roman"/>
          <w:sz w:val="14"/>
          <w:szCs w:val="14"/>
          <w:b w:val="1"/>
          <w:bCs w:val="1"/>
          <w:color w:val="auto"/>
        </w:rPr>
        <w:t>If the Loan Interest causes your Policy Loan Balance to exceed the Cash Value, less any Surrender charge, you will have an Excess Loan. We will notify you and any assignee of record of an Excess Loan, and if you do not repay the Excess Loan within the Grace Period, your Policy will lapse.</w:t>
      </w:r>
    </w:p>
    <w:p>
      <w:pPr>
        <w:spacing w:after="0" w:line="137" w:lineRule="exact"/>
        <w:rPr>
          <w:sz w:val="20"/>
          <w:szCs w:val="20"/>
          <w:color w:val="auto"/>
        </w:rPr>
      </w:pPr>
    </w:p>
    <w:p>
      <w:pPr>
        <w:ind w:left="5" w:right="3079"/>
        <w:spacing w:after="0" w:line="273" w:lineRule="auto"/>
        <w:rPr>
          <w:sz w:val="20"/>
          <w:szCs w:val="20"/>
          <w:color w:val="auto"/>
        </w:rPr>
      </w:pPr>
      <w:r>
        <w:rPr>
          <w:rFonts w:ascii="Times New Roman" w:cs="Times New Roman" w:eastAsia="Times New Roman" w:hAnsi="Times New Roman"/>
          <w:sz w:val="14"/>
          <w:szCs w:val="14"/>
          <w:b w:val="1"/>
          <w:bCs w:val="1"/>
          <w:i w:val="1"/>
          <w:iCs w:val="1"/>
          <w:color w:val="auto"/>
        </w:rPr>
        <w:t>Example 4B and 4C—How Loans Impact Interim Segment Value and Segment Value on a Segment Maturity Date</w:t>
      </w:r>
    </w:p>
    <w:p>
      <w:pPr>
        <w:spacing w:after="0" w:line="49" w:lineRule="exact"/>
        <w:rPr>
          <w:sz w:val="20"/>
          <w:szCs w:val="20"/>
          <w:color w:val="auto"/>
        </w:rPr>
      </w:pPr>
    </w:p>
    <w:p>
      <w:pPr>
        <w:jc w:val="both"/>
        <w:ind w:left="5" w:right="2939" w:firstLine="274"/>
        <w:spacing w:after="0" w:line="241" w:lineRule="auto"/>
        <w:rPr>
          <w:sz w:val="20"/>
          <w:szCs w:val="20"/>
          <w:color w:val="auto"/>
        </w:rPr>
      </w:pPr>
      <w:r>
        <w:rPr>
          <w:rFonts w:ascii="Times New Roman" w:cs="Times New Roman" w:eastAsia="Times New Roman" w:hAnsi="Times New Roman"/>
          <w:sz w:val="14"/>
          <w:szCs w:val="14"/>
          <w:color w:val="auto"/>
        </w:rPr>
        <w:t>Examples 4B and 4C are intended to show how loans that are not Distribution Payments impact Interim Segment Value and subsequently, Segment Value on a Segment Maturity Date. In both examples, assume Owner 1 allocates her $51,000 of Net Premiums to an Indexed Account with a 1-Year Segment Term / Buffer 10 / S&amp;P 500</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4"/>
          <w:szCs w:val="14"/>
          <w:color w:val="auto"/>
        </w:rPr>
        <w:t xml:space="preserve"> Index with a Cap Rate of 10%. Her Segment Value on the Segment Start Date is $51,000 (before deducting the Annual Deduction). Example 4B will illustrate one</w:t>
      </w:r>
    </w:p>
    <w:p>
      <w:pPr>
        <w:spacing w:after="0" w:line="217" w:lineRule="exact"/>
        <w:rPr>
          <w:sz w:val="20"/>
          <w:szCs w:val="20"/>
          <w:color w:val="auto"/>
        </w:rPr>
      </w:pPr>
    </w:p>
    <w:p>
      <w:pPr>
        <w:ind w:left="3085"/>
        <w:spacing w:after="0"/>
        <w:rPr>
          <w:sz w:val="20"/>
          <w:szCs w:val="20"/>
          <w:color w:val="auto"/>
        </w:rPr>
      </w:pPr>
      <w:r>
        <w:rPr>
          <w:rFonts w:ascii="Times New Roman" w:cs="Times New Roman" w:eastAsia="Times New Roman" w:hAnsi="Times New Roman"/>
          <w:sz w:val="14"/>
          <w:szCs w:val="14"/>
          <w:color w:val="auto"/>
        </w:rPr>
        <w:t>43</w:t>
      </w:r>
    </w:p>
    <w:p>
      <w:pPr>
        <w:sectPr>
          <w:pgSz w:w="11900" w:h="16838" w:orient="portrait"/>
          <w:cols w:equalWidth="0" w:num="1">
            <w:col w:w="9224"/>
          </w:cols>
          <w:pgMar w:left="1235" w:top="1083" w:right="1440" w:bottom="1440" w:gutter="0" w:footer="0" w:header="0"/>
        </w:sectPr>
      </w:pPr>
    </w:p>
    <w:bookmarkStart w:id="46" w:name="page47"/>
    <w:bookmarkEnd w:id="46"/>
    <w:p>
      <w:pPr>
        <w:jc w:val="both"/>
        <w:ind w:right="2939"/>
        <w:spacing w:after="0" w:line="24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422275</wp:posOffset>
            </wp:positionV>
            <wp:extent cx="719010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90105" cy="38735"/>
                    </a:xfrm>
                    <a:prstGeom prst="rect">
                      <a:avLst/>
                    </a:prstGeom>
                    <a:noFill/>
                  </pic:spPr>
                </pic:pic>
              </a:graphicData>
            </a:graphic>
          </wp:anchor>
        </w:drawing>
        <w:t>loan and an Interim Segment Value calculation with positive Segment Index Performance. Example 4C will illustrate two loans and Interim Segment Value calculations with negative Segment Index Performance. For purposes of example 4B, assume the loan is taken exactly halfway through the Segment Term and that there have been no other transactions (such as other loans or an Accelerated Death Benefit payment) as of the date the Interim Segment Value in the example is calculated. For purposes of Example 4C, assume the first loan is taken exactly halfway through the Segment Term and the second loan is taken 9 months into the Segment Term. Assume there have been no other transactions (such as other loans or an Accelerated Death Benefit payment) as of the date the Interim Segment Value is calculated for the first loan.</w:t>
      </w:r>
    </w:p>
    <w:p>
      <w:pPr>
        <w:spacing w:after="0" w:line="78" w:lineRule="exact"/>
        <w:rPr>
          <w:sz w:val="20"/>
          <w:szCs w:val="20"/>
          <w:color w:val="auto"/>
        </w:rPr>
      </w:pPr>
    </w:p>
    <w:p>
      <w:pPr>
        <w:jc w:val="both"/>
        <w:ind w:right="2939" w:firstLine="274"/>
        <w:spacing w:after="0" w:line="252" w:lineRule="auto"/>
        <w:rPr>
          <w:sz w:val="20"/>
          <w:szCs w:val="20"/>
          <w:color w:val="auto"/>
        </w:rPr>
      </w:pPr>
      <w:r>
        <w:rPr>
          <w:rFonts w:ascii="Times New Roman" w:cs="Times New Roman" w:eastAsia="Times New Roman" w:hAnsi="Times New Roman"/>
          <w:sz w:val="14"/>
          <w:szCs w:val="14"/>
          <w:color w:val="auto"/>
        </w:rPr>
        <w:t>Although not shown in the example, when a loan is taken, an amount equal to the loan is transferred from the Indexed Accounts, Holding Accounts, and the Fixed Account to the Loan Account to serve as collateral for the loan. The loan amount will be taken from the Indexed Accounts, Holding Accounts, and the Fixed Account in accordance with the Policy Deduction Method.</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Example 4B—Positive Segment Index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33655</wp:posOffset>
            </wp:positionV>
            <wp:extent cx="4003675" cy="31153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4003675" cy="3115310"/>
                    </a:xfrm>
                    <a:prstGeom prst="rect">
                      <a:avLst/>
                    </a:prstGeom>
                    <a:noFill/>
                  </pic:spPr>
                </pic:pic>
              </a:graphicData>
            </a:graphic>
          </wp:anchor>
        </w:drawing>
      </w:r>
    </w:p>
    <w:p>
      <w:pPr>
        <w:spacing w:after="0" w:line="6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b w:val="1"/>
          <w:bCs w:val="1"/>
          <w:color w:val="auto"/>
        </w:rPr>
        <w:t>Segment Start Date</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900" w:type="dxa"/>
            <w:vAlign w:val="bottom"/>
            <w:tcBorders>
              <w:top w:val="single" w:sz="8" w:color="auto"/>
              <w:bottom w:val="single" w:sz="8" w:color="auto"/>
              <w:right w:val="single" w:sz="8" w:color="auto"/>
            </w:tcBorders>
            <w:gridSpan w:val="2"/>
            <w:shd w:val="clear" w:color="auto" w:fill="F0FFFF"/>
          </w:tcPr>
          <w:p>
            <w:pPr>
              <w:ind w:left="220"/>
              <w:spacing w:after="0"/>
              <w:rPr>
                <w:sz w:val="20"/>
                <w:szCs w:val="20"/>
                <w:color w:val="auto"/>
              </w:rPr>
            </w:pPr>
            <w:r>
              <w:rPr>
                <w:rFonts w:ascii="Times New Roman" w:cs="Times New Roman" w:eastAsia="Times New Roman" w:hAnsi="Times New Roman"/>
                <w:sz w:val="14"/>
                <w:szCs w:val="14"/>
                <w:color w:val="auto"/>
              </w:rPr>
              <w:t>Segment Value (before deducting the Annual Deduction)</w:t>
            </w:r>
            <w:r>
              <w:rPr>
                <w:rFonts w:ascii="Times New Roman" w:cs="Times New Roman" w:eastAsia="Times New Roman" w:hAnsi="Times New Roman"/>
                <w:sz w:val="17"/>
                <w:szCs w:val="17"/>
                <w:color w:val="auto"/>
                <w:vertAlign w:val="superscript"/>
              </w:rPr>
              <w:t>(1)</w:t>
            </w:r>
          </w:p>
        </w:tc>
        <w:tc>
          <w:tcPr>
            <w:tcW w:w="1380" w:type="dxa"/>
            <w:vAlign w:val="bottom"/>
            <w:tcBorders>
              <w:top w:val="single" w:sz="8" w:color="auto"/>
              <w:bottom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color w:val="auto"/>
              </w:rPr>
              <w:t>$51,000</w:t>
            </w:r>
          </w:p>
        </w:tc>
        <w:tc>
          <w:tcPr>
            <w:tcW w:w="20" w:type="dxa"/>
            <w:vAlign w:val="bottom"/>
            <w:tcBorders>
              <w:top w:val="single" w:sz="8" w:color="auto"/>
              <w:bottom w:val="single" w:sz="8" w:color="auto"/>
            </w:tcBorders>
          </w:tcPr>
          <w:p>
            <w:pPr>
              <w:spacing w:after="0"/>
              <w:rPr>
                <w:sz w:val="19"/>
                <w:szCs w:val="19"/>
                <w:color w:val="auto"/>
              </w:rPr>
            </w:pPr>
          </w:p>
        </w:tc>
      </w:tr>
      <w:tr>
        <w:trPr>
          <w:trHeight w:val="206"/>
        </w:trPr>
        <w:tc>
          <w:tcPr>
            <w:tcW w:w="4900" w:type="dxa"/>
            <w:vAlign w:val="bottom"/>
            <w:tcBorders>
              <w:bottom w:val="single" w:sz="8" w:color="auto"/>
              <w:right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color w:val="auto"/>
              </w:rPr>
              <w:t>Segment Value (after deducting the Annual Deduction)</w:t>
            </w:r>
            <w:r>
              <w:rPr>
                <w:rFonts w:ascii="Times New Roman" w:cs="Times New Roman" w:eastAsia="Times New Roman" w:hAnsi="Times New Roman"/>
                <w:sz w:val="17"/>
                <w:szCs w:val="17"/>
                <w:color w:val="auto"/>
                <w:vertAlign w:val="superscript"/>
              </w:rPr>
              <w:t>(1)</w:t>
            </w: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$50,000</w:t>
            </w:r>
          </w:p>
        </w:tc>
        <w:tc>
          <w:tcPr>
            <w:tcW w:w="20" w:type="dxa"/>
            <w:vAlign w:val="bottom"/>
            <w:tcBorders>
              <w:bottom w:val="single" w:sz="8" w:color="auto"/>
            </w:tcBorders>
          </w:tcPr>
          <w:p>
            <w:pPr>
              <w:spacing w:after="0"/>
              <w:rPr>
                <w:sz w:val="17"/>
                <w:szCs w:val="17"/>
                <w:color w:val="auto"/>
              </w:rPr>
            </w:pPr>
          </w:p>
        </w:tc>
      </w:tr>
      <w:tr>
        <w:trPr>
          <w:trHeight w:val="196"/>
        </w:trPr>
        <w:tc>
          <w:tcPr>
            <w:tcW w:w="4900" w:type="dxa"/>
            <w:vAlign w:val="bottom"/>
            <w:tcBorders>
              <w:bottom w:val="single" w:sz="8" w:color="F0FFFF"/>
              <w:right w:val="single" w:sz="8" w:color="auto"/>
            </w:tcBorders>
            <w:gridSpan w:val="2"/>
            <w:shd w:val="clear" w:color="auto" w:fill="F0FFFF"/>
          </w:tcPr>
          <w:p>
            <w:pPr>
              <w:ind w:left="220"/>
              <w:spacing w:after="0"/>
              <w:rPr>
                <w:sz w:val="20"/>
                <w:szCs w:val="20"/>
                <w:color w:val="auto"/>
              </w:rPr>
            </w:pPr>
            <w:r>
              <w:rPr>
                <w:rFonts w:ascii="Times New Roman" w:cs="Times New Roman" w:eastAsia="Times New Roman" w:hAnsi="Times New Roman"/>
                <w:sz w:val="14"/>
                <w:szCs w:val="14"/>
                <w:color w:val="auto"/>
              </w:rPr>
              <w:t>Buffer Rate</w:t>
            </w:r>
          </w:p>
        </w:tc>
        <w:tc>
          <w:tcPr>
            <w:tcW w:w="1380" w:type="dxa"/>
            <w:vAlign w:val="bottom"/>
            <w:tcBorders>
              <w:bottom w:val="single" w:sz="8" w:color="F0FFFF"/>
            </w:tcBorders>
            <w:shd w:val="clear" w:color="auto" w:fill="F0FFFF"/>
          </w:tcPr>
          <w:p>
            <w:pPr>
              <w:ind w:left="420"/>
              <w:spacing w:after="0"/>
              <w:rPr>
                <w:sz w:val="20"/>
                <w:szCs w:val="20"/>
                <w:color w:val="auto"/>
              </w:rPr>
            </w:pPr>
            <w:r>
              <w:rPr>
                <w:rFonts w:ascii="Times New Roman" w:cs="Times New Roman" w:eastAsia="Times New Roman" w:hAnsi="Times New Roman"/>
                <w:sz w:val="14"/>
                <w:szCs w:val="14"/>
                <w:color w:val="auto"/>
              </w:rPr>
              <w:t>Buffer 10</w:t>
            </w:r>
          </w:p>
        </w:tc>
        <w:tc>
          <w:tcPr>
            <w:tcW w:w="20" w:type="dxa"/>
            <w:vAlign w:val="bottom"/>
          </w:tcPr>
          <w:p>
            <w:pPr>
              <w:spacing w:after="0"/>
              <w:rPr>
                <w:sz w:val="17"/>
                <w:szCs w:val="17"/>
                <w:color w:val="auto"/>
              </w:rPr>
            </w:pPr>
          </w:p>
        </w:tc>
      </w:tr>
      <w:tr>
        <w:trPr>
          <w:trHeight w:val="174"/>
        </w:trPr>
        <w:tc>
          <w:tcPr>
            <w:tcW w:w="4900" w:type="dxa"/>
            <w:vAlign w:val="bottom"/>
            <w:tcBorders>
              <w:top w:val="single" w:sz="8" w:color="auto"/>
              <w:right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color w:val="auto"/>
              </w:rPr>
              <w:t>Cap Rate</w:t>
            </w:r>
          </w:p>
        </w:tc>
        <w:tc>
          <w:tcPr>
            <w:tcW w:w="1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10%</w:t>
            </w:r>
          </w:p>
        </w:tc>
        <w:tc>
          <w:tcPr>
            <w:tcW w:w="20" w:type="dxa"/>
            <w:vAlign w:val="bottom"/>
            <w:tcBorders>
              <w:top w:val="single" w:sz="8" w:color="auto"/>
            </w:tcBorders>
          </w:tcPr>
          <w:p>
            <w:pPr>
              <w:spacing w:after="0"/>
              <w:rPr>
                <w:sz w:val="15"/>
                <w:szCs w:val="15"/>
                <w:color w:val="auto"/>
              </w:rPr>
            </w:pPr>
          </w:p>
        </w:tc>
      </w:tr>
      <w:tr>
        <w:trPr>
          <w:trHeight w:val="22"/>
        </w:trPr>
        <w:tc>
          <w:tcPr>
            <w:tcW w:w="840" w:type="dxa"/>
            <w:vAlign w:val="bottom"/>
            <w:tcBorders>
              <w:bottom w:val="single" w:sz="8" w:color="auto"/>
            </w:tcBorders>
          </w:tcPr>
          <w:p>
            <w:pPr>
              <w:spacing w:after="0" w:line="20" w:lineRule="exact"/>
              <w:rPr>
                <w:sz w:val="1"/>
                <w:szCs w:val="1"/>
                <w:color w:val="auto"/>
              </w:rPr>
            </w:pPr>
          </w:p>
        </w:tc>
        <w:tc>
          <w:tcPr>
            <w:tcW w:w="4060" w:type="dxa"/>
            <w:vAlign w:val="bottom"/>
            <w:tcBorders>
              <w:bottom w:val="single" w:sz="8" w:color="auto"/>
              <w:right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196"/>
        </w:trPr>
        <w:tc>
          <w:tcPr>
            <w:tcW w:w="4900" w:type="dxa"/>
            <w:vAlign w:val="bottom"/>
            <w:tcBorders>
              <w:bottom w:val="single" w:sz="8" w:color="F0FFFF"/>
              <w:right w:val="single" w:sz="8" w:color="auto"/>
            </w:tcBorders>
            <w:gridSpan w:val="2"/>
            <w:shd w:val="clear" w:color="auto" w:fill="F0FFFF"/>
          </w:tcPr>
          <w:p>
            <w:pPr>
              <w:ind w:left="220"/>
              <w:spacing w:after="0"/>
              <w:rPr>
                <w:sz w:val="20"/>
                <w:szCs w:val="20"/>
                <w:color w:val="auto"/>
              </w:rPr>
            </w:pPr>
            <w:r>
              <w:rPr>
                <w:rFonts w:ascii="Times New Roman" w:cs="Times New Roman" w:eastAsia="Times New Roman" w:hAnsi="Times New Roman"/>
                <w:sz w:val="14"/>
                <w:szCs w:val="14"/>
                <w:color w:val="auto"/>
              </w:rPr>
              <w:t>Closing Value of the Index</w:t>
            </w:r>
          </w:p>
        </w:tc>
        <w:tc>
          <w:tcPr>
            <w:tcW w:w="1380" w:type="dxa"/>
            <w:vAlign w:val="bottom"/>
            <w:tcBorders>
              <w:bottom w:val="single" w:sz="8" w:color="F0FFFF"/>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color w:val="auto"/>
              </w:rPr>
              <w:t>500</w:t>
            </w:r>
          </w:p>
        </w:tc>
        <w:tc>
          <w:tcPr>
            <w:tcW w:w="20" w:type="dxa"/>
            <w:vAlign w:val="bottom"/>
          </w:tcPr>
          <w:p>
            <w:pPr>
              <w:spacing w:after="0"/>
              <w:rPr>
                <w:sz w:val="17"/>
                <w:szCs w:val="17"/>
                <w:color w:val="auto"/>
              </w:rPr>
            </w:pPr>
          </w:p>
        </w:tc>
      </w:tr>
      <w:tr>
        <w:trPr>
          <w:trHeight w:val="174"/>
        </w:trPr>
        <w:tc>
          <w:tcPr>
            <w:tcW w:w="490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Interim Segment Value Calculation Halfway Through Term</w:t>
            </w:r>
          </w:p>
        </w:tc>
        <w:tc>
          <w:tcPr>
            <w:tcW w:w="13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r>
      <w:tr>
        <w:trPr>
          <w:trHeight w:val="22"/>
        </w:trPr>
        <w:tc>
          <w:tcPr>
            <w:tcW w:w="840" w:type="dxa"/>
            <w:vAlign w:val="bottom"/>
            <w:tcBorders>
              <w:bottom w:val="single" w:sz="8" w:color="auto"/>
            </w:tcBorders>
          </w:tcPr>
          <w:p>
            <w:pPr>
              <w:spacing w:after="0" w:line="20" w:lineRule="exact"/>
              <w:rPr>
                <w:sz w:val="1"/>
                <w:szCs w:val="1"/>
                <w:color w:val="auto"/>
              </w:rPr>
            </w:pPr>
          </w:p>
        </w:tc>
        <w:tc>
          <w:tcPr>
            <w:tcW w:w="40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196"/>
        </w:trPr>
        <w:tc>
          <w:tcPr>
            <w:tcW w:w="4900" w:type="dxa"/>
            <w:vAlign w:val="bottom"/>
            <w:tcBorders>
              <w:bottom w:val="single" w:sz="8" w:color="F0FFFF"/>
              <w:right w:val="single" w:sz="8" w:color="auto"/>
            </w:tcBorders>
            <w:gridSpan w:val="2"/>
            <w:shd w:val="clear" w:color="auto" w:fill="F0FFFF"/>
          </w:tcPr>
          <w:p>
            <w:pPr>
              <w:ind w:left="220"/>
              <w:spacing w:after="0"/>
              <w:rPr>
                <w:sz w:val="20"/>
                <w:szCs w:val="20"/>
                <w:color w:val="auto"/>
              </w:rPr>
            </w:pPr>
            <w:r>
              <w:rPr>
                <w:rFonts w:ascii="Times New Roman" w:cs="Times New Roman" w:eastAsia="Times New Roman" w:hAnsi="Times New Roman"/>
                <w:sz w:val="14"/>
                <w:szCs w:val="14"/>
                <w:color w:val="auto"/>
              </w:rPr>
              <w:t>Closing Value of the Index</w:t>
            </w:r>
          </w:p>
        </w:tc>
        <w:tc>
          <w:tcPr>
            <w:tcW w:w="1380" w:type="dxa"/>
            <w:vAlign w:val="bottom"/>
            <w:tcBorders>
              <w:bottom w:val="single" w:sz="8" w:color="F0FFFF"/>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color w:val="auto"/>
              </w:rPr>
              <w:t>600</w:t>
            </w:r>
          </w:p>
        </w:tc>
        <w:tc>
          <w:tcPr>
            <w:tcW w:w="20" w:type="dxa"/>
            <w:vAlign w:val="bottom"/>
          </w:tcPr>
          <w:p>
            <w:pPr>
              <w:spacing w:after="0"/>
              <w:rPr>
                <w:sz w:val="17"/>
                <w:szCs w:val="17"/>
                <w:color w:val="auto"/>
              </w:rPr>
            </w:pPr>
          </w:p>
        </w:tc>
      </w:tr>
      <w:tr>
        <w:trPr>
          <w:trHeight w:val="206"/>
        </w:trPr>
        <w:tc>
          <w:tcPr>
            <w:tcW w:w="4900" w:type="dxa"/>
            <w:vAlign w:val="bottom"/>
            <w:tcBorders>
              <w:top w:val="single" w:sz="8" w:color="auto"/>
              <w:bottom w:val="single" w:sz="8" w:color="auto"/>
              <w:right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color w:val="auto"/>
              </w:rPr>
              <w:t>Segment Index Performance</w:t>
            </w:r>
            <w:r>
              <w:rPr>
                <w:rFonts w:ascii="Times New Roman" w:cs="Times New Roman" w:eastAsia="Times New Roman" w:hAnsi="Times New Roman"/>
                <w:sz w:val="17"/>
                <w:szCs w:val="17"/>
                <w:color w:val="auto"/>
                <w:vertAlign w:val="superscript"/>
              </w:rPr>
              <w:t>(2)</w:t>
            </w:r>
          </w:p>
        </w:tc>
        <w:tc>
          <w:tcPr>
            <w:tcW w:w="13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w:t>
            </w:r>
          </w:p>
        </w:tc>
        <w:tc>
          <w:tcPr>
            <w:tcW w:w="20" w:type="dxa"/>
            <w:vAlign w:val="bottom"/>
            <w:tcBorders>
              <w:top w:val="single" w:sz="8" w:color="auto"/>
              <w:bottom w:val="single" w:sz="8" w:color="auto"/>
            </w:tcBorders>
          </w:tcPr>
          <w:p>
            <w:pPr>
              <w:spacing w:after="0"/>
              <w:rPr>
                <w:sz w:val="17"/>
                <w:szCs w:val="17"/>
                <w:color w:val="auto"/>
              </w:rPr>
            </w:pPr>
          </w:p>
        </w:tc>
      </w:tr>
      <w:tr>
        <w:trPr>
          <w:trHeight w:val="206"/>
        </w:trPr>
        <w:tc>
          <w:tcPr>
            <w:tcW w:w="4900" w:type="dxa"/>
            <w:vAlign w:val="bottom"/>
            <w:tcBorders>
              <w:bottom w:val="single" w:sz="8" w:color="auto"/>
              <w:right w:val="single" w:sz="8" w:color="auto"/>
            </w:tcBorders>
            <w:gridSpan w:val="2"/>
            <w:shd w:val="clear" w:color="auto" w:fill="F0FFFF"/>
          </w:tcPr>
          <w:p>
            <w:pPr>
              <w:ind w:left="220"/>
              <w:spacing w:after="0"/>
              <w:rPr>
                <w:sz w:val="20"/>
                <w:szCs w:val="20"/>
                <w:color w:val="auto"/>
              </w:rPr>
            </w:pPr>
            <w:r>
              <w:rPr>
                <w:rFonts w:ascii="Times New Roman" w:cs="Times New Roman" w:eastAsia="Times New Roman" w:hAnsi="Times New Roman"/>
                <w:sz w:val="14"/>
                <w:szCs w:val="14"/>
                <w:color w:val="auto"/>
              </w:rPr>
              <w:t>Accrued Cap Rate</w:t>
            </w:r>
            <w:r>
              <w:rPr>
                <w:rFonts w:ascii="Times New Roman" w:cs="Times New Roman" w:eastAsia="Times New Roman" w:hAnsi="Times New Roman"/>
                <w:sz w:val="17"/>
                <w:szCs w:val="17"/>
                <w:color w:val="auto"/>
                <w:vertAlign w:val="superscript"/>
              </w:rPr>
              <w:t>(3)</w:t>
            </w:r>
          </w:p>
        </w:tc>
        <w:tc>
          <w:tcPr>
            <w:tcW w:w="1380" w:type="dxa"/>
            <w:vAlign w:val="bottom"/>
            <w:tcBorders>
              <w:bottom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color w:val="auto"/>
                <w:w w:val="96"/>
              </w:rPr>
              <w:t>5%</w:t>
            </w:r>
          </w:p>
        </w:tc>
        <w:tc>
          <w:tcPr>
            <w:tcW w:w="20" w:type="dxa"/>
            <w:vAlign w:val="bottom"/>
            <w:tcBorders>
              <w:bottom w:val="single" w:sz="8" w:color="auto"/>
            </w:tcBorders>
          </w:tcPr>
          <w:p>
            <w:pPr>
              <w:spacing w:after="0"/>
              <w:rPr>
                <w:sz w:val="17"/>
                <w:szCs w:val="17"/>
                <w:color w:val="auto"/>
              </w:rPr>
            </w:pPr>
          </w:p>
        </w:tc>
      </w:tr>
      <w:tr>
        <w:trPr>
          <w:trHeight w:val="206"/>
        </w:trPr>
        <w:tc>
          <w:tcPr>
            <w:tcW w:w="4900" w:type="dxa"/>
            <w:vAlign w:val="bottom"/>
            <w:tcBorders>
              <w:bottom w:val="single" w:sz="8" w:color="auto"/>
              <w:right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color w:val="auto"/>
              </w:rPr>
              <w:t>Segment Performance Rate</w:t>
            </w:r>
            <w:r>
              <w:rPr>
                <w:rFonts w:ascii="Times New Roman" w:cs="Times New Roman" w:eastAsia="Times New Roman" w:hAnsi="Times New Roman"/>
                <w:sz w:val="17"/>
                <w:szCs w:val="17"/>
                <w:color w:val="auto"/>
                <w:vertAlign w:val="superscript"/>
              </w:rPr>
              <w:t>(4)</w:t>
            </w: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5%</w:t>
            </w:r>
          </w:p>
        </w:tc>
        <w:tc>
          <w:tcPr>
            <w:tcW w:w="20" w:type="dxa"/>
            <w:vAlign w:val="bottom"/>
            <w:tcBorders>
              <w:bottom w:val="single" w:sz="8" w:color="auto"/>
            </w:tcBorders>
          </w:tcPr>
          <w:p>
            <w:pPr>
              <w:spacing w:after="0"/>
              <w:rPr>
                <w:sz w:val="17"/>
                <w:szCs w:val="17"/>
                <w:color w:val="auto"/>
              </w:rPr>
            </w:pPr>
          </w:p>
        </w:tc>
      </w:tr>
      <w:tr>
        <w:trPr>
          <w:trHeight w:val="206"/>
        </w:trPr>
        <w:tc>
          <w:tcPr>
            <w:tcW w:w="4900" w:type="dxa"/>
            <w:vAlign w:val="bottom"/>
            <w:tcBorders>
              <w:bottom w:val="single" w:sz="8" w:color="auto"/>
              <w:right w:val="single" w:sz="8" w:color="auto"/>
            </w:tcBorders>
            <w:gridSpan w:val="2"/>
            <w:shd w:val="clear" w:color="auto" w:fill="F0FFFF"/>
          </w:tcPr>
          <w:p>
            <w:pPr>
              <w:ind w:left="220"/>
              <w:spacing w:after="0"/>
              <w:rPr>
                <w:sz w:val="20"/>
                <w:szCs w:val="20"/>
                <w:color w:val="auto"/>
              </w:rPr>
            </w:pPr>
            <w:r>
              <w:rPr>
                <w:rFonts w:ascii="Times New Roman" w:cs="Times New Roman" w:eastAsia="Times New Roman" w:hAnsi="Times New Roman"/>
                <w:sz w:val="14"/>
                <w:szCs w:val="14"/>
                <w:color w:val="auto"/>
              </w:rPr>
              <w:t>Accrued Index Return</w:t>
            </w:r>
            <w:r>
              <w:rPr>
                <w:rFonts w:ascii="Times New Roman" w:cs="Times New Roman" w:eastAsia="Times New Roman" w:hAnsi="Times New Roman"/>
                <w:sz w:val="17"/>
                <w:szCs w:val="17"/>
                <w:color w:val="auto"/>
                <w:vertAlign w:val="superscript"/>
              </w:rPr>
              <w:t>(5)</w:t>
            </w:r>
          </w:p>
        </w:tc>
        <w:tc>
          <w:tcPr>
            <w:tcW w:w="1380" w:type="dxa"/>
            <w:vAlign w:val="bottom"/>
            <w:tcBorders>
              <w:bottom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color w:val="auto"/>
                <w:w w:val="98"/>
              </w:rPr>
              <w:t>$2,500</w:t>
            </w:r>
          </w:p>
        </w:tc>
        <w:tc>
          <w:tcPr>
            <w:tcW w:w="20" w:type="dxa"/>
            <w:vAlign w:val="bottom"/>
            <w:tcBorders>
              <w:bottom w:val="single" w:sz="8" w:color="auto"/>
            </w:tcBorders>
          </w:tcPr>
          <w:p>
            <w:pPr>
              <w:spacing w:after="0"/>
              <w:rPr>
                <w:sz w:val="17"/>
                <w:szCs w:val="17"/>
                <w:color w:val="auto"/>
              </w:rPr>
            </w:pPr>
          </w:p>
        </w:tc>
      </w:tr>
      <w:tr>
        <w:trPr>
          <w:trHeight w:val="206"/>
        </w:trPr>
        <w:tc>
          <w:tcPr>
            <w:tcW w:w="4900" w:type="dxa"/>
            <w:vAlign w:val="bottom"/>
            <w:tcBorders>
              <w:bottom w:val="single" w:sz="8" w:color="auto"/>
              <w:right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color w:val="auto"/>
              </w:rPr>
              <w:t>Interim Segment Value</w:t>
            </w:r>
            <w:r>
              <w:rPr>
                <w:rFonts w:ascii="Times New Roman" w:cs="Times New Roman" w:eastAsia="Times New Roman" w:hAnsi="Times New Roman"/>
                <w:sz w:val="17"/>
                <w:szCs w:val="17"/>
                <w:color w:val="auto"/>
                <w:vertAlign w:val="superscript"/>
              </w:rPr>
              <w:t>(6)</w:t>
            </w: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$52,500</w:t>
            </w:r>
          </w:p>
        </w:tc>
        <w:tc>
          <w:tcPr>
            <w:tcW w:w="20" w:type="dxa"/>
            <w:vAlign w:val="bottom"/>
            <w:tcBorders>
              <w:bottom w:val="single" w:sz="8" w:color="auto"/>
            </w:tcBorders>
          </w:tcPr>
          <w:p>
            <w:pPr>
              <w:spacing w:after="0"/>
              <w:rPr>
                <w:sz w:val="17"/>
                <w:szCs w:val="17"/>
                <w:color w:val="auto"/>
              </w:rPr>
            </w:pPr>
          </w:p>
        </w:tc>
      </w:tr>
      <w:tr>
        <w:trPr>
          <w:trHeight w:val="196"/>
        </w:trPr>
        <w:tc>
          <w:tcPr>
            <w:tcW w:w="4900" w:type="dxa"/>
            <w:vAlign w:val="bottom"/>
            <w:tcBorders>
              <w:bottom w:val="single" w:sz="8" w:color="F0FFFF"/>
              <w:right w:val="single" w:sz="8" w:color="auto"/>
            </w:tcBorders>
            <w:gridSpan w:val="2"/>
            <w:shd w:val="clear" w:color="auto" w:fill="F0FFFF"/>
          </w:tcPr>
          <w:p>
            <w:pPr>
              <w:ind w:left="220"/>
              <w:spacing w:after="0"/>
              <w:rPr>
                <w:sz w:val="20"/>
                <w:szCs w:val="20"/>
                <w:color w:val="auto"/>
              </w:rPr>
            </w:pPr>
            <w:r>
              <w:rPr>
                <w:rFonts w:ascii="Times New Roman" w:cs="Times New Roman" w:eastAsia="Times New Roman" w:hAnsi="Times New Roman"/>
                <w:sz w:val="14"/>
                <w:szCs w:val="14"/>
                <w:color w:val="auto"/>
              </w:rPr>
              <w:t>Loan taken</w:t>
            </w:r>
          </w:p>
        </w:tc>
        <w:tc>
          <w:tcPr>
            <w:tcW w:w="1380" w:type="dxa"/>
            <w:vAlign w:val="bottom"/>
            <w:tcBorders>
              <w:bottom w:val="single" w:sz="8" w:color="F0FFFF"/>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color w:val="auto"/>
              </w:rPr>
              <w:t>$20,000</w:t>
            </w:r>
          </w:p>
        </w:tc>
        <w:tc>
          <w:tcPr>
            <w:tcW w:w="20" w:type="dxa"/>
            <w:vAlign w:val="bottom"/>
          </w:tcPr>
          <w:p>
            <w:pPr>
              <w:spacing w:after="0"/>
              <w:rPr>
                <w:sz w:val="17"/>
                <w:szCs w:val="17"/>
                <w:color w:val="auto"/>
              </w:rPr>
            </w:pPr>
          </w:p>
        </w:tc>
      </w:tr>
      <w:tr>
        <w:trPr>
          <w:trHeight w:val="206"/>
        </w:trPr>
        <w:tc>
          <w:tcPr>
            <w:tcW w:w="4900" w:type="dxa"/>
            <w:vAlign w:val="bottom"/>
            <w:tcBorders>
              <w:top w:val="single" w:sz="8" w:color="auto"/>
              <w:bottom w:val="single" w:sz="8" w:color="auto"/>
              <w:right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color w:val="auto"/>
              </w:rPr>
              <w:t>Interim Segment Value adjusted by loan amount</w:t>
            </w:r>
            <w:r>
              <w:rPr>
                <w:rFonts w:ascii="Times New Roman" w:cs="Times New Roman" w:eastAsia="Times New Roman" w:hAnsi="Times New Roman"/>
                <w:sz w:val="17"/>
                <w:szCs w:val="17"/>
                <w:color w:val="auto"/>
                <w:vertAlign w:val="superscript"/>
              </w:rPr>
              <w:t>(7)</w:t>
            </w:r>
          </w:p>
        </w:tc>
        <w:tc>
          <w:tcPr>
            <w:tcW w:w="13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$32,500</w:t>
            </w:r>
          </w:p>
        </w:tc>
        <w:tc>
          <w:tcPr>
            <w:tcW w:w="20" w:type="dxa"/>
            <w:vAlign w:val="bottom"/>
            <w:tcBorders>
              <w:top w:val="single" w:sz="8" w:color="auto"/>
              <w:bottom w:val="single" w:sz="8" w:color="auto"/>
            </w:tcBorders>
          </w:tcPr>
          <w:p>
            <w:pPr>
              <w:spacing w:after="0"/>
              <w:rPr>
                <w:sz w:val="17"/>
                <w:szCs w:val="17"/>
                <w:color w:val="auto"/>
              </w:rPr>
            </w:pPr>
          </w:p>
        </w:tc>
      </w:tr>
      <w:tr>
        <w:trPr>
          <w:trHeight w:val="206"/>
        </w:trPr>
        <w:tc>
          <w:tcPr>
            <w:tcW w:w="4900" w:type="dxa"/>
            <w:vAlign w:val="bottom"/>
            <w:tcBorders>
              <w:bottom w:val="single" w:sz="8" w:color="auto"/>
              <w:right w:val="single" w:sz="8" w:color="auto"/>
            </w:tcBorders>
            <w:gridSpan w:val="2"/>
            <w:shd w:val="clear" w:color="auto" w:fill="F0FFFF"/>
          </w:tcPr>
          <w:p>
            <w:pPr>
              <w:ind w:left="220"/>
              <w:spacing w:after="0"/>
              <w:rPr>
                <w:sz w:val="20"/>
                <w:szCs w:val="20"/>
                <w:color w:val="auto"/>
              </w:rPr>
            </w:pPr>
            <w:r>
              <w:rPr>
                <w:rFonts w:ascii="Times New Roman" w:cs="Times New Roman" w:eastAsia="Times New Roman" w:hAnsi="Times New Roman"/>
                <w:sz w:val="14"/>
                <w:szCs w:val="14"/>
                <w:color w:val="auto"/>
              </w:rPr>
              <w:t>Segment Value adjusted by loan amount</w:t>
            </w:r>
            <w:r>
              <w:rPr>
                <w:rFonts w:ascii="Times New Roman" w:cs="Times New Roman" w:eastAsia="Times New Roman" w:hAnsi="Times New Roman"/>
                <w:sz w:val="17"/>
                <w:szCs w:val="17"/>
                <w:color w:val="auto"/>
                <w:vertAlign w:val="superscript"/>
              </w:rPr>
              <w:t>(8)</w:t>
            </w:r>
          </w:p>
        </w:tc>
        <w:tc>
          <w:tcPr>
            <w:tcW w:w="1380" w:type="dxa"/>
            <w:vAlign w:val="bottom"/>
            <w:tcBorders>
              <w:bottom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color w:val="auto"/>
              </w:rPr>
              <w:t>$30,952</w:t>
            </w:r>
          </w:p>
        </w:tc>
        <w:tc>
          <w:tcPr>
            <w:tcW w:w="20" w:type="dxa"/>
            <w:vAlign w:val="bottom"/>
            <w:tcBorders>
              <w:bottom w:val="single" w:sz="8" w:color="auto"/>
            </w:tcBorders>
          </w:tcPr>
          <w:p>
            <w:pPr>
              <w:spacing w:after="0"/>
              <w:rPr>
                <w:sz w:val="17"/>
                <w:szCs w:val="17"/>
                <w:color w:val="auto"/>
              </w:rPr>
            </w:pPr>
          </w:p>
        </w:tc>
      </w:tr>
      <w:tr>
        <w:trPr>
          <w:trHeight w:val="174"/>
        </w:trPr>
        <w:tc>
          <w:tcPr>
            <w:tcW w:w="49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Segment Maturity Date</w:t>
            </w:r>
          </w:p>
        </w:tc>
        <w:tc>
          <w:tcPr>
            <w:tcW w:w="13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2"/>
        </w:trPr>
        <w:tc>
          <w:tcPr>
            <w:tcW w:w="840" w:type="dxa"/>
            <w:vAlign w:val="bottom"/>
            <w:tcBorders>
              <w:bottom w:val="single" w:sz="8" w:color="auto"/>
            </w:tcBorders>
          </w:tcPr>
          <w:p>
            <w:pPr>
              <w:spacing w:after="0" w:line="20" w:lineRule="exact"/>
              <w:rPr>
                <w:sz w:val="1"/>
                <w:szCs w:val="1"/>
                <w:color w:val="auto"/>
              </w:rPr>
            </w:pPr>
          </w:p>
        </w:tc>
        <w:tc>
          <w:tcPr>
            <w:tcW w:w="40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196"/>
        </w:trPr>
        <w:tc>
          <w:tcPr>
            <w:tcW w:w="4900" w:type="dxa"/>
            <w:vAlign w:val="bottom"/>
            <w:tcBorders>
              <w:bottom w:val="single" w:sz="8" w:color="F0FFFF"/>
              <w:right w:val="single" w:sz="8" w:color="auto"/>
            </w:tcBorders>
            <w:gridSpan w:val="2"/>
            <w:shd w:val="clear" w:color="auto" w:fill="F0FFFF"/>
          </w:tcPr>
          <w:p>
            <w:pPr>
              <w:ind w:left="220"/>
              <w:spacing w:after="0"/>
              <w:rPr>
                <w:sz w:val="20"/>
                <w:szCs w:val="20"/>
                <w:color w:val="auto"/>
              </w:rPr>
            </w:pPr>
            <w:r>
              <w:rPr>
                <w:rFonts w:ascii="Times New Roman" w:cs="Times New Roman" w:eastAsia="Times New Roman" w:hAnsi="Times New Roman"/>
                <w:sz w:val="14"/>
                <w:szCs w:val="14"/>
                <w:color w:val="auto"/>
              </w:rPr>
              <w:t>Closing Value of the Index</w:t>
            </w:r>
          </w:p>
        </w:tc>
        <w:tc>
          <w:tcPr>
            <w:tcW w:w="1380" w:type="dxa"/>
            <w:vAlign w:val="bottom"/>
            <w:tcBorders>
              <w:bottom w:val="single" w:sz="8" w:color="F0FFFF"/>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color w:val="auto"/>
              </w:rPr>
              <w:t>700</w:t>
            </w:r>
          </w:p>
        </w:tc>
        <w:tc>
          <w:tcPr>
            <w:tcW w:w="20" w:type="dxa"/>
            <w:vAlign w:val="bottom"/>
          </w:tcPr>
          <w:p>
            <w:pPr>
              <w:spacing w:after="0"/>
              <w:rPr>
                <w:sz w:val="17"/>
                <w:szCs w:val="17"/>
                <w:color w:val="auto"/>
              </w:rPr>
            </w:pPr>
          </w:p>
        </w:tc>
      </w:tr>
      <w:tr>
        <w:trPr>
          <w:trHeight w:val="206"/>
        </w:trPr>
        <w:tc>
          <w:tcPr>
            <w:tcW w:w="4900" w:type="dxa"/>
            <w:vAlign w:val="bottom"/>
            <w:tcBorders>
              <w:top w:val="single" w:sz="8" w:color="auto"/>
              <w:bottom w:val="single" w:sz="8" w:color="auto"/>
              <w:right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color w:val="auto"/>
              </w:rPr>
              <w:t>Segment Index Performance</w:t>
            </w:r>
            <w:r>
              <w:rPr>
                <w:rFonts w:ascii="Times New Roman" w:cs="Times New Roman" w:eastAsia="Times New Roman" w:hAnsi="Times New Roman"/>
                <w:sz w:val="17"/>
                <w:szCs w:val="17"/>
                <w:color w:val="auto"/>
                <w:vertAlign w:val="superscript"/>
              </w:rPr>
              <w:t>(9)</w:t>
            </w:r>
          </w:p>
        </w:tc>
        <w:tc>
          <w:tcPr>
            <w:tcW w:w="13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40%</w:t>
            </w:r>
          </w:p>
        </w:tc>
        <w:tc>
          <w:tcPr>
            <w:tcW w:w="20" w:type="dxa"/>
            <w:vAlign w:val="bottom"/>
            <w:tcBorders>
              <w:top w:val="single" w:sz="8" w:color="auto"/>
              <w:bottom w:val="single" w:sz="8" w:color="auto"/>
            </w:tcBorders>
          </w:tcPr>
          <w:p>
            <w:pPr>
              <w:spacing w:after="0"/>
              <w:rPr>
                <w:sz w:val="17"/>
                <w:szCs w:val="17"/>
                <w:color w:val="auto"/>
              </w:rPr>
            </w:pPr>
          </w:p>
        </w:tc>
      </w:tr>
      <w:tr>
        <w:trPr>
          <w:trHeight w:val="206"/>
        </w:trPr>
        <w:tc>
          <w:tcPr>
            <w:tcW w:w="4900" w:type="dxa"/>
            <w:vAlign w:val="bottom"/>
            <w:tcBorders>
              <w:bottom w:val="single" w:sz="8" w:color="auto"/>
              <w:right w:val="single" w:sz="8" w:color="auto"/>
            </w:tcBorders>
            <w:gridSpan w:val="2"/>
            <w:shd w:val="clear" w:color="auto" w:fill="F0FFFF"/>
          </w:tcPr>
          <w:p>
            <w:pPr>
              <w:ind w:left="220"/>
              <w:spacing w:after="0"/>
              <w:rPr>
                <w:sz w:val="20"/>
                <w:szCs w:val="20"/>
                <w:color w:val="auto"/>
              </w:rPr>
            </w:pPr>
            <w:r>
              <w:rPr>
                <w:rFonts w:ascii="Times New Roman" w:cs="Times New Roman" w:eastAsia="Times New Roman" w:hAnsi="Times New Roman"/>
                <w:sz w:val="14"/>
                <w:szCs w:val="14"/>
                <w:color w:val="auto"/>
              </w:rPr>
              <w:t>Segment Performance Rate</w:t>
            </w:r>
            <w:r>
              <w:rPr>
                <w:rFonts w:ascii="Times New Roman" w:cs="Times New Roman" w:eastAsia="Times New Roman" w:hAnsi="Times New Roman"/>
                <w:sz w:val="17"/>
                <w:szCs w:val="17"/>
                <w:color w:val="auto"/>
                <w:vertAlign w:val="superscript"/>
              </w:rPr>
              <w:t>(10)</w:t>
            </w:r>
          </w:p>
        </w:tc>
        <w:tc>
          <w:tcPr>
            <w:tcW w:w="1380" w:type="dxa"/>
            <w:vAlign w:val="bottom"/>
            <w:tcBorders>
              <w:bottom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color w:val="auto"/>
              </w:rPr>
              <w:t>10%</w:t>
            </w:r>
          </w:p>
        </w:tc>
        <w:tc>
          <w:tcPr>
            <w:tcW w:w="20" w:type="dxa"/>
            <w:vAlign w:val="bottom"/>
            <w:tcBorders>
              <w:bottom w:val="single" w:sz="8" w:color="auto"/>
            </w:tcBorders>
          </w:tcPr>
          <w:p>
            <w:pPr>
              <w:spacing w:after="0"/>
              <w:rPr>
                <w:sz w:val="17"/>
                <w:szCs w:val="17"/>
                <w:color w:val="auto"/>
              </w:rPr>
            </w:pPr>
          </w:p>
        </w:tc>
      </w:tr>
      <w:tr>
        <w:trPr>
          <w:trHeight w:val="206"/>
        </w:trPr>
        <w:tc>
          <w:tcPr>
            <w:tcW w:w="4900" w:type="dxa"/>
            <w:vAlign w:val="bottom"/>
            <w:tcBorders>
              <w:bottom w:val="single" w:sz="8" w:color="auto"/>
              <w:right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color w:val="auto"/>
              </w:rPr>
              <w:t>Segment Credit</w:t>
            </w:r>
            <w:r>
              <w:rPr>
                <w:rFonts w:ascii="Times New Roman" w:cs="Times New Roman" w:eastAsia="Times New Roman" w:hAnsi="Times New Roman"/>
                <w:sz w:val="17"/>
                <w:szCs w:val="17"/>
                <w:color w:val="auto"/>
                <w:vertAlign w:val="superscript"/>
              </w:rPr>
              <w:t>(11)</w:t>
            </w: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$3,095</w:t>
            </w:r>
          </w:p>
        </w:tc>
        <w:tc>
          <w:tcPr>
            <w:tcW w:w="20" w:type="dxa"/>
            <w:vAlign w:val="bottom"/>
            <w:tcBorders>
              <w:bottom w:val="single" w:sz="8" w:color="auto"/>
            </w:tcBorders>
          </w:tcPr>
          <w:p>
            <w:pPr>
              <w:spacing w:after="0"/>
              <w:rPr>
                <w:sz w:val="17"/>
                <w:szCs w:val="17"/>
                <w:color w:val="auto"/>
              </w:rPr>
            </w:pPr>
          </w:p>
        </w:tc>
      </w:tr>
      <w:tr>
        <w:trPr>
          <w:trHeight w:val="191"/>
        </w:trPr>
        <w:tc>
          <w:tcPr>
            <w:tcW w:w="4900" w:type="dxa"/>
            <w:vAlign w:val="bottom"/>
            <w:tcBorders>
              <w:bottom w:val="single" w:sz="8" w:color="auto"/>
              <w:right w:val="single" w:sz="8" w:color="auto"/>
            </w:tcBorders>
            <w:gridSpan w:val="2"/>
            <w:shd w:val="clear" w:color="auto" w:fill="F0FFFF"/>
          </w:tcPr>
          <w:p>
            <w:pPr>
              <w:ind w:left="220"/>
              <w:spacing w:after="0" w:line="191" w:lineRule="exact"/>
              <w:rPr>
                <w:sz w:val="20"/>
                <w:szCs w:val="20"/>
                <w:color w:val="auto"/>
              </w:rPr>
            </w:pPr>
            <w:r>
              <w:rPr>
                <w:rFonts w:ascii="Times New Roman" w:cs="Times New Roman" w:eastAsia="Times New Roman" w:hAnsi="Times New Roman"/>
                <w:sz w:val="14"/>
                <w:szCs w:val="14"/>
                <w:color w:val="auto"/>
              </w:rPr>
              <w:t>Segment Value</w:t>
            </w:r>
            <w:r>
              <w:rPr>
                <w:rFonts w:ascii="Times New Roman" w:cs="Times New Roman" w:eastAsia="Times New Roman" w:hAnsi="Times New Roman"/>
                <w:sz w:val="17"/>
                <w:szCs w:val="17"/>
                <w:color w:val="auto"/>
                <w:vertAlign w:val="superscript"/>
              </w:rPr>
              <w:t>(12)</w:t>
            </w:r>
          </w:p>
        </w:tc>
        <w:tc>
          <w:tcPr>
            <w:tcW w:w="1380" w:type="dxa"/>
            <w:vAlign w:val="bottom"/>
            <w:tcBorders>
              <w:bottom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color w:val="auto"/>
              </w:rPr>
              <w:t>$34,047</w:t>
            </w:r>
          </w:p>
        </w:tc>
        <w:tc>
          <w:tcPr>
            <w:tcW w:w="20" w:type="dxa"/>
            <w:vAlign w:val="bottom"/>
            <w:tcBorders>
              <w:bottom w:val="single" w:sz="8" w:color="auto"/>
            </w:tcBorders>
          </w:tcPr>
          <w:p>
            <w:pPr>
              <w:spacing w:after="0"/>
              <w:rPr>
                <w:sz w:val="16"/>
                <w:szCs w:val="16"/>
                <w:color w:val="auto"/>
              </w:rPr>
            </w:pPr>
          </w:p>
        </w:tc>
      </w:tr>
      <w:tr>
        <w:trPr>
          <w:trHeight w:val="140"/>
        </w:trPr>
        <w:tc>
          <w:tcPr>
            <w:tcW w:w="840" w:type="dxa"/>
            <w:vAlign w:val="bottom"/>
            <w:tcBorders>
              <w:bottom w:val="single" w:sz="8" w:color="auto"/>
            </w:tcBorders>
          </w:tcPr>
          <w:p>
            <w:pPr>
              <w:spacing w:after="0"/>
              <w:rPr>
                <w:sz w:val="12"/>
                <w:szCs w:val="12"/>
                <w:color w:val="auto"/>
              </w:rPr>
            </w:pPr>
          </w:p>
        </w:tc>
        <w:tc>
          <w:tcPr>
            <w:tcW w:w="40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514985</wp:posOffset>
            </wp:positionH>
            <wp:positionV relativeFrom="paragraph">
              <wp:posOffset>-31750</wp:posOffset>
            </wp:positionV>
            <wp:extent cx="31750" cy="450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1750" cy="4508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-31750</wp:posOffset>
            </wp:positionV>
            <wp:extent cx="31750" cy="450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1750" cy="45085"/>
                    </a:xfrm>
                    <a:prstGeom prst="rect">
                      <a:avLst/>
                    </a:prstGeom>
                    <a:noFill/>
                  </pic:spPr>
                </pic:pic>
              </a:graphicData>
            </a:graphic>
          </wp:anchor>
        </w:drawing>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following notes to the table above provide important calculations showing how certain values are determined.</w:t>
      </w:r>
    </w:p>
    <w:p>
      <w:pPr>
        <w:spacing w:after="0" w:line="183" w:lineRule="auto"/>
        <w:rPr>
          <w:sz w:val="20"/>
          <w:szCs w:val="20"/>
          <w:color w:val="auto"/>
        </w:rPr>
      </w:pPr>
      <w:r>
        <w:rPr>
          <w:rFonts w:ascii="Times New Roman" w:cs="Times New Roman" w:eastAsia="Times New Roman" w:hAnsi="Times New Roman"/>
          <w:sz w:val="8"/>
          <w:szCs w:val="8"/>
          <w:color w:val="auto"/>
        </w:rPr>
        <w:t>(1)</w:t>
      </w:r>
    </w:p>
    <w:p>
      <w:pPr>
        <w:jc w:val="both"/>
        <w:ind w:left="260" w:right="2999"/>
        <w:spacing w:after="0" w:line="226" w:lineRule="auto"/>
        <w:rPr>
          <w:sz w:val="20"/>
          <w:szCs w:val="20"/>
          <w:color w:val="auto"/>
        </w:rPr>
      </w:pPr>
      <w:r>
        <w:rPr>
          <w:rFonts w:ascii="Times New Roman" w:cs="Times New Roman" w:eastAsia="Times New Roman" w:hAnsi="Times New Roman"/>
          <w:sz w:val="14"/>
          <w:szCs w:val="14"/>
          <w:color w:val="auto"/>
        </w:rPr>
        <w:t>On the Policy Start Date and each Policy Anniversary thereafter, we deduct the charges for the Annual Deduction from your Cash Value. The Annual Deduction for each Policy Year will be taken from any Indexed Account according to the Policy Deduction Method. For purposes of this example, assume the Annual Deduction is $1,000.</w:t>
      </w:r>
    </w:p>
    <w:p>
      <w:pPr>
        <w:spacing w:after="0" w:line="180" w:lineRule="auto"/>
        <w:rPr>
          <w:sz w:val="20"/>
          <w:szCs w:val="20"/>
          <w:color w:val="auto"/>
        </w:rPr>
      </w:pPr>
      <w:r>
        <w:rPr>
          <w:rFonts w:ascii="Times New Roman" w:cs="Times New Roman" w:eastAsia="Times New Roman" w:hAnsi="Times New Roman"/>
          <w:sz w:val="6"/>
          <w:szCs w:val="6"/>
          <w:color w:val="auto"/>
        </w:rPr>
        <w:t>(2)</w:t>
      </w:r>
    </w:p>
    <w:p>
      <w:pPr>
        <w:jc w:val="both"/>
        <w:ind w:left="260" w:right="2999"/>
        <w:spacing w:after="0" w:line="228" w:lineRule="auto"/>
        <w:rPr>
          <w:sz w:val="20"/>
          <w:szCs w:val="20"/>
          <w:color w:val="auto"/>
        </w:rPr>
      </w:pPr>
      <w:r>
        <w:rPr>
          <w:rFonts w:ascii="Times New Roman" w:cs="Times New Roman" w:eastAsia="Times New Roman" w:hAnsi="Times New Roman"/>
          <w:sz w:val="14"/>
          <w:szCs w:val="14"/>
          <w:color w:val="auto"/>
        </w:rPr>
        <w:t>Segment Index Performance is equal to the percentage change in the Index Value measured from the Segment Start Date to the date of the Interim Segment Value calculation. Segment Index Performance is calculated as follows:</w:t>
      </w:r>
    </w:p>
    <w:p>
      <w:pPr>
        <w:spacing w:after="0" w:line="4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(600 [Closing Value of the Index on date of Interim Segment Value calculation]</w:t>
      </w:r>
    </w:p>
    <w:p>
      <w:pPr>
        <w:spacing w:after="0" w:line="2"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color w:val="auto"/>
        </w:rPr>
        <w:t>÷ 500 [Closing Value of the Index at Segment Start Date]) – 1 = 20%</w:t>
      </w:r>
    </w:p>
    <w:p>
      <w:pPr>
        <w:spacing w:after="0"/>
        <w:rPr>
          <w:sz w:val="20"/>
          <w:szCs w:val="20"/>
          <w:color w:val="auto"/>
        </w:rPr>
      </w:pPr>
      <w:r>
        <w:rPr>
          <w:rFonts w:ascii="Times New Roman" w:cs="Times New Roman" w:eastAsia="Times New Roman" w:hAnsi="Times New Roman"/>
          <w:sz w:val="4"/>
          <w:szCs w:val="4"/>
          <w:color w:val="auto"/>
        </w:rPr>
        <w:t>(3)</w:t>
      </w:r>
    </w:p>
    <w:p>
      <w:pPr>
        <w:spacing w:after="0" w:line="4" w:lineRule="exact"/>
        <w:rPr>
          <w:sz w:val="20"/>
          <w:szCs w:val="20"/>
          <w:color w:val="auto"/>
        </w:rPr>
      </w:pPr>
    </w:p>
    <w:p>
      <w:pPr>
        <w:ind w:left="260" w:right="2999"/>
        <w:spacing w:after="0" w:line="268" w:lineRule="auto"/>
        <w:rPr>
          <w:sz w:val="20"/>
          <w:szCs w:val="20"/>
          <w:color w:val="auto"/>
        </w:rPr>
      </w:pPr>
      <w:r>
        <w:rPr>
          <w:rFonts w:ascii="Times New Roman" w:cs="Times New Roman" w:eastAsia="Times New Roman" w:hAnsi="Times New Roman"/>
          <w:sz w:val="13"/>
          <w:szCs w:val="13"/>
          <w:color w:val="auto"/>
        </w:rPr>
        <w:t>The Accrued Cap Rate is equal to the Cap Rate multiplied by the number of days elapsed since the Segment Start Date divided by the total number of days in the Term. The Accrued Cap Rate is calculated as follows:</w:t>
      </w:r>
    </w:p>
    <w:p>
      <w:pPr>
        <w:spacing w:after="0" w:line="12"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color w:val="auto"/>
        </w:rPr>
        <w:t>10% [Cap Rate] x 183 [number of days elapsed since Segment Start Date]</w:t>
      </w:r>
    </w:p>
    <w:p>
      <w:pPr>
        <w:spacing w:after="0" w:line="7" w:lineRule="exact"/>
        <w:rPr>
          <w:sz w:val="20"/>
          <w:szCs w:val="20"/>
          <w:color w:val="auto"/>
        </w:rPr>
      </w:pPr>
    </w:p>
    <w:p>
      <w:pPr>
        <w:jc w:val="center"/>
        <w:ind w:left="3080" w:right="4799" w:hanging="1220"/>
        <w:spacing w:after="0" w:line="569" w:lineRule="auto"/>
        <w:tabs>
          <w:tab w:leader="none" w:pos="1962"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365 [total number of days in the Term] = 5% 44</w:t>
      </w:r>
    </w:p>
    <w:p>
      <w:pPr>
        <w:sectPr>
          <w:pgSz w:w="11900" w:h="16838" w:orient="portrait"/>
          <w:cols w:equalWidth="0" w:num="1">
            <w:col w:w="9219"/>
          </w:cols>
          <w:pgMar w:left="1240" w:top="1083" w:right="1440" w:bottom="1440" w:gutter="0" w:footer="0" w:header="0"/>
        </w:sectPr>
      </w:pPr>
    </w:p>
    <w:bookmarkStart w:id="47" w:name="page48"/>
    <w:bookmarkEnd w:id="47"/>
    <w:p>
      <w:pPr>
        <w:ind w:left="5"/>
        <w:spacing w:after="0"/>
        <w:rPr>
          <w:sz w:val="20"/>
          <w:szCs w:val="20"/>
          <w:color w:val="auto"/>
        </w:rPr>
      </w:pPr>
      <w:r>
        <w:rPr>
          <w:rFonts w:ascii="Times New Roman" w:cs="Times New Roman" w:eastAsia="Times New Roman" w:hAnsi="Times New Roman"/>
          <w:sz w:val="9"/>
          <w:szCs w:val="9"/>
          <w:color w:val="auto"/>
        </w:rPr>
        <w:drawing>
          <wp:anchor simplePos="0" relativeHeight="251657728" behindDoc="1" locked="0" layoutInCell="0" allowOverlap="1">
            <wp:simplePos x="0" y="0"/>
            <wp:positionH relativeFrom="page">
              <wp:posOffset>179070</wp:posOffset>
            </wp:positionH>
            <wp:positionV relativeFrom="page">
              <wp:posOffset>422275</wp:posOffset>
            </wp:positionV>
            <wp:extent cx="719010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90105" cy="38735"/>
                    </a:xfrm>
                    <a:prstGeom prst="rect">
                      <a:avLst/>
                    </a:prstGeom>
                    <a:noFill/>
                  </pic:spPr>
                </pic:pic>
              </a:graphicData>
            </a:graphic>
          </wp:anchor>
        </w:drawing>
        <w:t>(4)</w:t>
      </w:r>
    </w:p>
    <w:p>
      <w:pPr>
        <w:ind w:left="265" w:right="2999"/>
        <w:spacing w:after="0" w:line="231" w:lineRule="auto"/>
        <w:rPr>
          <w:sz w:val="20"/>
          <w:szCs w:val="20"/>
          <w:color w:val="auto"/>
        </w:rPr>
      </w:pPr>
      <w:r>
        <w:rPr>
          <w:rFonts w:ascii="Times New Roman" w:cs="Times New Roman" w:eastAsia="Times New Roman" w:hAnsi="Times New Roman"/>
          <w:sz w:val="14"/>
          <w:szCs w:val="14"/>
          <w:color w:val="auto"/>
        </w:rPr>
        <w:t>The Segment Performance Rate is equal to the Accrued Cap Rate because it cannot exceed the Accrued Cap Rate even though Segment Index Performance was at 20%.</w:t>
      </w:r>
    </w:p>
    <w:p>
      <w:pPr>
        <w:ind w:left="5"/>
        <w:spacing w:after="0"/>
        <w:rPr>
          <w:sz w:val="20"/>
          <w:szCs w:val="20"/>
          <w:color w:val="auto"/>
        </w:rPr>
      </w:pPr>
      <w:r>
        <w:rPr>
          <w:rFonts w:ascii="Times New Roman" w:cs="Times New Roman" w:eastAsia="Times New Roman" w:hAnsi="Times New Roman"/>
          <w:sz w:val="4"/>
          <w:szCs w:val="4"/>
          <w:color w:val="auto"/>
        </w:rPr>
        <w:t>(5)</w:t>
      </w:r>
    </w:p>
    <w:p>
      <w:pPr>
        <w:spacing w:after="0" w:line="4" w:lineRule="exact"/>
        <w:rPr>
          <w:sz w:val="20"/>
          <w:szCs w:val="20"/>
          <w:color w:val="auto"/>
        </w:rPr>
      </w:pPr>
    </w:p>
    <w:p>
      <w:pPr>
        <w:jc w:val="both"/>
        <w:ind w:left="265" w:right="2999"/>
        <w:spacing w:after="0" w:line="222" w:lineRule="auto"/>
        <w:rPr>
          <w:sz w:val="20"/>
          <w:szCs w:val="20"/>
          <w:color w:val="auto"/>
        </w:rPr>
      </w:pPr>
      <w:r>
        <w:rPr>
          <w:rFonts w:ascii="Times New Roman" w:cs="Times New Roman" w:eastAsia="Times New Roman" w:hAnsi="Times New Roman"/>
          <w:sz w:val="14"/>
          <w:szCs w:val="14"/>
          <w:color w:val="auto"/>
        </w:rPr>
        <w:t>The Accrued Index Return is equal to the product of the current Segment Value (Segment Value at the Segment Start Date adjusted for any loans or Accelerated Death Benefit payment; no adjustments so far)</w:t>
      </w:r>
    </w:p>
    <w:p>
      <w:pPr>
        <w:ind w:left="265"/>
        <w:spacing w:after="0"/>
        <w:rPr>
          <w:sz w:val="20"/>
          <w:szCs w:val="20"/>
          <w:color w:val="auto"/>
        </w:rPr>
      </w:pPr>
      <w:r>
        <w:rPr>
          <w:rFonts w:ascii="Times New Roman" w:cs="Times New Roman" w:eastAsia="Times New Roman" w:hAnsi="Times New Roman"/>
          <w:sz w:val="14"/>
          <w:szCs w:val="14"/>
          <w:color w:val="auto"/>
        </w:rPr>
        <w:t>multiplied by the Segment Performance Rate. The Accrued Index Return is calculated as follows:</w:t>
      </w:r>
    </w:p>
    <w:p>
      <w:pPr>
        <w:spacing w:after="0" w:line="31" w:lineRule="exact"/>
        <w:rPr>
          <w:sz w:val="20"/>
          <w:szCs w:val="20"/>
          <w:color w:val="auto"/>
        </w:rPr>
      </w:pPr>
    </w:p>
    <w:p>
      <w:pPr>
        <w:ind w:left="1005"/>
        <w:spacing w:after="0"/>
        <w:rPr>
          <w:sz w:val="20"/>
          <w:szCs w:val="20"/>
          <w:color w:val="auto"/>
        </w:rPr>
      </w:pPr>
      <w:r>
        <w:rPr>
          <w:rFonts w:ascii="Times New Roman" w:cs="Times New Roman" w:eastAsia="Times New Roman" w:hAnsi="Times New Roman"/>
          <w:sz w:val="14"/>
          <w:szCs w:val="14"/>
          <w:color w:val="auto"/>
        </w:rPr>
        <w:t>$50,000 [current Segment Value] x 5% [Segment Performance Rate] = $2,500</w:t>
      </w:r>
    </w:p>
    <w:p>
      <w:pPr>
        <w:ind w:left="5"/>
        <w:spacing w:after="0" w:line="204" w:lineRule="auto"/>
        <w:rPr>
          <w:sz w:val="20"/>
          <w:szCs w:val="20"/>
          <w:color w:val="auto"/>
        </w:rPr>
      </w:pPr>
      <w:r>
        <w:rPr>
          <w:rFonts w:ascii="Times New Roman" w:cs="Times New Roman" w:eastAsia="Times New Roman" w:hAnsi="Times New Roman"/>
          <w:sz w:val="6"/>
          <w:szCs w:val="6"/>
          <w:color w:val="auto"/>
        </w:rPr>
        <w:t>(6)</w:t>
      </w:r>
    </w:p>
    <w:p>
      <w:pPr>
        <w:ind w:left="265"/>
        <w:spacing w:after="0"/>
        <w:rPr>
          <w:sz w:val="20"/>
          <w:szCs w:val="20"/>
          <w:color w:val="auto"/>
        </w:rPr>
      </w:pPr>
      <w:r>
        <w:rPr>
          <w:rFonts w:ascii="Times New Roman" w:cs="Times New Roman" w:eastAsia="Times New Roman" w:hAnsi="Times New Roman"/>
          <w:sz w:val="13"/>
          <w:szCs w:val="13"/>
          <w:color w:val="auto"/>
        </w:rPr>
        <w:t>The Interim Segment Value is equal to the current Segment Value (Segment Value at the Segment Start Date</w:t>
      </w:r>
    </w:p>
    <w:p>
      <w:pPr>
        <w:spacing w:after="0" w:line="5" w:lineRule="exact"/>
        <w:rPr>
          <w:sz w:val="20"/>
          <w:szCs w:val="20"/>
          <w:color w:val="auto"/>
        </w:rPr>
      </w:pPr>
    </w:p>
    <w:p>
      <w:pPr>
        <w:ind w:left="265" w:right="2999"/>
        <w:spacing w:after="0" w:line="228" w:lineRule="auto"/>
        <w:rPr>
          <w:sz w:val="20"/>
          <w:szCs w:val="20"/>
          <w:color w:val="auto"/>
        </w:rPr>
      </w:pPr>
      <w:r>
        <w:rPr>
          <w:rFonts w:ascii="Times New Roman" w:cs="Times New Roman" w:eastAsia="Times New Roman" w:hAnsi="Times New Roman"/>
          <w:sz w:val="14"/>
          <w:szCs w:val="14"/>
          <w:color w:val="auto"/>
        </w:rPr>
        <w:t>adjusted for any loans or Accelerated Death Benefit payment; no adjustments so far) plus the Accrued Index Return. The Interim Segment Value is calculated as follows:</w:t>
      </w:r>
    </w:p>
    <w:p>
      <w:pPr>
        <w:spacing w:after="0" w:line="30" w:lineRule="exact"/>
        <w:rPr>
          <w:sz w:val="20"/>
          <w:szCs w:val="20"/>
          <w:color w:val="auto"/>
        </w:rPr>
      </w:pPr>
    </w:p>
    <w:p>
      <w:pPr>
        <w:ind w:left="1005"/>
        <w:spacing w:after="0"/>
        <w:rPr>
          <w:sz w:val="20"/>
          <w:szCs w:val="20"/>
          <w:color w:val="auto"/>
        </w:rPr>
      </w:pPr>
      <w:r>
        <w:rPr>
          <w:rFonts w:ascii="Times New Roman" w:cs="Times New Roman" w:eastAsia="Times New Roman" w:hAnsi="Times New Roman"/>
          <w:sz w:val="14"/>
          <w:szCs w:val="14"/>
          <w:color w:val="auto"/>
        </w:rPr>
        <w:t>$50,000 [current Segment Value] + $2,500 [Accrued Index Return] = $52,500</w:t>
      </w:r>
    </w:p>
    <w:p>
      <w:pPr>
        <w:spacing w:after="0" w:line="18" w:lineRule="exact"/>
        <w:rPr>
          <w:sz w:val="20"/>
          <w:szCs w:val="20"/>
          <w:color w:val="auto"/>
        </w:rPr>
      </w:pPr>
    </w:p>
    <w:p>
      <w:pPr>
        <w:ind w:left="265" w:hanging="265"/>
        <w:spacing w:after="0"/>
        <w:tabs>
          <w:tab w:leader="none" w:pos="265" w:val="left"/>
        </w:tabs>
        <w:numPr>
          <w:ilvl w:val="0"/>
          <w:numId w:val="37"/>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Interim Segment Value adjusted for the loan amount is equal to Interim Segment Value ($52,500) minus the</w:t>
      </w:r>
    </w:p>
    <w:p>
      <w:pPr>
        <w:ind w:left="265"/>
        <w:spacing w:after="0" w:line="232" w:lineRule="auto"/>
        <w:rPr>
          <w:sz w:val="20"/>
          <w:szCs w:val="20"/>
          <w:color w:val="auto"/>
        </w:rPr>
      </w:pPr>
      <w:r>
        <w:rPr>
          <w:rFonts w:ascii="Times New Roman" w:cs="Times New Roman" w:eastAsia="Times New Roman" w:hAnsi="Times New Roman"/>
          <w:sz w:val="14"/>
          <w:szCs w:val="14"/>
          <w:color w:val="auto"/>
        </w:rPr>
        <w:t>amount of the loan ($20,000).</w:t>
      </w:r>
    </w:p>
    <w:p>
      <w:pPr>
        <w:ind w:left="5"/>
        <w:spacing w:after="0"/>
        <w:rPr>
          <w:sz w:val="20"/>
          <w:szCs w:val="20"/>
          <w:color w:val="auto"/>
        </w:rPr>
      </w:pPr>
      <w:r>
        <w:rPr>
          <w:rFonts w:ascii="Times New Roman" w:cs="Times New Roman" w:eastAsia="Times New Roman" w:hAnsi="Times New Roman"/>
          <w:sz w:val="4"/>
          <w:szCs w:val="4"/>
          <w:color w:val="auto"/>
        </w:rPr>
        <w:t>(8)</w:t>
      </w:r>
    </w:p>
    <w:p>
      <w:pPr>
        <w:spacing w:after="0" w:line="4" w:lineRule="exact"/>
        <w:rPr>
          <w:sz w:val="20"/>
          <w:szCs w:val="20"/>
          <w:color w:val="auto"/>
        </w:rPr>
      </w:pPr>
    </w:p>
    <w:p>
      <w:pPr>
        <w:ind w:left="265" w:right="2999"/>
        <w:spacing w:after="0" w:line="228" w:lineRule="auto"/>
        <w:rPr>
          <w:sz w:val="20"/>
          <w:szCs w:val="20"/>
          <w:color w:val="auto"/>
        </w:rPr>
      </w:pPr>
      <w:r>
        <w:rPr>
          <w:rFonts w:ascii="Times New Roman" w:cs="Times New Roman" w:eastAsia="Times New Roman" w:hAnsi="Times New Roman"/>
          <w:sz w:val="14"/>
          <w:szCs w:val="14"/>
          <w:color w:val="auto"/>
        </w:rPr>
        <w:t>The Segment Value is reduced proportionally by the loan taken based on the reduction in Interim Segment Value. Therefore, the Segment Value adjusted by the loan taken is calculated as follows:</w:t>
      </w:r>
    </w:p>
    <w:p>
      <w:pPr>
        <w:spacing w:after="0" w:line="40" w:lineRule="exact"/>
        <w:rPr>
          <w:sz w:val="20"/>
          <w:szCs w:val="20"/>
          <w:color w:val="auto"/>
        </w:rPr>
      </w:pPr>
    </w:p>
    <w:p>
      <w:pPr>
        <w:jc w:val="center"/>
        <w:ind w:left="1260" w:right="160"/>
        <w:spacing w:after="0" w:line="241" w:lineRule="auto"/>
        <w:rPr>
          <w:sz w:val="20"/>
          <w:szCs w:val="20"/>
          <w:color w:val="auto"/>
        </w:rPr>
      </w:pPr>
      <w:r>
        <w:rPr>
          <w:rFonts w:ascii="Times New Roman" w:cs="Times New Roman" w:eastAsia="Times New Roman" w:hAnsi="Times New Roman"/>
          <w:sz w:val="14"/>
          <w:szCs w:val="14"/>
          <w:color w:val="auto"/>
        </w:rPr>
        <w:t>$50,000 [Segment Value on date of Interim Segment Value calculation] x (1-($20,000 [loan taken halfway through the Term] ÷ $52,500 [Interim Segment Value on date of loan])) = $30,952</w:t>
      </w:r>
    </w:p>
    <w:p>
      <w:pPr>
        <w:spacing w:after="0" w:line="191" w:lineRule="exact"/>
        <w:rPr>
          <w:sz w:val="20"/>
          <w:szCs w:val="20"/>
          <w:color w:val="auto"/>
        </w:rPr>
      </w:pPr>
    </w:p>
    <w:p>
      <w:pPr>
        <w:ind w:left="5" w:right="2939"/>
        <w:spacing w:after="0" w:line="238" w:lineRule="auto"/>
        <w:rPr>
          <w:sz w:val="20"/>
          <w:szCs w:val="20"/>
          <w:color w:val="auto"/>
        </w:rPr>
      </w:pPr>
      <w:r>
        <w:rPr>
          <w:rFonts w:ascii="Times New Roman" w:cs="Times New Roman" w:eastAsia="Times New Roman" w:hAnsi="Times New Roman"/>
          <w:sz w:val="14"/>
          <w:szCs w:val="14"/>
          <w:color w:val="auto"/>
        </w:rPr>
        <w:t>The proportionally reduced Segment Value is used as the new Segment Value for the remainder of the Segment Term or until you take another loan or request an Accelerated Death Benefit payment.</w:t>
      </w:r>
    </w:p>
    <w:p>
      <w:pPr>
        <w:spacing w:after="0" w:line="30" w:lineRule="exact"/>
        <w:rPr>
          <w:sz w:val="20"/>
          <w:szCs w:val="20"/>
          <w:color w:val="auto"/>
        </w:rPr>
      </w:pPr>
    </w:p>
    <w:p>
      <w:pPr>
        <w:jc w:val="both"/>
        <w:ind w:left="265" w:right="2999" w:hanging="265"/>
        <w:spacing w:after="0" w:line="219" w:lineRule="auto"/>
        <w:tabs>
          <w:tab w:leader="none" w:pos="265" w:val="left"/>
        </w:tabs>
        <w:numPr>
          <w:ilvl w:val="0"/>
          <w:numId w:val="38"/>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Segment Index Performance at Segment Maturity is equal to the percentage change in the Index Value measured from the Segment Start Date to the Segment Maturity Date. Segment Index Performance is calculated as follows:</w:t>
      </w:r>
    </w:p>
    <w:p>
      <w:pPr>
        <w:spacing w:after="0" w:line="39" w:lineRule="exact"/>
        <w:rPr>
          <w:sz w:val="20"/>
          <w:szCs w:val="20"/>
          <w:color w:val="auto"/>
        </w:rPr>
      </w:pPr>
    </w:p>
    <w:p>
      <w:pPr>
        <w:ind w:left="1485"/>
        <w:spacing w:after="0"/>
        <w:rPr>
          <w:sz w:val="20"/>
          <w:szCs w:val="20"/>
          <w:color w:val="auto"/>
        </w:rPr>
      </w:pPr>
      <w:r>
        <w:rPr>
          <w:rFonts w:ascii="Times New Roman" w:cs="Times New Roman" w:eastAsia="Times New Roman" w:hAnsi="Times New Roman"/>
          <w:sz w:val="14"/>
          <w:szCs w:val="14"/>
          <w:color w:val="auto"/>
        </w:rPr>
        <w:t>(700 [Closing Value of the Index at Segment Maturity Date]</w:t>
      </w:r>
    </w:p>
    <w:p>
      <w:pPr>
        <w:ind w:left="1365" w:hanging="114"/>
        <w:spacing w:after="0"/>
        <w:tabs>
          <w:tab w:leader="none" w:pos="1365" w:val="left"/>
        </w:tabs>
        <w:numPr>
          <w:ilvl w:val="1"/>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500 [Closing Value of the Index at Segment Start Date]) – 1 = 40%</w:t>
      </w:r>
    </w:p>
    <w:p>
      <w:pPr>
        <w:spacing w:after="0" w:line="30" w:lineRule="exact"/>
        <w:rPr>
          <w:rFonts w:ascii="Times New Roman" w:cs="Times New Roman" w:eastAsia="Times New Roman" w:hAnsi="Times New Roman"/>
          <w:sz w:val="14"/>
          <w:szCs w:val="14"/>
          <w:color w:val="auto"/>
        </w:rPr>
      </w:pPr>
    </w:p>
    <w:p>
      <w:pPr>
        <w:ind w:left="265" w:right="2999" w:hanging="265"/>
        <w:spacing w:after="0" w:line="215" w:lineRule="auto"/>
        <w:tabs>
          <w:tab w:leader="none" w:pos="265" w:val="left"/>
        </w:tabs>
        <w:numPr>
          <w:ilvl w:val="0"/>
          <w:numId w:val="39"/>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Segment Index Performance at Segment Maturity exceeds the Cap Rate and therefore the Segment Performance Rate at Segment Maturity is equal to the Cap Rate.</w:t>
      </w:r>
    </w:p>
    <w:p>
      <w:pPr>
        <w:spacing w:after="0" w:line="30" w:lineRule="exact"/>
        <w:rPr>
          <w:rFonts w:ascii="Times New Roman" w:cs="Times New Roman" w:eastAsia="Times New Roman" w:hAnsi="Times New Roman"/>
          <w:sz w:val="18"/>
          <w:szCs w:val="18"/>
          <w:color w:val="auto"/>
          <w:vertAlign w:val="superscript"/>
        </w:rPr>
      </w:pPr>
    </w:p>
    <w:p>
      <w:pPr>
        <w:jc w:val="both"/>
        <w:ind w:left="265" w:right="2999" w:hanging="265"/>
        <w:spacing w:after="0" w:line="218" w:lineRule="auto"/>
        <w:tabs>
          <w:tab w:leader="none" w:pos="265" w:val="left"/>
        </w:tabs>
        <w:numPr>
          <w:ilvl w:val="0"/>
          <w:numId w:val="39"/>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Segment Credit on the Segment Maturity Date is equal to the product of the current Segment Value (Segment Value at the Segment Start Date adjusted for the loan that was taken halfway through the Segment Term) multiplied by the Segment Performance Rate at Segment Maturity. The Segment Credit on the Segment Maturity Date is calculated as follows:</w:t>
      </w:r>
    </w:p>
    <w:p>
      <w:pPr>
        <w:spacing w:after="0" w:line="32" w:lineRule="exact"/>
        <w:rPr>
          <w:sz w:val="20"/>
          <w:szCs w:val="20"/>
          <w:color w:val="auto"/>
        </w:rPr>
      </w:pPr>
    </w:p>
    <w:p>
      <w:pPr>
        <w:ind w:left="245"/>
        <w:spacing w:after="0"/>
        <w:rPr>
          <w:sz w:val="20"/>
          <w:szCs w:val="20"/>
          <w:color w:val="auto"/>
        </w:rPr>
      </w:pPr>
      <w:r>
        <w:rPr>
          <w:rFonts w:ascii="Times New Roman" w:cs="Times New Roman" w:eastAsia="Times New Roman" w:hAnsi="Times New Roman"/>
          <w:sz w:val="14"/>
          <w:szCs w:val="14"/>
          <w:color w:val="auto"/>
        </w:rPr>
        <w:t>$30,952 [current Segment Value] x 10% [Segment Performance Rate at Segment Maturity Date] = $3,095</w:t>
      </w:r>
    </w:p>
    <w:p>
      <w:pPr>
        <w:spacing w:after="0" w:line="45" w:lineRule="exact"/>
        <w:rPr>
          <w:sz w:val="20"/>
          <w:szCs w:val="20"/>
          <w:color w:val="auto"/>
        </w:rPr>
      </w:pPr>
    </w:p>
    <w:p>
      <w:pPr>
        <w:jc w:val="both"/>
        <w:ind w:left="265" w:right="2999" w:hanging="265"/>
        <w:spacing w:after="0" w:line="218" w:lineRule="auto"/>
        <w:tabs>
          <w:tab w:leader="none" w:pos="265" w:val="left"/>
        </w:tabs>
        <w:numPr>
          <w:ilvl w:val="0"/>
          <w:numId w:val="40"/>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Segment Value on the Segment Maturity Date is equal to the current Segment Value (Segment Value at the Segment Start Date adjusted for the loan that was taken halfway through the Segment Term) plus the Segment Credit at Segment Maturity. The Segment Value on the Segment Maturity Date is calculated as follows:</w:t>
      </w:r>
    </w:p>
    <w:p>
      <w:pPr>
        <w:spacing w:after="0" w:line="32" w:lineRule="exact"/>
        <w:rPr>
          <w:sz w:val="20"/>
          <w:szCs w:val="20"/>
          <w:color w:val="auto"/>
        </w:rPr>
      </w:pPr>
    </w:p>
    <w:p>
      <w:pPr>
        <w:ind w:left="1185"/>
        <w:spacing w:after="0"/>
        <w:rPr>
          <w:sz w:val="20"/>
          <w:szCs w:val="20"/>
          <w:color w:val="auto"/>
        </w:rPr>
      </w:pPr>
      <w:r>
        <w:rPr>
          <w:rFonts w:ascii="Times New Roman" w:cs="Times New Roman" w:eastAsia="Times New Roman" w:hAnsi="Times New Roman"/>
          <w:sz w:val="14"/>
          <w:szCs w:val="14"/>
          <w:color w:val="auto"/>
        </w:rPr>
        <w:t>$30,952 [current Segment Value] + $3,095 [Segment Credit] = $34,047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085"/>
        <w:spacing w:after="0"/>
        <w:rPr>
          <w:sz w:val="20"/>
          <w:szCs w:val="20"/>
          <w:color w:val="auto"/>
        </w:rPr>
      </w:pPr>
      <w:r>
        <w:rPr>
          <w:rFonts w:ascii="Times New Roman" w:cs="Times New Roman" w:eastAsia="Times New Roman" w:hAnsi="Times New Roman"/>
          <w:sz w:val="14"/>
          <w:szCs w:val="14"/>
          <w:color w:val="auto"/>
        </w:rPr>
        <w:t>45</w:t>
      </w:r>
    </w:p>
    <w:p>
      <w:pPr>
        <w:sectPr>
          <w:pgSz w:w="11900" w:h="16838" w:orient="portrait"/>
          <w:cols w:equalWidth="0" w:num="1">
            <w:col w:w="9224"/>
          </w:cols>
          <w:pgMar w:left="1235" w:top="984" w:right="1440" w:bottom="1440" w:gutter="0" w:footer="0" w:header="0"/>
        </w:sectPr>
      </w:pPr>
    </w:p>
    <w:bookmarkStart w:id="48" w:name="page49"/>
    <w:bookmarkEnd w:id="48"/>
    <w:p>
      <w:pPr>
        <w:ind w:left="5"/>
        <w:spacing w:after="0"/>
        <w:rPr>
          <w:sz w:val="20"/>
          <w:szCs w:val="20"/>
          <w:color w:val="auto"/>
        </w:rPr>
      </w:pPr>
      <w:r>
        <w:rPr>
          <w:rFonts w:ascii="Times New Roman" w:cs="Times New Roman" w:eastAsia="Times New Roman" w:hAnsi="Times New Roman"/>
          <w:sz w:val="14"/>
          <w:szCs w:val="14"/>
          <w:u w:val="single" w:color="auto"/>
          <w:color w:val="auto"/>
        </w:rPr>
        <w:drawing>
          <wp:anchor simplePos="0" relativeHeight="251657728" behindDoc="1" locked="0" layoutInCell="0" allowOverlap="1">
            <wp:simplePos x="0" y="0"/>
            <wp:positionH relativeFrom="page">
              <wp:posOffset>179070</wp:posOffset>
            </wp:positionH>
            <wp:positionV relativeFrom="page">
              <wp:posOffset>422275</wp:posOffset>
            </wp:positionV>
            <wp:extent cx="719010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90105" cy="38735"/>
                    </a:xfrm>
                    <a:prstGeom prst="rect">
                      <a:avLst/>
                    </a:prstGeom>
                    <a:noFill/>
                  </pic:spPr>
                </pic:pic>
              </a:graphicData>
            </a:graphic>
          </wp:anchor>
        </w:drawing>
        <w:t>Example 4C—Negative Segment Index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4003675" cy="453263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003675" cy="4532630"/>
                    </a:xfrm>
                    <a:prstGeom prst="rect">
                      <a:avLst/>
                    </a:prstGeom>
                    <a:noFill/>
                  </pic:spPr>
                </pic:pic>
              </a:graphicData>
            </a:graphic>
          </wp:anchor>
        </w:drawing>
      </w:r>
    </w:p>
    <w:p>
      <w:pPr>
        <w:spacing w:after="0" w:line="62" w:lineRule="exact"/>
        <w:rPr>
          <w:sz w:val="20"/>
          <w:szCs w:val="20"/>
          <w:color w:val="auto"/>
        </w:rPr>
      </w:pPr>
    </w:p>
    <w:p>
      <w:pPr>
        <w:ind w:left="85"/>
        <w:spacing w:after="0"/>
        <w:rPr>
          <w:sz w:val="20"/>
          <w:szCs w:val="20"/>
          <w:color w:val="auto"/>
        </w:rPr>
      </w:pPr>
      <w:r>
        <w:rPr>
          <w:rFonts w:ascii="Times New Roman" w:cs="Times New Roman" w:eastAsia="Times New Roman" w:hAnsi="Times New Roman"/>
          <w:sz w:val="14"/>
          <w:szCs w:val="14"/>
          <w:b w:val="1"/>
          <w:bCs w:val="1"/>
          <w:color w:val="auto"/>
        </w:rPr>
        <w:t>Segment Start Date</w:t>
      </w:r>
    </w:p>
    <w:p>
      <w:pPr>
        <w:spacing w:after="0" w:line="21" w:lineRule="exact"/>
        <w:rPr>
          <w:sz w:val="20"/>
          <w:szCs w:val="20"/>
          <w:color w:val="auto"/>
        </w:rPr>
      </w:pPr>
    </w:p>
    <w:tbl>
      <w:tblPr>
        <w:tblLayout w:type="fixed"/>
        <w:tblInd w:w="5" w:type="dxa"/>
        <w:tblCellMar>
          <w:top w:w="0" w:type="dxa"/>
          <w:left w:w="0" w:type="dxa"/>
          <w:bottom w:w="0" w:type="dxa"/>
          <w:right w:w="0" w:type="dxa"/>
        </w:tblCellMar>
      </w:tblPr>
      <w:tr>
        <w:trPr>
          <w:trHeight w:val="226"/>
        </w:trPr>
        <w:tc>
          <w:tcPr>
            <w:tcW w:w="4900" w:type="dxa"/>
            <w:vAlign w:val="bottom"/>
            <w:tcBorders>
              <w:top w:val="single" w:sz="8" w:color="auto"/>
              <w:bottom w:val="single" w:sz="8" w:color="auto"/>
              <w:right w:val="single" w:sz="8" w:color="auto"/>
            </w:tcBorders>
            <w:gridSpan w:val="2"/>
            <w:shd w:val="clear" w:color="auto" w:fill="F0FFFF"/>
          </w:tcPr>
          <w:p>
            <w:pPr>
              <w:ind w:left="220"/>
              <w:spacing w:after="0"/>
              <w:rPr>
                <w:sz w:val="20"/>
                <w:szCs w:val="20"/>
                <w:color w:val="auto"/>
              </w:rPr>
            </w:pPr>
            <w:r>
              <w:rPr>
                <w:rFonts w:ascii="Times New Roman" w:cs="Times New Roman" w:eastAsia="Times New Roman" w:hAnsi="Times New Roman"/>
                <w:sz w:val="14"/>
                <w:szCs w:val="14"/>
                <w:color w:val="auto"/>
              </w:rPr>
              <w:t>Segment Value (before deducting the Annual Deduction)</w:t>
            </w:r>
            <w:r>
              <w:rPr>
                <w:rFonts w:ascii="Times New Roman" w:cs="Times New Roman" w:eastAsia="Times New Roman" w:hAnsi="Times New Roman"/>
                <w:sz w:val="17"/>
                <w:szCs w:val="17"/>
                <w:color w:val="auto"/>
                <w:vertAlign w:val="superscript"/>
              </w:rPr>
              <w:t>(1)</w:t>
            </w:r>
          </w:p>
        </w:tc>
        <w:tc>
          <w:tcPr>
            <w:tcW w:w="1380" w:type="dxa"/>
            <w:vAlign w:val="bottom"/>
            <w:tcBorders>
              <w:top w:val="single" w:sz="8" w:color="auto"/>
              <w:bottom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color w:val="auto"/>
              </w:rPr>
              <w:t>$51,000</w:t>
            </w:r>
          </w:p>
        </w:tc>
        <w:tc>
          <w:tcPr>
            <w:tcW w:w="20" w:type="dxa"/>
            <w:vAlign w:val="bottom"/>
            <w:tcBorders>
              <w:top w:val="single" w:sz="8" w:color="auto"/>
              <w:bottom w:val="single" w:sz="8" w:color="auto"/>
            </w:tcBorders>
          </w:tcPr>
          <w:p>
            <w:pPr>
              <w:spacing w:after="0"/>
              <w:rPr>
                <w:sz w:val="19"/>
                <w:szCs w:val="19"/>
                <w:color w:val="auto"/>
              </w:rPr>
            </w:pPr>
          </w:p>
        </w:tc>
      </w:tr>
      <w:tr>
        <w:trPr>
          <w:trHeight w:val="206"/>
        </w:trPr>
        <w:tc>
          <w:tcPr>
            <w:tcW w:w="4900" w:type="dxa"/>
            <w:vAlign w:val="bottom"/>
            <w:tcBorders>
              <w:bottom w:val="single" w:sz="8" w:color="auto"/>
              <w:right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color w:val="auto"/>
              </w:rPr>
              <w:t>Segment Value (after deducting the Annual Deduction)</w:t>
            </w:r>
            <w:r>
              <w:rPr>
                <w:rFonts w:ascii="Times New Roman" w:cs="Times New Roman" w:eastAsia="Times New Roman" w:hAnsi="Times New Roman"/>
                <w:sz w:val="17"/>
                <w:szCs w:val="17"/>
                <w:color w:val="auto"/>
                <w:vertAlign w:val="superscript"/>
              </w:rPr>
              <w:t>(1)</w:t>
            </w: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$50,000</w:t>
            </w:r>
          </w:p>
        </w:tc>
        <w:tc>
          <w:tcPr>
            <w:tcW w:w="20" w:type="dxa"/>
            <w:vAlign w:val="bottom"/>
            <w:tcBorders>
              <w:bottom w:val="single" w:sz="8" w:color="auto"/>
            </w:tcBorders>
          </w:tcPr>
          <w:p>
            <w:pPr>
              <w:spacing w:after="0"/>
              <w:rPr>
                <w:sz w:val="17"/>
                <w:szCs w:val="17"/>
                <w:color w:val="auto"/>
              </w:rPr>
            </w:pPr>
          </w:p>
        </w:tc>
      </w:tr>
      <w:tr>
        <w:trPr>
          <w:trHeight w:val="196"/>
        </w:trPr>
        <w:tc>
          <w:tcPr>
            <w:tcW w:w="4900" w:type="dxa"/>
            <w:vAlign w:val="bottom"/>
            <w:tcBorders>
              <w:bottom w:val="single" w:sz="8" w:color="F0FFFF"/>
              <w:right w:val="single" w:sz="8" w:color="auto"/>
            </w:tcBorders>
            <w:gridSpan w:val="2"/>
            <w:shd w:val="clear" w:color="auto" w:fill="F0FFFF"/>
          </w:tcPr>
          <w:p>
            <w:pPr>
              <w:ind w:left="220"/>
              <w:spacing w:after="0"/>
              <w:rPr>
                <w:sz w:val="20"/>
                <w:szCs w:val="20"/>
                <w:color w:val="auto"/>
              </w:rPr>
            </w:pPr>
            <w:r>
              <w:rPr>
                <w:rFonts w:ascii="Times New Roman" w:cs="Times New Roman" w:eastAsia="Times New Roman" w:hAnsi="Times New Roman"/>
                <w:sz w:val="14"/>
                <w:szCs w:val="14"/>
                <w:color w:val="auto"/>
              </w:rPr>
              <w:t>Buffer Rate</w:t>
            </w:r>
          </w:p>
        </w:tc>
        <w:tc>
          <w:tcPr>
            <w:tcW w:w="1380" w:type="dxa"/>
            <w:vAlign w:val="bottom"/>
            <w:tcBorders>
              <w:bottom w:val="single" w:sz="8" w:color="F0FFFF"/>
            </w:tcBorders>
            <w:shd w:val="clear" w:color="auto" w:fill="F0FFFF"/>
          </w:tcPr>
          <w:p>
            <w:pPr>
              <w:ind w:left="420"/>
              <w:spacing w:after="0"/>
              <w:rPr>
                <w:sz w:val="20"/>
                <w:szCs w:val="20"/>
                <w:color w:val="auto"/>
              </w:rPr>
            </w:pPr>
            <w:r>
              <w:rPr>
                <w:rFonts w:ascii="Times New Roman" w:cs="Times New Roman" w:eastAsia="Times New Roman" w:hAnsi="Times New Roman"/>
                <w:sz w:val="14"/>
                <w:szCs w:val="14"/>
                <w:color w:val="auto"/>
              </w:rPr>
              <w:t>Buffer 10</w:t>
            </w:r>
          </w:p>
        </w:tc>
        <w:tc>
          <w:tcPr>
            <w:tcW w:w="20" w:type="dxa"/>
            <w:vAlign w:val="bottom"/>
          </w:tcPr>
          <w:p>
            <w:pPr>
              <w:spacing w:after="0"/>
              <w:rPr>
                <w:sz w:val="17"/>
                <w:szCs w:val="17"/>
                <w:color w:val="auto"/>
              </w:rPr>
            </w:pPr>
          </w:p>
        </w:tc>
      </w:tr>
      <w:tr>
        <w:trPr>
          <w:trHeight w:val="174"/>
        </w:trPr>
        <w:tc>
          <w:tcPr>
            <w:tcW w:w="4900" w:type="dxa"/>
            <w:vAlign w:val="bottom"/>
            <w:tcBorders>
              <w:top w:val="single" w:sz="8" w:color="auto"/>
              <w:right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color w:val="auto"/>
              </w:rPr>
              <w:t>Cap Rate</w:t>
            </w:r>
          </w:p>
        </w:tc>
        <w:tc>
          <w:tcPr>
            <w:tcW w:w="1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10%</w:t>
            </w:r>
          </w:p>
        </w:tc>
        <w:tc>
          <w:tcPr>
            <w:tcW w:w="20" w:type="dxa"/>
            <w:vAlign w:val="bottom"/>
            <w:tcBorders>
              <w:top w:val="single" w:sz="8" w:color="auto"/>
            </w:tcBorders>
          </w:tcPr>
          <w:p>
            <w:pPr>
              <w:spacing w:after="0"/>
              <w:rPr>
                <w:sz w:val="15"/>
                <w:szCs w:val="15"/>
                <w:color w:val="auto"/>
              </w:rPr>
            </w:pPr>
          </w:p>
        </w:tc>
      </w:tr>
      <w:tr>
        <w:trPr>
          <w:trHeight w:val="22"/>
        </w:trPr>
        <w:tc>
          <w:tcPr>
            <w:tcW w:w="840" w:type="dxa"/>
            <w:vAlign w:val="bottom"/>
            <w:tcBorders>
              <w:bottom w:val="single" w:sz="8" w:color="auto"/>
            </w:tcBorders>
          </w:tcPr>
          <w:p>
            <w:pPr>
              <w:spacing w:after="0" w:line="20" w:lineRule="exact"/>
              <w:rPr>
                <w:sz w:val="1"/>
                <w:szCs w:val="1"/>
                <w:color w:val="auto"/>
              </w:rPr>
            </w:pPr>
          </w:p>
        </w:tc>
        <w:tc>
          <w:tcPr>
            <w:tcW w:w="4060" w:type="dxa"/>
            <w:vAlign w:val="bottom"/>
            <w:tcBorders>
              <w:bottom w:val="single" w:sz="8" w:color="auto"/>
              <w:right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196"/>
        </w:trPr>
        <w:tc>
          <w:tcPr>
            <w:tcW w:w="4900" w:type="dxa"/>
            <w:vAlign w:val="bottom"/>
            <w:tcBorders>
              <w:bottom w:val="single" w:sz="8" w:color="F0FFFF"/>
              <w:right w:val="single" w:sz="8" w:color="auto"/>
            </w:tcBorders>
            <w:gridSpan w:val="2"/>
            <w:shd w:val="clear" w:color="auto" w:fill="F0FFFF"/>
          </w:tcPr>
          <w:p>
            <w:pPr>
              <w:ind w:left="220"/>
              <w:spacing w:after="0"/>
              <w:rPr>
                <w:sz w:val="20"/>
                <w:szCs w:val="20"/>
                <w:color w:val="auto"/>
              </w:rPr>
            </w:pPr>
            <w:r>
              <w:rPr>
                <w:rFonts w:ascii="Times New Roman" w:cs="Times New Roman" w:eastAsia="Times New Roman" w:hAnsi="Times New Roman"/>
                <w:sz w:val="14"/>
                <w:szCs w:val="14"/>
                <w:color w:val="auto"/>
              </w:rPr>
              <w:t>Closing Value of the Index</w:t>
            </w:r>
          </w:p>
        </w:tc>
        <w:tc>
          <w:tcPr>
            <w:tcW w:w="1380" w:type="dxa"/>
            <w:vAlign w:val="bottom"/>
            <w:tcBorders>
              <w:bottom w:val="single" w:sz="8" w:color="F0FFFF"/>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color w:val="auto"/>
              </w:rPr>
              <w:t>500</w:t>
            </w:r>
          </w:p>
        </w:tc>
        <w:tc>
          <w:tcPr>
            <w:tcW w:w="20" w:type="dxa"/>
            <w:vAlign w:val="bottom"/>
          </w:tcPr>
          <w:p>
            <w:pPr>
              <w:spacing w:after="0"/>
              <w:rPr>
                <w:sz w:val="17"/>
                <w:szCs w:val="17"/>
                <w:color w:val="auto"/>
              </w:rPr>
            </w:pPr>
          </w:p>
        </w:tc>
      </w:tr>
      <w:tr>
        <w:trPr>
          <w:trHeight w:val="174"/>
        </w:trPr>
        <w:tc>
          <w:tcPr>
            <w:tcW w:w="490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Interim Segment Value Calculation Halfway Through Term</w:t>
            </w:r>
          </w:p>
        </w:tc>
        <w:tc>
          <w:tcPr>
            <w:tcW w:w="13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r>
      <w:tr>
        <w:trPr>
          <w:trHeight w:val="22"/>
        </w:trPr>
        <w:tc>
          <w:tcPr>
            <w:tcW w:w="840" w:type="dxa"/>
            <w:vAlign w:val="bottom"/>
            <w:tcBorders>
              <w:bottom w:val="single" w:sz="8" w:color="auto"/>
            </w:tcBorders>
          </w:tcPr>
          <w:p>
            <w:pPr>
              <w:spacing w:after="0" w:line="20" w:lineRule="exact"/>
              <w:rPr>
                <w:sz w:val="1"/>
                <w:szCs w:val="1"/>
                <w:color w:val="auto"/>
              </w:rPr>
            </w:pPr>
          </w:p>
        </w:tc>
        <w:tc>
          <w:tcPr>
            <w:tcW w:w="40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196"/>
        </w:trPr>
        <w:tc>
          <w:tcPr>
            <w:tcW w:w="4900" w:type="dxa"/>
            <w:vAlign w:val="bottom"/>
            <w:tcBorders>
              <w:bottom w:val="single" w:sz="8" w:color="F0FFFF"/>
              <w:right w:val="single" w:sz="8" w:color="auto"/>
            </w:tcBorders>
            <w:gridSpan w:val="2"/>
            <w:shd w:val="clear" w:color="auto" w:fill="F0FFFF"/>
          </w:tcPr>
          <w:p>
            <w:pPr>
              <w:ind w:left="220"/>
              <w:spacing w:after="0"/>
              <w:rPr>
                <w:sz w:val="20"/>
                <w:szCs w:val="20"/>
                <w:color w:val="auto"/>
              </w:rPr>
            </w:pPr>
            <w:r>
              <w:rPr>
                <w:rFonts w:ascii="Times New Roman" w:cs="Times New Roman" w:eastAsia="Times New Roman" w:hAnsi="Times New Roman"/>
                <w:sz w:val="14"/>
                <w:szCs w:val="14"/>
                <w:color w:val="auto"/>
              </w:rPr>
              <w:t>Closing Value of the Index</w:t>
            </w:r>
          </w:p>
        </w:tc>
        <w:tc>
          <w:tcPr>
            <w:tcW w:w="1380" w:type="dxa"/>
            <w:vAlign w:val="bottom"/>
            <w:tcBorders>
              <w:bottom w:val="single" w:sz="8" w:color="F0FFFF"/>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20" w:type="dxa"/>
            <w:vAlign w:val="bottom"/>
          </w:tcPr>
          <w:p>
            <w:pPr>
              <w:spacing w:after="0"/>
              <w:rPr>
                <w:sz w:val="17"/>
                <w:szCs w:val="17"/>
                <w:color w:val="auto"/>
              </w:rPr>
            </w:pPr>
          </w:p>
        </w:tc>
      </w:tr>
      <w:tr>
        <w:trPr>
          <w:trHeight w:val="206"/>
        </w:trPr>
        <w:tc>
          <w:tcPr>
            <w:tcW w:w="4900" w:type="dxa"/>
            <w:vAlign w:val="bottom"/>
            <w:tcBorders>
              <w:top w:val="single" w:sz="8" w:color="auto"/>
              <w:bottom w:val="single" w:sz="8" w:color="auto"/>
              <w:right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color w:val="auto"/>
              </w:rPr>
              <w:t>Segment Index Performance</w:t>
            </w:r>
            <w:r>
              <w:rPr>
                <w:rFonts w:ascii="Times New Roman" w:cs="Times New Roman" w:eastAsia="Times New Roman" w:hAnsi="Times New Roman"/>
                <w:sz w:val="17"/>
                <w:szCs w:val="17"/>
                <w:color w:val="auto"/>
                <w:vertAlign w:val="superscript"/>
              </w:rPr>
              <w:t>(2)</w:t>
            </w:r>
          </w:p>
        </w:tc>
        <w:tc>
          <w:tcPr>
            <w:tcW w:w="1400" w:type="dxa"/>
            <w:vAlign w:val="bottom"/>
            <w:tcBorders>
              <w:top w:val="single" w:sz="8" w:color="auto"/>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w w:val="97"/>
              </w:rPr>
              <w:t>–20%</w:t>
            </w:r>
          </w:p>
        </w:tc>
      </w:tr>
      <w:tr>
        <w:trPr>
          <w:trHeight w:val="206"/>
        </w:trPr>
        <w:tc>
          <w:tcPr>
            <w:tcW w:w="4900" w:type="dxa"/>
            <w:vAlign w:val="bottom"/>
            <w:tcBorders>
              <w:bottom w:val="single" w:sz="8" w:color="auto"/>
              <w:right w:val="single" w:sz="8" w:color="auto"/>
            </w:tcBorders>
            <w:gridSpan w:val="2"/>
            <w:shd w:val="clear" w:color="auto" w:fill="F0FFFF"/>
          </w:tcPr>
          <w:p>
            <w:pPr>
              <w:ind w:left="220"/>
              <w:spacing w:after="0"/>
              <w:rPr>
                <w:sz w:val="20"/>
                <w:szCs w:val="20"/>
                <w:color w:val="auto"/>
              </w:rPr>
            </w:pPr>
            <w:r>
              <w:rPr>
                <w:rFonts w:ascii="Times New Roman" w:cs="Times New Roman" w:eastAsia="Times New Roman" w:hAnsi="Times New Roman"/>
                <w:sz w:val="14"/>
                <w:szCs w:val="14"/>
                <w:color w:val="auto"/>
              </w:rPr>
              <w:t>Accrued Buffer Rate</w:t>
            </w:r>
            <w:r>
              <w:rPr>
                <w:rFonts w:ascii="Times New Roman" w:cs="Times New Roman" w:eastAsia="Times New Roman" w:hAnsi="Times New Roman"/>
                <w:sz w:val="17"/>
                <w:szCs w:val="17"/>
                <w:color w:val="auto"/>
                <w:vertAlign w:val="superscript"/>
              </w:rPr>
              <w:t>(3)</w:t>
            </w:r>
          </w:p>
        </w:tc>
        <w:tc>
          <w:tcPr>
            <w:tcW w:w="1380" w:type="dxa"/>
            <w:vAlign w:val="bottom"/>
            <w:tcBorders>
              <w:bottom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color w:val="auto"/>
                <w:w w:val="96"/>
              </w:rPr>
              <w:t>5%</w:t>
            </w:r>
          </w:p>
        </w:tc>
        <w:tc>
          <w:tcPr>
            <w:tcW w:w="20" w:type="dxa"/>
            <w:vAlign w:val="bottom"/>
            <w:tcBorders>
              <w:bottom w:val="single" w:sz="8" w:color="auto"/>
            </w:tcBorders>
          </w:tcPr>
          <w:p>
            <w:pPr>
              <w:spacing w:after="0"/>
              <w:rPr>
                <w:sz w:val="17"/>
                <w:szCs w:val="17"/>
                <w:color w:val="auto"/>
              </w:rPr>
            </w:pPr>
          </w:p>
        </w:tc>
      </w:tr>
      <w:tr>
        <w:trPr>
          <w:trHeight w:val="206"/>
        </w:trPr>
        <w:tc>
          <w:tcPr>
            <w:tcW w:w="4900" w:type="dxa"/>
            <w:vAlign w:val="bottom"/>
            <w:tcBorders>
              <w:bottom w:val="single" w:sz="8" w:color="auto"/>
              <w:right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color w:val="auto"/>
              </w:rPr>
              <w:t>Segment Performance Rate</w:t>
            </w:r>
            <w:r>
              <w:rPr>
                <w:rFonts w:ascii="Times New Roman" w:cs="Times New Roman" w:eastAsia="Times New Roman" w:hAnsi="Times New Roman"/>
                <w:sz w:val="17"/>
                <w:szCs w:val="17"/>
                <w:color w:val="auto"/>
                <w:vertAlign w:val="superscript"/>
              </w:rPr>
              <w:t>(4)</w:t>
            </w:r>
          </w:p>
        </w:tc>
        <w:tc>
          <w:tcPr>
            <w:tcW w:w="14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w w:val="97"/>
              </w:rPr>
              <w:t>–15%</w:t>
            </w:r>
          </w:p>
        </w:tc>
      </w:tr>
      <w:tr>
        <w:trPr>
          <w:trHeight w:val="206"/>
        </w:trPr>
        <w:tc>
          <w:tcPr>
            <w:tcW w:w="4900" w:type="dxa"/>
            <w:vAlign w:val="bottom"/>
            <w:tcBorders>
              <w:bottom w:val="single" w:sz="8" w:color="auto"/>
              <w:right w:val="single" w:sz="8" w:color="auto"/>
            </w:tcBorders>
            <w:gridSpan w:val="2"/>
            <w:shd w:val="clear" w:color="auto" w:fill="F0FFFF"/>
          </w:tcPr>
          <w:p>
            <w:pPr>
              <w:ind w:left="220"/>
              <w:spacing w:after="0"/>
              <w:rPr>
                <w:sz w:val="20"/>
                <w:szCs w:val="20"/>
                <w:color w:val="auto"/>
              </w:rPr>
            </w:pPr>
            <w:r>
              <w:rPr>
                <w:rFonts w:ascii="Times New Roman" w:cs="Times New Roman" w:eastAsia="Times New Roman" w:hAnsi="Times New Roman"/>
                <w:sz w:val="14"/>
                <w:szCs w:val="14"/>
                <w:color w:val="auto"/>
              </w:rPr>
              <w:t>Accrued Index Return</w:t>
            </w:r>
            <w:r>
              <w:rPr>
                <w:rFonts w:ascii="Times New Roman" w:cs="Times New Roman" w:eastAsia="Times New Roman" w:hAnsi="Times New Roman"/>
                <w:sz w:val="17"/>
                <w:szCs w:val="17"/>
                <w:color w:val="auto"/>
                <w:vertAlign w:val="superscript"/>
              </w:rPr>
              <w:t>(5)</w:t>
            </w:r>
          </w:p>
        </w:tc>
        <w:tc>
          <w:tcPr>
            <w:tcW w:w="1380" w:type="dxa"/>
            <w:vAlign w:val="bottom"/>
            <w:tcBorders>
              <w:bottom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color w:val="auto"/>
              </w:rPr>
              <w:t>–$7,500</w:t>
            </w:r>
          </w:p>
        </w:tc>
        <w:tc>
          <w:tcPr>
            <w:tcW w:w="20" w:type="dxa"/>
            <w:vAlign w:val="bottom"/>
            <w:tcBorders>
              <w:bottom w:val="single" w:sz="8" w:color="auto"/>
            </w:tcBorders>
          </w:tcPr>
          <w:p>
            <w:pPr>
              <w:spacing w:after="0"/>
              <w:rPr>
                <w:sz w:val="17"/>
                <w:szCs w:val="17"/>
                <w:color w:val="auto"/>
              </w:rPr>
            </w:pPr>
          </w:p>
        </w:tc>
      </w:tr>
      <w:tr>
        <w:trPr>
          <w:trHeight w:val="206"/>
        </w:trPr>
        <w:tc>
          <w:tcPr>
            <w:tcW w:w="4900" w:type="dxa"/>
            <w:vAlign w:val="bottom"/>
            <w:tcBorders>
              <w:bottom w:val="single" w:sz="8" w:color="auto"/>
              <w:right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color w:val="auto"/>
              </w:rPr>
              <w:t>Interim Segment Value</w:t>
            </w:r>
            <w:r>
              <w:rPr>
                <w:rFonts w:ascii="Times New Roman" w:cs="Times New Roman" w:eastAsia="Times New Roman" w:hAnsi="Times New Roman"/>
                <w:sz w:val="17"/>
                <w:szCs w:val="17"/>
                <w:color w:val="auto"/>
                <w:vertAlign w:val="superscript"/>
              </w:rPr>
              <w:t>(6)</w:t>
            </w: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$42,500</w:t>
            </w:r>
          </w:p>
        </w:tc>
        <w:tc>
          <w:tcPr>
            <w:tcW w:w="20" w:type="dxa"/>
            <w:vAlign w:val="bottom"/>
            <w:tcBorders>
              <w:bottom w:val="single" w:sz="8" w:color="auto"/>
            </w:tcBorders>
          </w:tcPr>
          <w:p>
            <w:pPr>
              <w:spacing w:after="0"/>
              <w:rPr>
                <w:sz w:val="17"/>
                <w:szCs w:val="17"/>
                <w:color w:val="auto"/>
              </w:rPr>
            </w:pPr>
          </w:p>
        </w:tc>
      </w:tr>
      <w:tr>
        <w:trPr>
          <w:trHeight w:val="196"/>
        </w:trPr>
        <w:tc>
          <w:tcPr>
            <w:tcW w:w="4900" w:type="dxa"/>
            <w:vAlign w:val="bottom"/>
            <w:tcBorders>
              <w:bottom w:val="single" w:sz="8" w:color="F0FFFF"/>
              <w:right w:val="single" w:sz="8" w:color="auto"/>
            </w:tcBorders>
            <w:gridSpan w:val="2"/>
            <w:shd w:val="clear" w:color="auto" w:fill="F0FFFF"/>
          </w:tcPr>
          <w:p>
            <w:pPr>
              <w:ind w:left="220"/>
              <w:spacing w:after="0"/>
              <w:rPr>
                <w:sz w:val="20"/>
                <w:szCs w:val="20"/>
                <w:color w:val="auto"/>
              </w:rPr>
            </w:pPr>
            <w:r>
              <w:rPr>
                <w:rFonts w:ascii="Times New Roman" w:cs="Times New Roman" w:eastAsia="Times New Roman" w:hAnsi="Times New Roman"/>
                <w:sz w:val="14"/>
                <w:szCs w:val="14"/>
                <w:color w:val="auto"/>
              </w:rPr>
              <w:t>Loan Taken</w:t>
            </w:r>
          </w:p>
        </w:tc>
        <w:tc>
          <w:tcPr>
            <w:tcW w:w="1380" w:type="dxa"/>
            <w:vAlign w:val="bottom"/>
            <w:tcBorders>
              <w:bottom w:val="single" w:sz="8" w:color="F0FFFF"/>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color w:val="auto"/>
              </w:rPr>
              <w:t>$20,000</w:t>
            </w:r>
          </w:p>
        </w:tc>
        <w:tc>
          <w:tcPr>
            <w:tcW w:w="20" w:type="dxa"/>
            <w:vAlign w:val="bottom"/>
          </w:tcPr>
          <w:p>
            <w:pPr>
              <w:spacing w:after="0"/>
              <w:rPr>
                <w:sz w:val="17"/>
                <w:szCs w:val="17"/>
                <w:color w:val="auto"/>
              </w:rPr>
            </w:pPr>
          </w:p>
        </w:tc>
      </w:tr>
      <w:tr>
        <w:trPr>
          <w:trHeight w:val="206"/>
        </w:trPr>
        <w:tc>
          <w:tcPr>
            <w:tcW w:w="4900" w:type="dxa"/>
            <w:vAlign w:val="bottom"/>
            <w:tcBorders>
              <w:top w:val="single" w:sz="8" w:color="auto"/>
              <w:bottom w:val="single" w:sz="8" w:color="auto"/>
              <w:right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color w:val="auto"/>
              </w:rPr>
              <w:t>Interim Segment Value adjusted by loan amount</w:t>
            </w:r>
            <w:r>
              <w:rPr>
                <w:rFonts w:ascii="Times New Roman" w:cs="Times New Roman" w:eastAsia="Times New Roman" w:hAnsi="Times New Roman"/>
                <w:sz w:val="17"/>
                <w:szCs w:val="17"/>
                <w:color w:val="auto"/>
                <w:vertAlign w:val="superscript"/>
              </w:rPr>
              <w:t>(7)</w:t>
            </w:r>
          </w:p>
        </w:tc>
        <w:tc>
          <w:tcPr>
            <w:tcW w:w="13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$22,500</w:t>
            </w:r>
          </w:p>
        </w:tc>
        <w:tc>
          <w:tcPr>
            <w:tcW w:w="20" w:type="dxa"/>
            <w:vAlign w:val="bottom"/>
            <w:tcBorders>
              <w:top w:val="single" w:sz="8" w:color="auto"/>
              <w:bottom w:val="single" w:sz="8" w:color="auto"/>
            </w:tcBorders>
          </w:tcPr>
          <w:p>
            <w:pPr>
              <w:spacing w:after="0"/>
              <w:rPr>
                <w:sz w:val="17"/>
                <w:szCs w:val="17"/>
                <w:color w:val="auto"/>
              </w:rPr>
            </w:pPr>
          </w:p>
        </w:tc>
      </w:tr>
      <w:tr>
        <w:trPr>
          <w:trHeight w:val="206"/>
        </w:trPr>
        <w:tc>
          <w:tcPr>
            <w:tcW w:w="4900" w:type="dxa"/>
            <w:vAlign w:val="bottom"/>
            <w:tcBorders>
              <w:bottom w:val="single" w:sz="8" w:color="auto"/>
              <w:right w:val="single" w:sz="8" w:color="auto"/>
            </w:tcBorders>
            <w:gridSpan w:val="2"/>
            <w:shd w:val="clear" w:color="auto" w:fill="F0FFFF"/>
          </w:tcPr>
          <w:p>
            <w:pPr>
              <w:ind w:left="220"/>
              <w:spacing w:after="0"/>
              <w:rPr>
                <w:sz w:val="20"/>
                <w:szCs w:val="20"/>
                <w:color w:val="auto"/>
              </w:rPr>
            </w:pPr>
            <w:r>
              <w:rPr>
                <w:rFonts w:ascii="Times New Roman" w:cs="Times New Roman" w:eastAsia="Times New Roman" w:hAnsi="Times New Roman"/>
                <w:sz w:val="14"/>
                <w:szCs w:val="14"/>
                <w:color w:val="auto"/>
              </w:rPr>
              <w:t>Segment Value adjusted by loan amount</w:t>
            </w:r>
            <w:r>
              <w:rPr>
                <w:rFonts w:ascii="Times New Roman" w:cs="Times New Roman" w:eastAsia="Times New Roman" w:hAnsi="Times New Roman"/>
                <w:sz w:val="17"/>
                <w:szCs w:val="17"/>
                <w:color w:val="auto"/>
                <w:vertAlign w:val="superscript"/>
              </w:rPr>
              <w:t>(8)</w:t>
            </w:r>
          </w:p>
        </w:tc>
        <w:tc>
          <w:tcPr>
            <w:tcW w:w="1380" w:type="dxa"/>
            <w:vAlign w:val="bottom"/>
            <w:tcBorders>
              <w:bottom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color w:val="auto"/>
              </w:rPr>
              <w:t>$26,471</w:t>
            </w:r>
          </w:p>
        </w:tc>
        <w:tc>
          <w:tcPr>
            <w:tcW w:w="20" w:type="dxa"/>
            <w:vAlign w:val="bottom"/>
            <w:tcBorders>
              <w:bottom w:val="single" w:sz="8" w:color="auto"/>
            </w:tcBorders>
          </w:tcPr>
          <w:p>
            <w:pPr>
              <w:spacing w:after="0"/>
              <w:rPr>
                <w:sz w:val="17"/>
                <w:szCs w:val="17"/>
                <w:color w:val="auto"/>
              </w:rPr>
            </w:pPr>
          </w:p>
        </w:tc>
      </w:tr>
      <w:tr>
        <w:trPr>
          <w:trHeight w:val="174"/>
        </w:trPr>
        <w:tc>
          <w:tcPr>
            <w:tcW w:w="49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Interim Segment Value Calculation 9 Months Through Term</w:t>
            </w:r>
          </w:p>
        </w:tc>
        <w:tc>
          <w:tcPr>
            <w:tcW w:w="13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2"/>
        </w:trPr>
        <w:tc>
          <w:tcPr>
            <w:tcW w:w="840" w:type="dxa"/>
            <w:vAlign w:val="bottom"/>
            <w:tcBorders>
              <w:bottom w:val="single" w:sz="8" w:color="auto"/>
            </w:tcBorders>
          </w:tcPr>
          <w:p>
            <w:pPr>
              <w:spacing w:after="0" w:line="20" w:lineRule="exact"/>
              <w:rPr>
                <w:sz w:val="1"/>
                <w:szCs w:val="1"/>
                <w:color w:val="auto"/>
              </w:rPr>
            </w:pPr>
          </w:p>
        </w:tc>
        <w:tc>
          <w:tcPr>
            <w:tcW w:w="40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196"/>
        </w:trPr>
        <w:tc>
          <w:tcPr>
            <w:tcW w:w="4900" w:type="dxa"/>
            <w:vAlign w:val="bottom"/>
            <w:tcBorders>
              <w:bottom w:val="single" w:sz="8" w:color="F0FFFF"/>
              <w:right w:val="single" w:sz="8" w:color="auto"/>
            </w:tcBorders>
            <w:gridSpan w:val="2"/>
            <w:shd w:val="clear" w:color="auto" w:fill="F0FFFF"/>
          </w:tcPr>
          <w:p>
            <w:pPr>
              <w:ind w:left="220"/>
              <w:spacing w:after="0"/>
              <w:rPr>
                <w:sz w:val="20"/>
                <w:szCs w:val="20"/>
                <w:color w:val="auto"/>
              </w:rPr>
            </w:pPr>
            <w:r>
              <w:rPr>
                <w:rFonts w:ascii="Times New Roman" w:cs="Times New Roman" w:eastAsia="Times New Roman" w:hAnsi="Times New Roman"/>
                <w:sz w:val="14"/>
                <w:szCs w:val="14"/>
                <w:color w:val="auto"/>
              </w:rPr>
              <w:t>Closing Value of the Index</w:t>
            </w:r>
          </w:p>
        </w:tc>
        <w:tc>
          <w:tcPr>
            <w:tcW w:w="1380" w:type="dxa"/>
            <w:vAlign w:val="bottom"/>
            <w:tcBorders>
              <w:bottom w:val="single" w:sz="8" w:color="F0FFFF"/>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color w:val="auto"/>
              </w:rPr>
              <w:t>350</w:t>
            </w:r>
          </w:p>
        </w:tc>
        <w:tc>
          <w:tcPr>
            <w:tcW w:w="20" w:type="dxa"/>
            <w:vAlign w:val="bottom"/>
          </w:tcPr>
          <w:p>
            <w:pPr>
              <w:spacing w:after="0"/>
              <w:rPr>
                <w:sz w:val="17"/>
                <w:szCs w:val="17"/>
                <w:color w:val="auto"/>
              </w:rPr>
            </w:pPr>
          </w:p>
        </w:tc>
      </w:tr>
      <w:tr>
        <w:trPr>
          <w:trHeight w:val="206"/>
        </w:trPr>
        <w:tc>
          <w:tcPr>
            <w:tcW w:w="4900" w:type="dxa"/>
            <w:vAlign w:val="bottom"/>
            <w:tcBorders>
              <w:top w:val="single" w:sz="8" w:color="auto"/>
              <w:bottom w:val="single" w:sz="8" w:color="auto"/>
              <w:right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color w:val="auto"/>
              </w:rPr>
              <w:t>Segment Index Performance</w:t>
            </w:r>
            <w:r>
              <w:rPr>
                <w:rFonts w:ascii="Times New Roman" w:cs="Times New Roman" w:eastAsia="Times New Roman" w:hAnsi="Times New Roman"/>
                <w:sz w:val="17"/>
                <w:szCs w:val="17"/>
                <w:color w:val="auto"/>
                <w:vertAlign w:val="superscript"/>
              </w:rPr>
              <w:t>(9)</w:t>
            </w:r>
          </w:p>
        </w:tc>
        <w:tc>
          <w:tcPr>
            <w:tcW w:w="1400" w:type="dxa"/>
            <w:vAlign w:val="bottom"/>
            <w:tcBorders>
              <w:top w:val="single" w:sz="8" w:color="auto"/>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w w:val="97"/>
              </w:rPr>
              <w:t>–30%</w:t>
            </w:r>
          </w:p>
        </w:tc>
      </w:tr>
      <w:tr>
        <w:trPr>
          <w:trHeight w:val="206"/>
        </w:trPr>
        <w:tc>
          <w:tcPr>
            <w:tcW w:w="4900" w:type="dxa"/>
            <w:vAlign w:val="bottom"/>
            <w:tcBorders>
              <w:bottom w:val="single" w:sz="8" w:color="auto"/>
              <w:right w:val="single" w:sz="8" w:color="auto"/>
            </w:tcBorders>
            <w:gridSpan w:val="2"/>
            <w:shd w:val="clear" w:color="auto" w:fill="F0FFFF"/>
          </w:tcPr>
          <w:p>
            <w:pPr>
              <w:ind w:left="220"/>
              <w:spacing w:after="0"/>
              <w:rPr>
                <w:sz w:val="20"/>
                <w:szCs w:val="20"/>
                <w:color w:val="auto"/>
              </w:rPr>
            </w:pPr>
            <w:r>
              <w:rPr>
                <w:rFonts w:ascii="Times New Roman" w:cs="Times New Roman" w:eastAsia="Times New Roman" w:hAnsi="Times New Roman"/>
                <w:sz w:val="14"/>
                <w:szCs w:val="14"/>
                <w:color w:val="auto"/>
              </w:rPr>
              <w:t>Accrued Buffer Rate</w:t>
            </w:r>
            <w:r>
              <w:rPr>
                <w:rFonts w:ascii="Times New Roman" w:cs="Times New Roman" w:eastAsia="Times New Roman" w:hAnsi="Times New Roman"/>
                <w:sz w:val="17"/>
                <w:szCs w:val="17"/>
                <w:color w:val="auto"/>
                <w:vertAlign w:val="superscript"/>
              </w:rPr>
              <w:t>(10)</w:t>
            </w:r>
          </w:p>
        </w:tc>
        <w:tc>
          <w:tcPr>
            <w:tcW w:w="1380" w:type="dxa"/>
            <w:vAlign w:val="bottom"/>
            <w:tcBorders>
              <w:bottom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color w:val="auto"/>
              </w:rPr>
              <w:t>7.5%</w:t>
            </w:r>
          </w:p>
        </w:tc>
        <w:tc>
          <w:tcPr>
            <w:tcW w:w="20" w:type="dxa"/>
            <w:vAlign w:val="bottom"/>
            <w:tcBorders>
              <w:bottom w:val="single" w:sz="8" w:color="auto"/>
            </w:tcBorders>
          </w:tcPr>
          <w:p>
            <w:pPr>
              <w:spacing w:after="0"/>
              <w:rPr>
                <w:sz w:val="17"/>
                <w:szCs w:val="17"/>
                <w:color w:val="auto"/>
              </w:rPr>
            </w:pPr>
          </w:p>
        </w:tc>
      </w:tr>
      <w:tr>
        <w:trPr>
          <w:trHeight w:val="206"/>
        </w:trPr>
        <w:tc>
          <w:tcPr>
            <w:tcW w:w="4900" w:type="dxa"/>
            <w:vAlign w:val="bottom"/>
            <w:tcBorders>
              <w:bottom w:val="single" w:sz="8" w:color="auto"/>
              <w:right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color w:val="auto"/>
              </w:rPr>
              <w:t>Segment Performance Rate</w:t>
            </w:r>
            <w:r>
              <w:rPr>
                <w:rFonts w:ascii="Times New Roman" w:cs="Times New Roman" w:eastAsia="Times New Roman" w:hAnsi="Times New Roman"/>
                <w:sz w:val="17"/>
                <w:szCs w:val="17"/>
                <w:color w:val="auto"/>
                <w:vertAlign w:val="superscript"/>
              </w:rPr>
              <w:t>(11)</w:t>
            </w:r>
          </w:p>
        </w:tc>
        <w:tc>
          <w:tcPr>
            <w:tcW w:w="1400" w:type="dxa"/>
            <w:vAlign w:val="bottom"/>
            <w:tcBorders>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4"/>
                <w:szCs w:val="14"/>
                <w:color w:val="auto"/>
                <w:w w:val="97"/>
              </w:rPr>
              <w:t>–22.5%</w:t>
            </w:r>
          </w:p>
        </w:tc>
      </w:tr>
      <w:tr>
        <w:trPr>
          <w:trHeight w:val="206"/>
        </w:trPr>
        <w:tc>
          <w:tcPr>
            <w:tcW w:w="4900" w:type="dxa"/>
            <w:vAlign w:val="bottom"/>
            <w:tcBorders>
              <w:bottom w:val="single" w:sz="8" w:color="auto"/>
              <w:right w:val="single" w:sz="8" w:color="auto"/>
            </w:tcBorders>
            <w:gridSpan w:val="2"/>
            <w:shd w:val="clear" w:color="auto" w:fill="F0FFFF"/>
          </w:tcPr>
          <w:p>
            <w:pPr>
              <w:ind w:left="220"/>
              <w:spacing w:after="0"/>
              <w:rPr>
                <w:sz w:val="20"/>
                <w:szCs w:val="20"/>
                <w:color w:val="auto"/>
              </w:rPr>
            </w:pPr>
            <w:r>
              <w:rPr>
                <w:rFonts w:ascii="Times New Roman" w:cs="Times New Roman" w:eastAsia="Times New Roman" w:hAnsi="Times New Roman"/>
                <w:sz w:val="14"/>
                <w:szCs w:val="14"/>
                <w:color w:val="auto"/>
              </w:rPr>
              <w:t>Accrued Index Return</w:t>
            </w:r>
            <w:r>
              <w:rPr>
                <w:rFonts w:ascii="Times New Roman" w:cs="Times New Roman" w:eastAsia="Times New Roman" w:hAnsi="Times New Roman"/>
                <w:sz w:val="17"/>
                <w:szCs w:val="17"/>
                <w:color w:val="auto"/>
                <w:vertAlign w:val="superscript"/>
              </w:rPr>
              <w:t>(12)</w:t>
            </w:r>
          </w:p>
        </w:tc>
        <w:tc>
          <w:tcPr>
            <w:tcW w:w="1380" w:type="dxa"/>
            <w:vAlign w:val="bottom"/>
            <w:tcBorders>
              <w:bottom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color w:val="auto"/>
              </w:rPr>
              <w:t>–$5,956</w:t>
            </w:r>
          </w:p>
        </w:tc>
        <w:tc>
          <w:tcPr>
            <w:tcW w:w="20" w:type="dxa"/>
            <w:vAlign w:val="bottom"/>
            <w:tcBorders>
              <w:bottom w:val="single" w:sz="8" w:color="auto"/>
            </w:tcBorders>
          </w:tcPr>
          <w:p>
            <w:pPr>
              <w:spacing w:after="0"/>
              <w:rPr>
                <w:sz w:val="17"/>
                <w:szCs w:val="17"/>
                <w:color w:val="auto"/>
              </w:rPr>
            </w:pPr>
          </w:p>
        </w:tc>
      </w:tr>
      <w:tr>
        <w:trPr>
          <w:trHeight w:val="206"/>
        </w:trPr>
        <w:tc>
          <w:tcPr>
            <w:tcW w:w="4900" w:type="dxa"/>
            <w:vAlign w:val="bottom"/>
            <w:tcBorders>
              <w:bottom w:val="single" w:sz="8" w:color="auto"/>
              <w:right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color w:val="auto"/>
              </w:rPr>
              <w:t>Interim Segment Value</w:t>
            </w:r>
            <w:r>
              <w:rPr>
                <w:rFonts w:ascii="Times New Roman" w:cs="Times New Roman" w:eastAsia="Times New Roman" w:hAnsi="Times New Roman"/>
                <w:sz w:val="17"/>
                <w:szCs w:val="17"/>
                <w:color w:val="auto"/>
                <w:vertAlign w:val="superscript"/>
              </w:rPr>
              <w:t>(13)</w:t>
            </w: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$20,515</w:t>
            </w:r>
          </w:p>
        </w:tc>
        <w:tc>
          <w:tcPr>
            <w:tcW w:w="20" w:type="dxa"/>
            <w:vAlign w:val="bottom"/>
            <w:tcBorders>
              <w:bottom w:val="single" w:sz="8" w:color="auto"/>
            </w:tcBorders>
          </w:tcPr>
          <w:p>
            <w:pPr>
              <w:spacing w:after="0"/>
              <w:rPr>
                <w:sz w:val="17"/>
                <w:szCs w:val="17"/>
                <w:color w:val="auto"/>
              </w:rPr>
            </w:pPr>
          </w:p>
        </w:tc>
      </w:tr>
      <w:tr>
        <w:trPr>
          <w:trHeight w:val="196"/>
        </w:trPr>
        <w:tc>
          <w:tcPr>
            <w:tcW w:w="4900" w:type="dxa"/>
            <w:vAlign w:val="bottom"/>
            <w:tcBorders>
              <w:bottom w:val="single" w:sz="8" w:color="F0FFFF"/>
              <w:right w:val="single" w:sz="8" w:color="auto"/>
            </w:tcBorders>
            <w:gridSpan w:val="2"/>
            <w:shd w:val="clear" w:color="auto" w:fill="F0FFFF"/>
          </w:tcPr>
          <w:p>
            <w:pPr>
              <w:ind w:left="220"/>
              <w:spacing w:after="0"/>
              <w:rPr>
                <w:sz w:val="20"/>
                <w:szCs w:val="20"/>
                <w:color w:val="auto"/>
              </w:rPr>
            </w:pPr>
            <w:r>
              <w:rPr>
                <w:rFonts w:ascii="Times New Roman" w:cs="Times New Roman" w:eastAsia="Times New Roman" w:hAnsi="Times New Roman"/>
                <w:sz w:val="14"/>
                <w:szCs w:val="14"/>
                <w:color w:val="auto"/>
              </w:rPr>
              <w:t>Loan Taken</w:t>
            </w:r>
          </w:p>
        </w:tc>
        <w:tc>
          <w:tcPr>
            <w:tcW w:w="1380" w:type="dxa"/>
            <w:vAlign w:val="bottom"/>
            <w:tcBorders>
              <w:bottom w:val="single" w:sz="8" w:color="F0FFFF"/>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color w:val="auto"/>
              </w:rPr>
              <w:t>$10,000</w:t>
            </w:r>
          </w:p>
        </w:tc>
        <w:tc>
          <w:tcPr>
            <w:tcW w:w="20" w:type="dxa"/>
            <w:vAlign w:val="bottom"/>
          </w:tcPr>
          <w:p>
            <w:pPr>
              <w:spacing w:after="0"/>
              <w:rPr>
                <w:sz w:val="17"/>
                <w:szCs w:val="17"/>
                <w:color w:val="auto"/>
              </w:rPr>
            </w:pPr>
          </w:p>
        </w:tc>
      </w:tr>
      <w:tr>
        <w:trPr>
          <w:trHeight w:val="206"/>
        </w:trPr>
        <w:tc>
          <w:tcPr>
            <w:tcW w:w="4900" w:type="dxa"/>
            <w:vAlign w:val="bottom"/>
            <w:tcBorders>
              <w:top w:val="single" w:sz="8" w:color="auto"/>
              <w:bottom w:val="single" w:sz="8" w:color="auto"/>
              <w:right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color w:val="auto"/>
              </w:rPr>
              <w:t>Interim Segment Value adjusted by loan amount</w:t>
            </w:r>
            <w:r>
              <w:rPr>
                <w:rFonts w:ascii="Times New Roman" w:cs="Times New Roman" w:eastAsia="Times New Roman" w:hAnsi="Times New Roman"/>
                <w:sz w:val="17"/>
                <w:szCs w:val="17"/>
                <w:color w:val="auto"/>
                <w:vertAlign w:val="superscript"/>
              </w:rPr>
              <w:t>(14)</w:t>
            </w:r>
          </w:p>
        </w:tc>
        <w:tc>
          <w:tcPr>
            <w:tcW w:w="13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$10,515</w:t>
            </w:r>
          </w:p>
        </w:tc>
        <w:tc>
          <w:tcPr>
            <w:tcW w:w="20" w:type="dxa"/>
            <w:vAlign w:val="bottom"/>
            <w:tcBorders>
              <w:top w:val="single" w:sz="8" w:color="auto"/>
              <w:bottom w:val="single" w:sz="8" w:color="auto"/>
            </w:tcBorders>
          </w:tcPr>
          <w:p>
            <w:pPr>
              <w:spacing w:after="0"/>
              <w:rPr>
                <w:sz w:val="17"/>
                <w:szCs w:val="17"/>
                <w:color w:val="auto"/>
              </w:rPr>
            </w:pPr>
          </w:p>
        </w:tc>
      </w:tr>
      <w:tr>
        <w:trPr>
          <w:trHeight w:val="206"/>
        </w:trPr>
        <w:tc>
          <w:tcPr>
            <w:tcW w:w="4900" w:type="dxa"/>
            <w:vAlign w:val="bottom"/>
            <w:tcBorders>
              <w:bottom w:val="single" w:sz="8" w:color="auto"/>
              <w:right w:val="single" w:sz="8" w:color="auto"/>
            </w:tcBorders>
            <w:gridSpan w:val="2"/>
            <w:shd w:val="clear" w:color="auto" w:fill="F0FFFF"/>
          </w:tcPr>
          <w:p>
            <w:pPr>
              <w:ind w:left="220"/>
              <w:spacing w:after="0"/>
              <w:rPr>
                <w:sz w:val="20"/>
                <w:szCs w:val="20"/>
                <w:color w:val="auto"/>
              </w:rPr>
            </w:pPr>
            <w:r>
              <w:rPr>
                <w:rFonts w:ascii="Times New Roman" w:cs="Times New Roman" w:eastAsia="Times New Roman" w:hAnsi="Times New Roman"/>
                <w:sz w:val="14"/>
                <w:szCs w:val="14"/>
                <w:color w:val="auto"/>
              </w:rPr>
              <w:t>Segment Value adjusted by loan amount</w:t>
            </w:r>
            <w:r>
              <w:rPr>
                <w:rFonts w:ascii="Times New Roman" w:cs="Times New Roman" w:eastAsia="Times New Roman" w:hAnsi="Times New Roman"/>
                <w:sz w:val="17"/>
                <w:szCs w:val="17"/>
                <w:color w:val="auto"/>
                <w:vertAlign w:val="superscript"/>
              </w:rPr>
              <w:t>(15)</w:t>
            </w:r>
          </w:p>
        </w:tc>
        <w:tc>
          <w:tcPr>
            <w:tcW w:w="1380" w:type="dxa"/>
            <w:vAlign w:val="bottom"/>
            <w:tcBorders>
              <w:bottom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color w:val="auto"/>
              </w:rPr>
              <w:t>$13,568</w:t>
            </w:r>
          </w:p>
        </w:tc>
        <w:tc>
          <w:tcPr>
            <w:tcW w:w="20" w:type="dxa"/>
            <w:vAlign w:val="bottom"/>
            <w:tcBorders>
              <w:bottom w:val="single" w:sz="8" w:color="auto"/>
            </w:tcBorders>
          </w:tcPr>
          <w:p>
            <w:pPr>
              <w:spacing w:after="0"/>
              <w:rPr>
                <w:sz w:val="17"/>
                <w:szCs w:val="17"/>
                <w:color w:val="auto"/>
              </w:rPr>
            </w:pPr>
          </w:p>
        </w:tc>
      </w:tr>
      <w:tr>
        <w:trPr>
          <w:trHeight w:val="174"/>
        </w:trPr>
        <w:tc>
          <w:tcPr>
            <w:tcW w:w="49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Segment Maturity Date</w:t>
            </w:r>
          </w:p>
        </w:tc>
        <w:tc>
          <w:tcPr>
            <w:tcW w:w="13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2"/>
        </w:trPr>
        <w:tc>
          <w:tcPr>
            <w:tcW w:w="840" w:type="dxa"/>
            <w:vAlign w:val="bottom"/>
            <w:tcBorders>
              <w:bottom w:val="single" w:sz="8" w:color="auto"/>
            </w:tcBorders>
          </w:tcPr>
          <w:p>
            <w:pPr>
              <w:spacing w:after="0" w:line="20" w:lineRule="exact"/>
              <w:rPr>
                <w:sz w:val="1"/>
                <w:szCs w:val="1"/>
                <w:color w:val="auto"/>
              </w:rPr>
            </w:pPr>
          </w:p>
        </w:tc>
        <w:tc>
          <w:tcPr>
            <w:tcW w:w="40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196"/>
        </w:trPr>
        <w:tc>
          <w:tcPr>
            <w:tcW w:w="4900" w:type="dxa"/>
            <w:vAlign w:val="bottom"/>
            <w:tcBorders>
              <w:bottom w:val="single" w:sz="8" w:color="F0FFFF"/>
              <w:right w:val="single" w:sz="8" w:color="auto"/>
            </w:tcBorders>
            <w:gridSpan w:val="2"/>
            <w:shd w:val="clear" w:color="auto" w:fill="F0FFFF"/>
          </w:tcPr>
          <w:p>
            <w:pPr>
              <w:ind w:left="220"/>
              <w:spacing w:after="0"/>
              <w:rPr>
                <w:sz w:val="20"/>
                <w:szCs w:val="20"/>
                <w:color w:val="auto"/>
              </w:rPr>
            </w:pPr>
            <w:r>
              <w:rPr>
                <w:rFonts w:ascii="Times New Roman" w:cs="Times New Roman" w:eastAsia="Times New Roman" w:hAnsi="Times New Roman"/>
                <w:sz w:val="14"/>
                <w:szCs w:val="14"/>
                <w:color w:val="auto"/>
              </w:rPr>
              <w:t>Closing Value of the Index</w:t>
            </w:r>
          </w:p>
        </w:tc>
        <w:tc>
          <w:tcPr>
            <w:tcW w:w="1380" w:type="dxa"/>
            <w:vAlign w:val="bottom"/>
            <w:tcBorders>
              <w:bottom w:val="single" w:sz="8" w:color="F0FFFF"/>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color w:val="auto"/>
              </w:rPr>
              <w:t>450</w:t>
            </w:r>
          </w:p>
        </w:tc>
        <w:tc>
          <w:tcPr>
            <w:tcW w:w="20" w:type="dxa"/>
            <w:vAlign w:val="bottom"/>
          </w:tcPr>
          <w:p>
            <w:pPr>
              <w:spacing w:after="0"/>
              <w:rPr>
                <w:sz w:val="17"/>
                <w:szCs w:val="17"/>
                <w:color w:val="auto"/>
              </w:rPr>
            </w:pPr>
          </w:p>
        </w:tc>
      </w:tr>
      <w:tr>
        <w:trPr>
          <w:trHeight w:val="206"/>
        </w:trPr>
        <w:tc>
          <w:tcPr>
            <w:tcW w:w="4900" w:type="dxa"/>
            <w:vAlign w:val="bottom"/>
            <w:tcBorders>
              <w:top w:val="single" w:sz="8" w:color="auto"/>
              <w:bottom w:val="single" w:sz="8" w:color="auto"/>
              <w:right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color w:val="auto"/>
              </w:rPr>
              <w:t>Segment Index Performance</w:t>
            </w:r>
            <w:r>
              <w:rPr>
                <w:rFonts w:ascii="Times New Roman" w:cs="Times New Roman" w:eastAsia="Times New Roman" w:hAnsi="Times New Roman"/>
                <w:sz w:val="17"/>
                <w:szCs w:val="17"/>
                <w:color w:val="auto"/>
                <w:vertAlign w:val="superscript"/>
              </w:rPr>
              <w:t>(16)</w:t>
            </w:r>
          </w:p>
        </w:tc>
        <w:tc>
          <w:tcPr>
            <w:tcW w:w="1400" w:type="dxa"/>
            <w:vAlign w:val="bottom"/>
            <w:tcBorders>
              <w:top w:val="single" w:sz="8" w:color="auto"/>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w w:val="97"/>
              </w:rPr>
              <w:t>–10%</w:t>
            </w:r>
          </w:p>
        </w:tc>
      </w:tr>
      <w:tr>
        <w:trPr>
          <w:trHeight w:val="206"/>
        </w:trPr>
        <w:tc>
          <w:tcPr>
            <w:tcW w:w="4900" w:type="dxa"/>
            <w:vAlign w:val="bottom"/>
            <w:tcBorders>
              <w:bottom w:val="single" w:sz="8" w:color="auto"/>
              <w:right w:val="single" w:sz="8" w:color="auto"/>
            </w:tcBorders>
            <w:gridSpan w:val="2"/>
            <w:shd w:val="clear" w:color="auto" w:fill="F0FFFF"/>
          </w:tcPr>
          <w:p>
            <w:pPr>
              <w:ind w:left="220"/>
              <w:spacing w:after="0"/>
              <w:rPr>
                <w:sz w:val="20"/>
                <w:szCs w:val="20"/>
                <w:color w:val="auto"/>
              </w:rPr>
            </w:pPr>
            <w:r>
              <w:rPr>
                <w:rFonts w:ascii="Times New Roman" w:cs="Times New Roman" w:eastAsia="Times New Roman" w:hAnsi="Times New Roman"/>
                <w:sz w:val="14"/>
                <w:szCs w:val="14"/>
                <w:color w:val="auto"/>
              </w:rPr>
              <w:t>Segment Performance Rate</w:t>
            </w:r>
            <w:r>
              <w:rPr>
                <w:rFonts w:ascii="Times New Roman" w:cs="Times New Roman" w:eastAsia="Times New Roman" w:hAnsi="Times New Roman"/>
                <w:sz w:val="17"/>
                <w:szCs w:val="17"/>
                <w:color w:val="auto"/>
                <w:vertAlign w:val="superscript"/>
              </w:rPr>
              <w:t>(17)</w:t>
            </w:r>
          </w:p>
        </w:tc>
        <w:tc>
          <w:tcPr>
            <w:tcW w:w="1380" w:type="dxa"/>
            <w:vAlign w:val="bottom"/>
            <w:tcBorders>
              <w:bottom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color w:val="auto"/>
                <w:w w:val="96"/>
              </w:rPr>
              <w:t>0%</w:t>
            </w:r>
          </w:p>
        </w:tc>
        <w:tc>
          <w:tcPr>
            <w:tcW w:w="20" w:type="dxa"/>
            <w:vAlign w:val="bottom"/>
            <w:tcBorders>
              <w:bottom w:val="single" w:sz="8" w:color="auto"/>
            </w:tcBorders>
          </w:tcPr>
          <w:p>
            <w:pPr>
              <w:spacing w:after="0"/>
              <w:rPr>
                <w:sz w:val="17"/>
                <w:szCs w:val="17"/>
                <w:color w:val="auto"/>
              </w:rPr>
            </w:pPr>
          </w:p>
        </w:tc>
      </w:tr>
      <w:tr>
        <w:trPr>
          <w:trHeight w:val="206"/>
        </w:trPr>
        <w:tc>
          <w:tcPr>
            <w:tcW w:w="4900" w:type="dxa"/>
            <w:vAlign w:val="bottom"/>
            <w:tcBorders>
              <w:bottom w:val="single" w:sz="8" w:color="auto"/>
              <w:right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color w:val="auto"/>
              </w:rPr>
              <w:t>Segment Credit</w:t>
            </w:r>
            <w:r>
              <w:rPr>
                <w:rFonts w:ascii="Times New Roman" w:cs="Times New Roman" w:eastAsia="Times New Roman" w:hAnsi="Times New Roman"/>
                <w:sz w:val="17"/>
                <w:szCs w:val="17"/>
                <w:color w:val="auto"/>
                <w:vertAlign w:val="superscript"/>
              </w:rPr>
              <w:t>(18)</w:t>
            </w: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$0</w:t>
            </w:r>
          </w:p>
        </w:tc>
        <w:tc>
          <w:tcPr>
            <w:tcW w:w="20" w:type="dxa"/>
            <w:vAlign w:val="bottom"/>
            <w:tcBorders>
              <w:bottom w:val="single" w:sz="8" w:color="auto"/>
            </w:tcBorders>
          </w:tcPr>
          <w:p>
            <w:pPr>
              <w:spacing w:after="0"/>
              <w:rPr>
                <w:sz w:val="17"/>
                <w:szCs w:val="17"/>
                <w:color w:val="auto"/>
              </w:rPr>
            </w:pPr>
          </w:p>
        </w:tc>
      </w:tr>
      <w:tr>
        <w:trPr>
          <w:trHeight w:val="191"/>
        </w:trPr>
        <w:tc>
          <w:tcPr>
            <w:tcW w:w="4900" w:type="dxa"/>
            <w:vAlign w:val="bottom"/>
            <w:tcBorders>
              <w:bottom w:val="single" w:sz="8" w:color="auto"/>
              <w:right w:val="single" w:sz="8" w:color="auto"/>
            </w:tcBorders>
            <w:gridSpan w:val="2"/>
            <w:shd w:val="clear" w:color="auto" w:fill="F0FFFF"/>
          </w:tcPr>
          <w:p>
            <w:pPr>
              <w:ind w:left="220"/>
              <w:spacing w:after="0" w:line="191" w:lineRule="exact"/>
              <w:rPr>
                <w:sz w:val="20"/>
                <w:szCs w:val="20"/>
                <w:color w:val="auto"/>
              </w:rPr>
            </w:pPr>
            <w:r>
              <w:rPr>
                <w:rFonts w:ascii="Times New Roman" w:cs="Times New Roman" w:eastAsia="Times New Roman" w:hAnsi="Times New Roman"/>
                <w:sz w:val="14"/>
                <w:szCs w:val="14"/>
                <w:color w:val="auto"/>
              </w:rPr>
              <w:t>Segment Value</w:t>
            </w:r>
            <w:r>
              <w:rPr>
                <w:rFonts w:ascii="Times New Roman" w:cs="Times New Roman" w:eastAsia="Times New Roman" w:hAnsi="Times New Roman"/>
                <w:sz w:val="17"/>
                <w:szCs w:val="17"/>
                <w:color w:val="auto"/>
                <w:vertAlign w:val="superscript"/>
              </w:rPr>
              <w:t>(19)</w:t>
            </w:r>
          </w:p>
        </w:tc>
        <w:tc>
          <w:tcPr>
            <w:tcW w:w="1380" w:type="dxa"/>
            <w:vAlign w:val="bottom"/>
            <w:tcBorders>
              <w:bottom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color w:val="auto"/>
              </w:rPr>
              <w:t>$13,568</w:t>
            </w:r>
          </w:p>
        </w:tc>
        <w:tc>
          <w:tcPr>
            <w:tcW w:w="20" w:type="dxa"/>
            <w:vAlign w:val="bottom"/>
            <w:tcBorders>
              <w:bottom w:val="single" w:sz="8" w:color="auto"/>
            </w:tcBorders>
          </w:tcPr>
          <w:p>
            <w:pPr>
              <w:spacing w:after="0"/>
              <w:rPr>
                <w:sz w:val="16"/>
                <w:szCs w:val="16"/>
                <w:color w:val="auto"/>
              </w:rPr>
            </w:pPr>
          </w:p>
        </w:tc>
      </w:tr>
      <w:tr>
        <w:trPr>
          <w:trHeight w:val="140"/>
        </w:trPr>
        <w:tc>
          <w:tcPr>
            <w:tcW w:w="840" w:type="dxa"/>
            <w:vAlign w:val="bottom"/>
            <w:tcBorders>
              <w:bottom w:val="single" w:sz="8" w:color="auto"/>
            </w:tcBorders>
          </w:tcPr>
          <w:p>
            <w:pPr>
              <w:spacing w:after="0"/>
              <w:rPr>
                <w:sz w:val="12"/>
                <w:szCs w:val="12"/>
                <w:color w:val="auto"/>
              </w:rPr>
            </w:pPr>
          </w:p>
        </w:tc>
        <w:tc>
          <w:tcPr>
            <w:tcW w:w="40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518795</wp:posOffset>
            </wp:positionH>
            <wp:positionV relativeFrom="paragraph">
              <wp:posOffset>-31750</wp:posOffset>
            </wp:positionV>
            <wp:extent cx="31750" cy="450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1750" cy="4508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-31750</wp:posOffset>
            </wp:positionV>
            <wp:extent cx="31750" cy="450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1750" cy="45085"/>
                    </a:xfrm>
                    <a:prstGeom prst="rect">
                      <a:avLst/>
                    </a:prstGeom>
                    <a:noFill/>
                  </pic:spPr>
                </pic:pic>
              </a:graphicData>
            </a:graphic>
          </wp:anchor>
        </w:drawing>
      </w:r>
    </w:p>
    <w:p>
      <w:pPr>
        <w:spacing w:after="0" w:line="50" w:lineRule="exact"/>
        <w:rPr>
          <w:sz w:val="20"/>
          <w:szCs w:val="20"/>
          <w:color w:val="auto"/>
        </w:rPr>
      </w:pPr>
    </w:p>
    <w:p>
      <w:pPr>
        <w:ind w:left="5"/>
        <w:spacing w:after="0"/>
        <w:rPr>
          <w:sz w:val="20"/>
          <w:szCs w:val="20"/>
          <w:color w:val="auto"/>
        </w:rPr>
      </w:pPr>
      <w:r>
        <w:rPr>
          <w:rFonts w:ascii="Times New Roman" w:cs="Times New Roman" w:eastAsia="Times New Roman" w:hAnsi="Times New Roman"/>
          <w:sz w:val="13"/>
          <w:szCs w:val="13"/>
          <w:color w:val="auto"/>
        </w:rPr>
        <w:t>The following notes to the table above provide important calculations showing how certain values are determined.</w:t>
      </w:r>
    </w:p>
    <w:p>
      <w:pPr>
        <w:spacing w:after="0" w:line="56" w:lineRule="exact"/>
        <w:rPr>
          <w:sz w:val="20"/>
          <w:szCs w:val="20"/>
          <w:color w:val="auto"/>
        </w:rPr>
      </w:pPr>
    </w:p>
    <w:p>
      <w:pPr>
        <w:jc w:val="both"/>
        <w:ind w:left="265" w:right="2999" w:hanging="265"/>
        <w:spacing w:after="0" w:line="218" w:lineRule="auto"/>
        <w:tabs>
          <w:tab w:leader="none" w:pos="265" w:val="left"/>
        </w:tabs>
        <w:numPr>
          <w:ilvl w:val="0"/>
          <w:numId w:val="41"/>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On the Policy Start Date and each Policy Anniversary thereafter, we deduct the charges for the Annual Deduction from your Cash Value. The Annual Deduction for each Policy Year will be taken from any Indexed Account according to the Policy Deduction Method. For purposes of this example, assume the Annual Deduction is $1,000.</w:t>
      </w:r>
    </w:p>
    <w:p>
      <w:pPr>
        <w:spacing w:after="0" w:line="31" w:lineRule="exact"/>
        <w:rPr>
          <w:rFonts w:ascii="Times New Roman" w:cs="Times New Roman" w:eastAsia="Times New Roman" w:hAnsi="Times New Roman"/>
          <w:sz w:val="18"/>
          <w:szCs w:val="18"/>
          <w:color w:val="auto"/>
          <w:vertAlign w:val="superscript"/>
        </w:rPr>
      </w:pPr>
    </w:p>
    <w:p>
      <w:pPr>
        <w:jc w:val="both"/>
        <w:ind w:left="265" w:right="2999" w:hanging="265"/>
        <w:spacing w:after="0" w:line="219" w:lineRule="auto"/>
        <w:tabs>
          <w:tab w:leader="none" w:pos="265" w:val="left"/>
        </w:tabs>
        <w:numPr>
          <w:ilvl w:val="0"/>
          <w:numId w:val="41"/>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Segment Index Performance is equal to the percentage change in the Index Value measured from the Segment Start Date to the date of the Interim Segment Value calculation. Segment Index Performance is calculated as follows:</w:t>
      </w:r>
    </w:p>
    <w:p>
      <w:pPr>
        <w:spacing w:after="0" w:line="39" w:lineRule="exact"/>
        <w:rPr>
          <w:sz w:val="20"/>
          <w:szCs w:val="20"/>
          <w:color w:val="auto"/>
        </w:rPr>
      </w:pPr>
    </w:p>
    <w:p>
      <w:pPr>
        <w:ind w:left="945"/>
        <w:spacing w:after="0"/>
        <w:rPr>
          <w:sz w:val="20"/>
          <w:szCs w:val="20"/>
          <w:color w:val="auto"/>
        </w:rPr>
      </w:pPr>
      <w:r>
        <w:rPr>
          <w:rFonts w:ascii="Times New Roman" w:cs="Times New Roman" w:eastAsia="Times New Roman" w:hAnsi="Times New Roman"/>
          <w:sz w:val="14"/>
          <w:szCs w:val="14"/>
          <w:color w:val="auto"/>
        </w:rPr>
        <w:t>(400 [Closing Value of the Index on date of Interim Segment Value calculation]</w:t>
      </w:r>
    </w:p>
    <w:p>
      <w:pPr>
        <w:ind w:left="1325" w:hanging="108"/>
        <w:spacing w:after="0"/>
        <w:tabs>
          <w:tab w:leader="none" w:pos="1325"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500 [Closing Value of the Index at Segment Start Date]) – 1 = –20%</w:t>
      </w:r>
    </w:p>
    <w:p>
      <w:pPr>
        <w:spacing w:after="0" w:line="200" w:lineRule="exact"/>
        <w:rPr>
          <w:rFonts w:ascii="Times New Roman" w:cs="Times New Roman" w:eastAsia="Times New Roman" w:hAnsi="Times New Roman"/>
          <w:sz w:val="14"/>
          <w:szCs w:val="14"/>
          <w:color w:val="auto"/>
        </w:rPr>
      </w:pPr>
    </w:p>
    <w:p>
      <w:pPr>
        <w:spacing w:after="0" w:line="283" w:lineRule="exact"/>
        <w:rPr>
          <w:rFonts w:ascii="Times New Roman" w:cs="Times New Roman" w:eastAsia="Times New Roman" w:hAnsi="Times New Roman"/>
          <w:sz w:val="14"/>
          <w:szCs w:val="14"/>
          <w:color w:val="auto"/>
        </w:rPr>
      </w:pPr>
    </w:p>
    <w:p>
      <w:pPr>
        <w:ind w:left="3085"/>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46</w:t>
      </w:r>
    </w:p>
    <w:p>
      <w:pPr>
        <w:sectPr>
          <w:pgSz w:w="11900" w:h="16838" w:orient="portrait"/>
          <w:cols w:equalWidth="0" w:num="1">
            <w:col w:w="9224"/>
          </w:cols>
          <w:pgMar w:left="1235" w:top="1083" w:right="1440" w:bottom="1440" w:gutter="0" w:footer="0" w:header="0"/>
        </w:sectPr>
      </w:pPr>
    </w:p>
    <w:bookmarkStart w:id="49" w:name="page50"/>
    <w:bookmarkEnd w:id="49"/>
    <w:p>
      <w:pPr>
        <w:ind w:left="5"/>
        <w:spacing w:after="0"/>
        <w:rPr>
          <w:sz w:val="20"/>
          <w:szCs w:val="20"/>
          <w:color w:val="auto"/>
        </w:rPr>
      </w:pPr>
      <w:r>
        <w:rPr>
          <w:rFonts w:ascii="Times New Roman" w:cs="Times New Roman" w:eastAsia="Times New Roman" w:hAnsi="Times New Roman"/>
          <w:sz w:val="9"/>
          <w:szCs w:val="9"/>
          <w:color w:val="auto"/>
        </w:rPr>
        <w:drawing>
          <wp:anchor simplePos="0" relativeHeight="251657728" behindDoc="1" locked="0" layoutInCell="0" allowOverlap="1">
            <wp:simplePos x="0" y="0"/>
            <wp:positionH relativeFrom="page">
              <wp:posOffset>179070</wp:posOffset>
            </wp:positionH>
            <wp:positionV relativeFrom="page">
              <wp:posOffset>422275</wp:posOffset>
            </wp:positionV>
            <wp:extent cx="719010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90105" cy="38735"/>
                    </a:xfrm>
                    <a:prstGeom prst="rect">
                      <a:avLst/>
                    </a:prstGeom>
                    <a:noFill/>
                  </pic:spPr>
                </pic:pic>
              </a:graphicData>
            </a:graphic>
          </wp:anchor>
        </w:drawing>
        <w:t>(3)</w:t>
      </w:r>
    </w:p>
    <w:p>
      <w:pPr>
        <w:jc w:val="both"/>
        <w:ind w:left="265" w:right="2999"/>
        <w:spacing w:after="0" w:line="228" w:lineRule="auto"/>
        <w:rPr>
          <w:sz w:val="20"/>
          <w:szCs w:val="20"/>
          <w:color w:val="auto"/>
        </w:rPr>
      </w:pPr>
      <w:r>
        <w:rPr>
          <w:rFonts w:ascii="Times New Roman" w:cs="Times New Roman" w:eastAsia="Times New Roman" w:hAnsi="Times New Roman"/>
          <w:sz w:val="14"/>
          <w:szCs w:val="14"/>
          <w:color w:val="auto"/>
        </w:rPr>
        <w:t>The Accrued Buffer Rate is equal to the Buffer Rate multiplied by the number of days elapsed since the Segment Start Date divided by the total number of days in the Term. The Accrued Buffer Rate is calculated as follows:</w:t>
      </w:r>
    </w:p>
    <w:p>
      <w:pPr>
        <w:spacing w:after="0" w:line="52" w:lineRule="exact"/>
        <w:rPr>
          <w:sz w:val="20"/>
          <w:szCs w:val="20"/>
          <w:color w:val="auto"/>
        </w:rPr>
      </w:pPr>
    </w:p>
    <w:p>
      <w:pPr>
        <w:ind w:left="1025"/>
        <w:spacing w:after="0"/>
        <w:rPr>
          <w:sz w:val="20"/>
          <w:szCs w:val="20"/>
          <w:color w:val="auto"/>
        </w:rPr>
      </w:pPr>
      <w:r>
        <w:rPr>
          <w:rFonts w:ascii="Times New Roman" w:cs="Times New Roman" w:eastAsia="Times New Roman" w:hAnsi="Times New Roman"/>
          <w:sz w:val="14"/>
          <w:szCs w:val="14"/>
          <w:color w:val="auto"/>
        </w:rPr>
        <w:t>10% [Buffer Rate] x 183 [number of days elapsed since Segment Start Date]</w:t>
      </w:r>
    </w:p>
    <w:p>
      <w:pPr>
        <w:spacing w:after="0" w:line="7" w:lineRule="exact"/>
        <w:rPr>
          <w:sz w:val="20"/>
          <w:szCs w:val="20"/>
          <w:color w:val="auto"/>
        </w:rPr>
      </w:pPr>
    </w:p>
    <w:p>
      <w:pPr>
        <w:ind w:left="1965" w:hanging="100"/>
        <w:spacing w:after="0"/>
        <w:tabs>
          <w:tab w:leader="none" w:pos="1965" w:val="left"/>
        </w:tabs>
        <w:numPr>
          <w:ilvl w:val="1"/>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365 [total number of days in the Term] = 5%</w:t>
      </w:r>
    </w:p>
    <w:p>
      <w:pPr>
        <w:spacing w:after="0" w:line="30" w:lineRule="exact"/>
        <w:rPr>
          <w:rFonts w:ascii="Times New Roman" w:cs="Times New Roman" w:eastAsia="Times New Roman" w:hAnsi="Times New Roman"/>
          <w:sz w:val="14"/>
          <w:szCs w:val="14"/>
          <w:color w:val="auto"/>
        </w:rPr>
      </w:pPr>
    </w:p>
    <w:p>
      <w:pPr>
        <w:ind w:left="265" w:right="2999" w:hanging="265"/>
        <w:spacing w:after="0" w:line="211" w:lineRule="auto"/>
        <w:tabs>
          <w:tab w:leader="none" w:pos="265" w:val="left"/>
        </w:tabs>
        <w:numPr>
          <w:ilvl w:val="0"/>
          <w:numId w:val="4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Segment Performance Rate is –15% because the Segment Index Performance is –20% and the Accrued Buffer Rate of 5% absorbs up to 5% of the negative Segment Index Performance.</w:t>
      </w:r>
    </w:p>
    <w:p>
      <w:pPr>
        <w:spacing w:after="0" w:line="1" w:lineRule="exact"/>
        <w:rPr>
          <w:sz w:val="20"/>
          <w:szCs w:val="20"/>
          <w:color w:val="auto"/>
        </w:rPr>
      </w:pPr>
    </w:p>
    <w:p>
      <w:pPr>
        <w:ind w:left="5"/>
        <w:spacing w:after="0"/>
        <w:rPr>
          <w:sz w:val="20"/>
          <w:szCs w:val="20"/>
          <w:color w:val="auto"/>
        </w:rPr>
      </w:pPr>
      <w:r>
        <w:rPr>
          <w:rFonts w:ascii="Times New Roman" w:cs="Times New Roman" w:eastAsia="Times New Roman" w:hAnsi="Times New Roman"/>
          <w:sz w:val="4"/>
          <w:szCs w:val="4"/>
          <w:color w:val="auto"/>
        </w:rPr>
        <w:t>(5)</w:t>
      </w:r>
    </w:p>
    <w:p>
      <w:pPr>
        <w:spacing w:after="0" w:line="4" w:lineRule="exact"/>
        <w:rPr>
          <w:sz w:val="20"/>
          <w:szCs w:val="20"/>
          <w:color w:val="auto"/>
        </w:rPr>
      </w:pPr>
    </w:p>
    <w:p>
      <w:pPr>
        <w:jc w:val="both"/>
        <w:ind w:left="265" w:right="2999"/>
        <w:spacing w:after="0" w:line="228" w:lineRule="auto"/>
        <w:rPr>
          <w:sz w:val="20"/>
          <w:szCs w:val="20"/>
          <w:color w:val="auto"/>
        </w:rPr>
      </w:pPr>
      <w:r>
        <w:rPr>
          <w:rFonts w:ascii="Times New Roman" w:cs="Times New Roman" w:eastAsia="Times New Roman" w:hAnsi="Times New Roman"/>
          <w:sz w:val="14"/>
          <w:szCs w:val="14"/>
          <w:color w:val="auto"/>
        </w:rPr>
        <w:t>The Accrued Index Return is equal to the product of the current Segment Value (Segment Value at the Segment Start Date adjusted for any loans or Accelerated Death Benefit payment; no adjustments so far) multiplied by the Segment Performance Rate. The Accrued Index Return is calculated as follows:</w:t>
      </w:r>
    </w:p>
    <w:p>
      <w:pPr>
        <w:spacing w:after="0" w:line="31" w:lineRule="exact"/>
        <w:rPr>
          <w:sz w:val="20"/>
          <w:szCs w:val="20"/>
          <w:color w:val="auto"/>
        </w:rPr>
      </w:pPr>
    </w:p>
    <w:p>
      <w:pPr>
        <w:ind w:left="905"/>
        <w:spacing w:after="0"/>
        <w:rPr>
          <w:sz w:val="20"/>
          <w:szCs w:val="20"/>
          <w:color w:val="auto"/>
        </w:rPr>
      </w:pPr>
      <w:r>
        <w:rPr>
          <w:rFonts w:ascii="Times New Roman" w:cs="Times New Roman" w:eastAsia="Times New Roman" w:hAnsi="Times New Roman"/>
          <w:sz w:val="14"/>
          <w:szCs w:val="14"/>
          <w:color w:val="auto"/>
        </w:rPr>
        <w:t>$50,000 [current Segment Value] x -15% [Segment Performance Rate] = –$7,500</w:t>
      </w:r>
    </w:p>
    <w:p>
      <w:pPr>
        <w:spacing w:after="0" w:line="45" w:lineRule="exact"/>
        <w:rPr>
          <w:sz w:val="20"/>
          <w:szCs w:val="20"/>
          <w:color w:val="auto"/>
        </w:rPr>
      </w:pPr>
    </w:p>
    <w:p>
      <w:pPr>
        <w:jc w:val="both"/>
        <w:ind w:left="265" w:right="2999" w:hanging="265"/>
        <w:spacing w:after="0" w:line="219" w:lineRule="auto"/>
        <w:tabs>
          <w:tab w:leader="none" w:pos="265" w:val="left"/>
        </w:tabs>
        <w:numPr>
          <w:ilvl w:val="0"/>
          <w:numId w:val="44"/>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Interim Segment Value is equal to the current Segment Value (Segment Value at the Segment Start Date adjusted for any loans or Accelerated Death Benefit payment; no adjustments so far) plus the Accrued Index Return. The Interim Segment Value is calculated as follows:</w:t>
      </w:r>
    </w:p>
    <w:p>
      <w:pPr>
        <w:spacing w:after="0" w:line="21" w:lineRule="exact"/>
        <w:rPr>
          <w:sz w:val="20"/>
          <w:szCs w:val="20"/>
          <w:color w:val="auto"/>
        </w:rPr>
      </w:pPr>
    </w:p>
    <w:p>
      <w:pPr>
        <w:ind w:left="965"/>
        <w:spacing w:after="0"/>
        <w:rPr>
          <w:sz w:val="20"/>
          <w:szCs w:val="20"/>
          <w:color w:val="auto"/>
        </w:rPr>
      </w:pPr>
      <w:r>
        <w:rPr>
          <w:rFonts w:ascii="Times New Roman" w:cs="Times New Roman" w:eastAsia="Times New Roman" w:hAnsi="Times New Roman"/>
          <w:sz w:val="14"/>
          <w:szCs w:val="14"/>
          <w:color w:val="auto"/>
        </w:rPr>
        <w:t>$50,000 [current Segment Value] + –$7,500 [Accrued Index Return] = $42,500</w:t>
      </w:r>
    </w:p>
    <w:p>
      <w:pPr>
        <w:spacing w:after="0" w:line="18" w:lineRule="exact"/>
        <w:rPr>
          <w:sz w:val="20"/>
          <w:szCs w:val="20"/>
          <w:color w:val="auto"/>
        </w:rPr>
      </w:pPr>
    </w:p>
    <w:p>
      <w:pPr>
        <w:ind w:left="265" w:hanging="265"/>
        <w:spacing w:after="0"/>
        <w:tabs>
          <w:tab w:leader="none" w:pos="265" w:val="left"/>
        </w:tabs>
        <w:numPr>
          <w:ilvl w:val="0"/>
          <w:numId w:val="45"/>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Interim Segment Value adjusted for the loan amount is equal to Interim Segment Value ($42,500) minus the</w:t>
      </w:r>
    </w:p>
    <w:p>
      <w:pPr>
        <w:ind w:left="265"/>
        <w:spacing w:after="0" w:line="232" w:lineRule="auto"/>
        <w:rPr>
          <w:sz w:val="20"/>
          <w:szCs w:val="20"/>
          <w:color w:val="auto"/>
        </w:rPr>
      </w:pPr>
      <w:r>
        <w:rPr>
          <w:rFonts w:ascii="Times New Roman" w:cs="Times New Roman" w:eastAsia="Times New Roman" w:hAnsi="Times New Roman"/>
          <w:sz w:val="14"/>
          <w:szCs w:val="14"/>
          <w:color w:val="auto"/>
        </w:rPr>
        <w:t>amount of the loan ($20,000).</w:t>
      </w:r>
    </w:p>
    <w:p>
      <w:pPr>
        <w:ind w:left="5"/>
        <w:spacing w:after="0"/>
        <w:rPr>
          <w:sz w:val="20"/>
          <w:szCs w:val="20"/>
          <w:color w:val="auto"/>
        </w:rPr>
      </w:pPr>
      <w:r>
        <w:rPr>
          <w:rFonts w:ascii="Times New Roman" w:cs="Times New Roman" w:eastAsia="Times New Roman" w:hAnsi="Times New Roman"/>
          <w:sz w:val="4"/>
          <w:szCs w:val="4"/>
          <w:color w:val="auto"/>
        </w:rPr>
        <w:t>(8)</w:t>
      </w:r>
    </w:p>
    <w:p>
      <w:pPr>
        <w:spacing w:after="0" w:line="4" w:lineRule="exact"/>
        <w:rPr>
          <w:sz w:val="20"/>
          <w:szCs w:val="20"/>
          <w:color w:val="auto"/>
        </w:rPr>
      </w:pPr>
    </w:p>
    <w:p>
      <w:pPr>
        <w:jc w:val="both"/>
        <w:ind w:left="265" w:right="2999"/>
        <w:spacing w:after="0" w:line="235" w:lineRule="auto"/>
        <w:rPr>
          <w:sz w:val="20"/>
          <w:szCs w:val="20"/>
          <w:color w:val="auto"/>
        </w:rPr>
      </w:pPr>
      <w:r>
        <w:rPr>
          <w:rFonts w:ascii="Times New Roman" w:cs="Times New Roman" w:eastAsia="Times New Roman" w:hAnsi="Times New Roman"/>
          <w:sz w:val="14"/>
          <w:szCs w:val="14"/>
          <w:color w:val="auto"/>
        </w:rPr>
        <w:t>The Segment Value is reduced proportionally by the loan taken based on the reduction in Interim Segment Value. Therefore, the Segment Value adjusted by the loan taken is calculated as follows:</w:t>
      </w:r>
    </w:p>
    <w:p>
      <w:pPr>
        <w:spacing w:after="0" w:line="38" w:lineRule="exact"/>
        <w:rPr>
          <w:sz w:val="20"/>
          <w:szCs w:val="20"/>
          <w:color w:val="auto"/>
        </w:rPr>
      </w:pPr>
    </w:p>
    <w:p>
      <w:pPr>
        <w:jc w:val="center"/>
        <w:ind w:right="2974"/>
        <w:spacing w:after="0"/>
        <w:rPr>
          <w:sz w:val="20"/>
          <w:szCs w:val="20"/>
          <w:color w:val="auto"/>
        </w:rPr>
      </w:pPr>
      <w:r>
        <w:rPr>
          <w:rFonts w:ascii="Times New Roman" w:cs="Times New Roman" w:eastAsia="Times New Roman" w:hAnsi="Times New Roman"/>
          <w:sz w:val="14"/>
          <w:szCs w:val="14"/>
          <w:color w:val="auto"/>
        </w:rPr>
        <w:t>$50,000 [Segment Value on date of Interim Segment Value calculation]</w:t>
      </w:r>
    </w:p>
    <w:p>
      <w:pPr>
        <w:jc w:val="center"/>
        <w:ind w:right="2934"/>
        <w:spacing w:after="0" w:line="230" w:lineRule="auto"/>
        <w:rPr>
          <w:sz w:val="20"/>
          <w:szCs w:val="20"/>
          <w:color w:val="auto"/>
        </w:rPr>
      </w:pPr>
      <w:r>
        <w:rPr>
          <w:rFonts w:ascii="Times New Roman" w:cs="Times New Roman" w:eastAsia="Times New Roman" w:hAnsi="Times New Roman"/>
          <w:sz w:val="14"/>
          <w:szCs w:val="14"/>
          <w:color w:val="auto"/>
        </w:rPr>
        <w:t>x (1-($20,000 [loan taken halfway through the Term] ÷ $42,500 [Interim Segment Value on date of loan])) =</w:t>
      </w:r>
    </w:p>
    <w:p>
      <w:pPr>
        <w:jc w:val="center"/>
        <w:ind w:right="2934"/>
        <w:spacing w:after="0"/>
        <w:rPr>
          <w:sz w:val="20"/>
          <w:szCs w:val="20"/>
          <w:color w:val="auto"/>
        </w:rPr>
      </w:pPr>
      <w:r>
        <w:rPr>
          <w:rFonts w:ascii="Times New Roman" w:cs="Times New Roman" w:eastAsia="Times New Roman" w:hAnsi="Times New Roman"/>
          <w:sz w:val="14"/>
          <w:szCs w:val="14"/>
          <w:color w:val="auto"/>
        </w:rPr>
        <w:t>$26,471</w:t>
      </w:r>
    </w:p>
    <w:p>
      <w:pPr>
        <w:spacing w:after="0" w:line="31" w:lineRule="exact"/>
        <w:rPr>
          <w:sz w:val="20"/>
          <w:szCs w:val="20"/>
          <w:color w:val="auto"/>
        </w:rPr>
      </w:pPr>
    </w:p>
    <w:p>
      <w:pPr>
        <w:ind w:left="5" w:right="2939"/>
        <w:spacing w:after="0" w:line="241" w:lineRule="auto"/>
        <w:rPr>
          <w:sz w:val="20"/>
          <w:szCs w:val="20"/>
          <w:color w:val="auto"/>
        </w:rPr>
      </w:pPr>
      <w:r>
        <w:rPr>
          <w:rFonts w:ascii="Times New Roman" w:cs="Times New Roman" w:eastAsia="Times New Roman" w:hAnsi="Times New Roman"/>
          <w:sz w:val="14"/>
          <w:szCs w:val="14"/>
          <w:color w:val="auto"/>
        </w:rPr>
        <w:t>The proportionally reduced Segment Value is used as the new Segment Value for the remainder of the Segment Term or until you take another loan or request an Accelerated Death Benefit payment.</w:t>
      </w:r>
    </w:p>
    <w:p>
      <w:pPr>
        <w:spacing w:after="0" w:line="1" w:lineRule="exact"/>
        <w:rPr>
          <w:sz w:val="20"/>
          <w:szCs w:val="20"/>
          <w:color w:val="auto"/>
        </w:rPr>
      </w:pPr>
    </w:p>
    <w:p>
      <w:pPr>
        <w:ind w:left="5"/>
        <w:spacing w:after="0"/>
        <w:rPr>
          <w:sz w:val="20"/>
          <w:szCs w:val="20"/>
          <w:color w:val="auto"/>
        </w:rPr>
      </w:pPr>
      <w:r>
        <w:rPr>
          <w:rFonts w:ascii="Times New Roman" w:cs="Times New Roman" w:eastAsia="Times New Roman" w:hAnsi="Times New Roman"/>
          <w:sz w:val="4"/>
          <w:szCs w:val="4"/>
          <w:color w:val="auto"/>
        </w:rPr>
        <w:t>(9)</w:t>
      </w:r>
    </w:p>
    <w:p>
      <w:pPr>
        <w:spacing w:after="0" w:line="4" w:lineRule="exact"/>
        <w:rPr>
          <w:sz w:val="20"/>
          <w:szCs w:val="20"/>
          <w:color w:val="auto"/>
        </w:rPr>
      </w:pPr>
    </w:p>
    <w:p>
      <w:pPr>
        <w:jc w:val="both"/>
        <w:ind w:left="265" w:right="2999"/>
        <w:spacing w:after="0" w:line="228" w:lineRule="auto"/>
        <w:rPr>
          <w:sz w:val="20"/>
          <w:szCs w:val="20"/>
          <w:color w:val="auto"/>
        </w:rPr>
      </w:pPr>
      <w:r>
        <w:rPr>
          <w:rFonts w:ascii="Times New Roman" w:cs="Times New Roman" w:eastAsia="Times New Roman" w:hAnsi="Times New Roman"/>
          <w:sz w:val="14"/>
          <w:szCs w:val="14"/>
          <w:color w:val="auto"/>
        </w:rPr>
        <w:t>Segment Index Performance is equal to the percentage change in the Index Value measured from the Segment Start Date to the date of the Interim Segment Value calculation. Segment Index Performance is calculated as follows:</w:t>
      </w:r>
    </w:p>
    <w:p>
      <w:pPr>
        <w:spacing w:after="0" w:line="41" w:lineRule="exact"/>
        <w:rPr>
          <w:sz w:val="20"/>
          <w:szCs w:val="20"/>
          <w:color w:val="auto"/>
        </w:rPr>
      </w:pPr>
    </w:p>
    <w:p>
      <w:pPr>
        <w:ind w:left="945"/>
        <w:spacing w:after="0"/>
        <w:rPr>
          <w:sz w:val="20"/>
          <w:szCs w:val="20"/>
          <w:color w:val="auto"/>
        </w:rPr>
      </w:pPr>
      <w:r>
        <w:rPr>
          <w:rFonts w:ascii="Times New Roman" w:cs="Times New Roman" w:eastAsia="Times New Roman" w:hAnsi="Times New Roman"/>
          <w:sz w:val="14"/>
          <w:szCs w:val="14"/>
          <w:color w:val="auto"/>
        </w:rPr>
        <w:t>(350 [Closing Value of the Index on date of Interim Segment Value calculation]</w:t>
      </w:r>
    </w:p>
    <w:p>
      <w:pPr>
        <w:spacing w:after="0" w:line="2" w:lineRule="exact"/>
        <w:rPr>
          <w:sz w:val="20"/>
          <w:szCs w:val="20"/>
          <w:color w:val="auto"/>
        </w:rPr>
      </w:pPr>
    </w:p>
    <w:p>
      <w:pPr>
        <w:ind w:left="1325" w:hanging="108"/>
        <w:spacing w:after="0"/>
        <w:tabs>
          <w:tab w:leader="none" w:pos="1325" w:val="left"/>
        </w:tabs>
        <w:numPr>
          <w:ilvl w:val="1"/>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500 [Closing Value of the Index at Segment Start Date]) – 1 = –30%</w:t>
      </w:r>
    </w:p>
    <w:p>
      <w:pPr>
        <w:spacing w:after="0" w:line="35" w:lineRule="exact"/>
        <w:rPr>
          <w:rFonts w:ascii="Times New Roman" w:cs="Times New Roman" w:eastAsia="Times New Roman" w:hAnsi="Times New Roman"/>
          <w:sz w:val="14"/>
          <w:szCs w:val="14"/>
          <w:color w:val="auto"/>
        </w:rPr>
      </w:pPr>
    </w:p>
    <w:p>
      <w:pPr>
        <w:jc w:val="both"/>
        <w:ind w:left="265" w:right="2999" w:hanging="265"/>
        <w:spacing w:after="0" w:line="215" w:lineRule="auto"/>
        <w:tabs>
          <w:tab w:leader="none" w:pos="265" w:val="left"/>
        </w:tabs>
        <w:numPr>
          <w:ilvl w:val="0"/>
          <w:numId w:val="4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Accrued Buffer Rate is equal to the Buffer Rate multiplied by the number of days elapsed since the Segment Start Date divided by the total number of days in the Term. The Accrued Buffer Rate is calculated as follows:</w:t>
      </w:r>
    </w:p>
    <w:p>
      <w:pPr>
        <w:spacing w:after="0" w:line="40" w:lineRule="exact"/>
        <w:rPr>
          <w:sz w:val="20"/>
          <w:szCs w:val="20"/>
          <w:color w:val="auto"/>
        </w:rPr>
      </w:pPr>
    </w:p>
    <w:p>
      <w:pPr>
        <w:ind w:left="1025"/>
        <w:spacing w:after="0"/>
        <w:rPr>
          <w:sz w:val="20"/>
          <w:szCs w:val="20"/>
          <w:color w:val="auto"/>
        </w:rPr>
      </w:pPr>
      <w:r>
        <w:rPr>
          <w:rFonts w:ascii="Times New Roman" w:cs="Times New Roman" w:eastAsia="Times New Roman" w:hAnsi="Times New Roman"/>
          <w:sz w:val="14"/>
          <w:szCs w:val="14"/>
          <w:color w:val="auto"/>
        </w:rPr>
        <w:t>10% [Buffer Rate] x 273 [number of days elapsed since Segment Start Date]</w:t>
      </w:r>
    </w:p>
    <w:p>
      <w:pPr>
        <w:spacing w:after="0" w:line="7" w:lineRule="exact"/>
        <w:rPr>
          <w:sz w:val="20"/>
          <w:szCs w:val="20"/>
          <w:color w:val="auto"/>
        </w:rPr>
      </w:pPr>
    </w:p>
    <w:p>
      <w:pPr>
        <w:ind w:left="1925" w:hanging="111"/>
        <w:spacing w:after="0"/>
        <w:tabs>
          <w:tab w:leader="none" w:pos="1925" w:val="left"/>
        </w:tabs>
        <w:numPr>
          <w:ilvl w:val="1"/>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365 [total number of days in the Term] = 7.5%</w:t>
      </w:r>
    </w:p>
    <w:p>
      <w:pPr>
        <w:spacing w:after="0" w:line="30" w:lineRule="exact"/>
        <w:rPr>
          <w:rFonts w:ascii="Times New Roman" w:cs="Times New Roman" w:eastAsia="Times New Roman" w:hAnsi="Times New Roman"/>
          <w:sz w:val="14"/>
          <w:szCs w:val="14"/>
          <w:color w:val="auto"/>
        </w:rPr>
      </w:pPr>
    </w:p>
    <w:p>
      <w:pPr>
        <w:ind w:left="265" w:right="2999" w:hanging="265"/>
        <w:spacing w:after="0" w:line="208" w:lineRule="auto"/>
        <w:tabs>
          <w:tab w:leader="none" w:pos="265" w:val="left"/>
        </w:tabs>
        <w:numPr>
          <w:ilvl w:val="0"/>
          <w:numId w:val="4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Segment Performance Rate is –22.5% because the Segment Index Performance is –30% and the Accrued Buffer Rate of 7.5% absorbs up to 7.5% of the negative Segment Index Performance.</w:t>
      </w:r>
    </w:p>
    <w:p>
      <w:pPr>
        <w:spacing w:after="0" w:line="30" w:lineRule="exact"/>
        <w:rPr>
          <w:rFonts w:ascii="Times New Roman" w:cs="Times New Roman" w:eastAsia="Times New Roman" w:hAnsi="Times New Roman"/>
          <w:sz w:val="18"/>
          <w:szCs w:val="18"/>
          <w:color w:val="auto"/>
          <w:vertAlign w:val="superscript"/>
        </w:rPr>
      </w:pPr>
    </w:p>
    <w:p>
      <w:pPr>
        <w:jc w:val="both"/>
        <w:ind w:left="265" w:right="2999" w:hanging="265"/>
        <w:spacing w:after="0" w:line="219" w:lineRule="auto"/>
        <w:tabs>
          <w:tab w:leader="none" w:pos="265" w:val="left"/>
        </w:tabs>
        <w:numPr>
          <w:ilvl w:val="0"/>
          <w:numId w:val="4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Accrued Index Return is equal to the product of the current Segment Value (Segment Value at the Segment Start Date adjusted for the loan that was taken halfway through the Segment Term) multiplied by the Segment Performance Rate. The Accrued Index Return is calculated as follows:</w:t>
      </w:r>
    </w:p>
    <w:p>
      <w:pPr>
        <w:spacing w:after="0" w:line="32" w:lineRule="exact"/>
        <w:rPr>
          <w:sz w:val="20"/>
          <w:szCs w:val="20"/>
          <w:color w:val="auto"/>
        </w:rPr>
      </w:pPr>
    </w:p>
    <w:p>
      <w:pPr>
        <w:ind w:left="865"/>
        <w:spacing w:after="0"/>
        <w:rPr>
          <w:sz w:val="20"/>
          <w:szCs w:val="20"/>
          <w:color w:val="auto"/>
        </w:rPr>
      </w:pPr>
      <w:r>
        <w:rPr>
          <w:rFonts w:ascii="Times New Roman" w:cs="Times New Roman" w:eastAsia="Times New Roman" w:hAnsi="Times New Roman"/>
          <w:sz w:val="14"/>
          <w:szCs w:val="14"/>
          <w:color w:val="auto"/>
        </w:rPr>
        <w:t>$26,471 [current Segment Value] x -22.5% [Segment Performance Rate] = –$5,956</w:t>
      </w:r>
    </w:p>
    <w:p>
      <w:pPr>
        <w:spacing w:after="0" w:line="34" w:lineRule="exact"/>
        <w:rPr>
          <w:sz w:val="20"/>
          <w:szCs w:val="20"/>
          <w:color w:val="auto"/>
        </w:rPr>
      </w:pPr>
    </w:p>
    <w:p>
      <w:pPr>
        <w:jc w:val="both"/>
        <w:ind w:left="265" w:right="2999" w:hanging="265"/>
        <w:spacing w:after="0" w:line="219" w:lineRule="auto"/>
        <w:tabs>
          <w:tab w:leader="none" w:pos="265" w:val="left"/>
        </w:tabs>
        <w:numPr>
          <w:ilvl w:val="0"/>
          <w:numId w:val="48"/>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Interim Segment Value is equal to the current Segment Value (Segment Value at the Segment Start Date adjusted for the loan that was taken halfway through the Segment Term) plus the Accrued Index Return. The Interim Segment Value is calculated as follows:</w:t>
      </w:r>
    </w:p>
    <w:p>
      <w:pPr>
        <w:spacing w:after="0" w:line="32" w:lineRule="exact"/>
        <w:rPr>
          <w:sz w:val="20"/>
          <w:szCs w:val="20"/>
          <w:color w:val="auto"/>
        </w:rPr>
      </w:pPr>
    </w:p>
    <w:p>
      <w:pPr>
        <w:ind w:left="965"/>
        <w:spacing w:after="0"/>
        <w:rPr>
          <w:sz w:val="20"/>
          <w:szCs w:val="20"/>
          <w:color w:val="auto"/>
        </w:rPr>
      </w:pPr>
      <w:r>
        <w:rPr>
          <w:rFonts w:ascii="Times New Roman" w:cs="Times New Roman" w:eastAsia="Times New Roman" w:hAnsi="Times New Roman"/>
          <w:sz w:val="14"/>
          <w:szCs w:val="14"/>
          <w:color w:val="auto"/>
        </w:rPr>
        <w:t>$26,471 [current Segment Value] + –$5,956 [Accrued Index Return] = $20,515</w:t>
      </w:r>
    </w:p>
    <w:p>
      <w:pPr>
        <w:spacing w:after="0" w:line="45" w:lineRule="exact"/>
        <w:rPr>
          <w:sz w:val="20"/>
          <w:szCs w:val="20"/>
          <w:color w:val="auto"/>
        </w:rPr>
      </w:pPr>
    </w:p>
    <w:p>
      <w:pPr>
        <w:ind w:left="265" w:right="2999" w:hanging="265"/>
        <w:spacing w:after="0" w:line="208" w:lineRule="auto"/>
        <w:tabs>
          <w:tab w:leader="none" w:pos="265" w:val="left"/>
        </w:tabs>
        <w:numPr>
          <w:ilvl w:val="0"/>
          <w:numId w:val="49"/>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Interim Segment Value adjusted for the loan amount is equal to Interim Segment Value ($20,515) minus the amount of the loan ($10,000).</w:t>
      </w:r>
    </w:p>
    <w:p>
      <w:pPr>
        <w:spacing w:after="0" w:line="30" w:lineRule="exact"/>
        <w:rPr>
          <w:rFonts w:ascii="Times New Roman" w:cs="Times New Roman" w:eastAsia="Times New Roman" w:hAnsi="Times New Roman"/>
          <w:sz w:val="18"/>
          <w:szCs w:val="18"/>
          <w:color w:val="auto"/>
          <w:vertAlign w:val="superscript"/>
        </w:rPr>
      </w:pPr>
    </w:p>
    <w:p>
      <w:pPr>
        <w:ind w:left="265" w:right="2999" w:hanging="265"/>
        <w:spacing w:after="0" w:line="215" w:lineRule="auto"/>
        <w:tabs>
          <w:tab w:leader="none" w:pos="265" w:val="left"/>
        </w:tabs>
        <w:numPr>
          <w:ilvl w:val="0"/>
          <w:numId w:val="49"/>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Segment Value is reduced proportionally by the loan taken based on the reduction in Interim Segment Value. Therefore, the Segment Value adjusted by the loan taken is calculated as follows:</w:t>
      </w:r>
    </w:p>
    <w:p>
      <w:pPr>
        <w:spacing w:after="0" w:line="41" w:lineRule="exact"/>
        <w:rPr>
          <w:sz w:val="20"/>
          <w:szCs w:val="20"/>
          <w:color w:val="auto"/>
        </w:rPr>
      </w:pPr>
    </w:p>
    <w:p>
      <w:pPr>
        <w:ind w:left="1165"/>
        <w:spacing w:after="0"/>
        <w:rPr>
          <w:sz w:val="20"/>
          <w:szCs w:val="20"/>
          <w:color w:val="auto"/>
        </w:rPr>
      </w:pPr>
      <w:r>
        <w:rPr>
          <w:rFonts w:ascii="Times New Roman" w:cs="Times New Roman" w:eastAsia="Times New Roman" w:hAnsi="Times New Roman"/>
          <w:sz w:val="14"/>
          <w:szCs w:val="14"/>
          <w:color w:val="auto"/>
        </w:rPr>
        <w:t>$26,471 [Segment Value on date of Interim Segment Value calculation]</w:t>
      </w:r>
    </w:p>
    <w:p>
      <w:pPr>
        <w:ind w:left="185"/>
        <w:spacing w:after="0" w:line="225" w:lineRule="auto"/>
        <w:rPr>
          <w:sz w:val="20"/>
          <w:szCs w:val="20"/>
          <w:color w:val="auto"/>
        </w:rPr>
      </w:pPr>
      <w:r>
        <w:rPr>
          <w:rFonts w:ascii="Times New Roman" w:cs="Times New Roman" w:eastAsia="Times New Roman" w:hAnsi="Times New Roman"/>
          <w:sz w:val="14"/>
          <w:szCs w:val="14"/>
          <w:color w:val="auto"/>
        </w:rPr>
        <w:t>x (1-($10,000 [loan taken halfway through the Term] ÷ $20,515 [Interim Segment Value on date of loan])) =</w:t>
      </w:r>
    </w:p>
    <w:p>
      <w:pPr>
        <w:jc w:val="center"/>
        <w:ind w:right="2934"/>
        <w:spacing w:after="0"/>
        <w:rPr>
          <w:sz w:val="20"/>
          <w:szCs w:val="20"/>
          <w:color w:val="auto"/>
        </w:rPr>
      </w:pPr>
      <w:r>
        <w:rPr>
          <w:rFonts w:ascii="Times New Roman" w:cs="Times New Roman" w:eastAsia="Times New Roman" w:hAnsi="Times New Roman"/>
          <w:sz w:val="14"/>
          <w:szCs w:val="14"/>
          <w:color w:val="auto"/>
        </w:rPr>
        <w:t>$13,568</w:t>
      </w:r>
    </w:p>
    <w:p>
      <w:pPr>
        <w:spacing w:after="0" w:line="31" w:lineRule="exact"/>
        <w:rPr>
          <w:sz w:val="20"/>
          <w:szCs w:val="20"/>
          <w:color w:val="auto"/>
        </w:rPr>
      </w:pPr>
    </w:p>
    <w:p>
      <w:pPr>
        <w:ind w:left="5" w:right="2939"/>
        <w:spacing w:after="0" w:line="241" w:lineRule="auto"/>
        <w:rPr>
          <w:sz w:val="20"/>
          <w:szCs w:val="20"/>
          <w:color w:val="auto"/>
        </w:rPr>
      </w:pPr>
      <w:r>
        <w:rPr>
          <w:rFonts w:ascii="Times New Roman" w:cs="Times New Roman" w:eastAsia="Times New Roman" w:hAnsi="Times New Roman"/>
          <w:sz w:val="14"/>
          <w:szCs w:val="14"/>
          <w:color w:val="auto"/>
        </w:rPr>
        <w:t>The proportionally reduced Segment Value is used as the new Segment Value for the remainder of the Segment Term or until you take another loan or request an Accelerated Death Benefit payment.</w:t>
      </w:r>
    </w:p>
    <w:p>
      <w:pPr>
        <w:spacing w:after="0" w:line="37" w:lineRule="exact"/>
        <w:rPr>
          <w:sz w:val="20"/>
          <w:szCs w:val="20"/>
          <w:color w:val="auto"/>
        </w:rPr>
      </w:pPr>
    </w:p>
    <w:p>
      <w:pPr>
        <w:jc w:val="both"/>
        <w:ind w:left="265" w:right="2999" w:hanging="265"/>
        <w:spacing w:after="0" w:line="215" w:lineRule="auto"/>
        <w:tabs>
          <w:tab w:leader="none" w:pos="265" w:val="left"/>
        </w:tabs>
        <w:numPr>
          <w:ilvl w:val="0"/>
          <w:numId w:val="50"/>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Segment Index Performance at Segment Maturity is equal to the percentage change in the Index Value measured from the Segment Start Date to the Segment Maturity Date. Segment Index Performance is calculated as follows:</w:t>
      </w:r>
    </w:p>
    <w:p>
      <w:pPr>
        <w:spacing w:after="0" w:line="40" w:lineRule="exact"/>
        <w:rPr>
          <w:sz w:val="20"/>
          <w:szCs w:val="20"/>
          <w:color w:val="auto"/>
        </w:rPr>
      </w:pPr>
    </w:p>
    <w:p>
      <w:pPr>
        <w:ind w:left="1485"/>
        <w:spacing w:after="0"/>
        <w:rPr>
          <w:sz w:val="20"/>
          <w:szCs w:val="20"/>
          <w:color w:val="auto"/>
        </w:rPr>
      </w:pPr>
      <w:r>
        <w:rPr>
          <w:rFonts w:ascii="Times New Roman" w:cs="Times New Roman" w:eastAsia="Times New Roman" w:hAnsi="Times New Roman"/>
          <w:sz w:val="14"/>
          <w:szCs w:val="14"/>
          <w:color w:val="auto"/>
        </w:rPr>
        <w:t>(450 [Closing Value of the Index at Segment Maturity Date]</w:t>
      </w:r>
    </w:p>
    <w:p>
      <w:pPr>
        <w:spacing w:after="0" w:line="7" w:lineRule="exact"/>
        <w:rPr>
          <w:sz w:val="20"/>
          <w:szCs w:val="20"/>
          <w:color w:val="auto"/>
        </w:rPr>
      </w:pPr>
    </w:p>
    <w:p>
      <w:pPr>
        <w:ind w:left="1325" w:hanging="108"/>
        <w:spacing w:after="0"/>
        <w:tabs>
          <w:tab w:leader="none" w:pos="1325" w:val="left"/>
        </w:tabs>
        <w:numPr>
          <w:ilvl w:val="1"/>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500 [Closing Value of the Index at Segment Start Date]) – 1 = –10%</w:t>
      </w:r>
    </w:p>
    <w:p>
      <w:pPr>
        <w:spacing w:after="0" w:line="30" w:lineRule="exact"/>
        <w:rPr>
          <w:rFonts w:ascii="Times New Roman" w:cs="Times New Roman" w:eastAsia="Times New Roman" w:hAnsi="Times New Roman"/>
          <w:sz w:val="14"/>
          <w:szCs w:val="14"/>
          <w:color w:val="auto"/>
        </w:rPr>
      </w:pPr>
    </w:p>
    <w:p>
      <w:pPr>
        <w:jc w:val="both"/>
        <w:ind w:left="265" w:right="2999" w:hanging="265"/>
        <w:spacing w:after="0" w:line="215" w:lineRule="auto"/>
        <w:tabs>
          <w:tab w:leader="none" w:pos="265" w:val="left"/>
        </w:tabs>
        <w:numPr>
          <w:ilvl w:val="0"/>
          <w:numId w:val="51"/>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Segment Performance Rate at Segment Maturity is 0% because the Segment Index Performance at Segment Maturity is –10% and the Buffer 10 absorbs up to 10% of the negative Segment Index Performance.</w:t>
      </w:r>
    </w:p>
    <w:p>
      <w:pPr>
        <w:spacing w:after="0" w:line="215" w:lineRule="exact"/>
        <w:rPr>
          <w:sz w:val="20"/>
          <w:szCs w:val="20"/>
          <w:color w:val="auto"/>
        </w:rPr>
      </w:pPr>
    </w:p>
    <w:p>
      <w:pPr>
        <w:ind w:left="3085"/>
        <w:spacing w:after="0"/>
        <w:rPr>
          <w:sz w:val="20"/>
          <w:szCs w:val="20"/>
          <w:color w:val="auto"/>
        </w:rPr>
      </w:pPr>
      <w:r>
        <w:rPr>
          <w:rFonts w:ascii="Times New Roman" w:cs="Times New Roman" w:eastAsia="Times New Roman" w:hAnsi="Times New Roman"/>
          <w:sz w:val="14"/>
          <w:szCs w:val="14"/>
          <w:color w:val="auto"/>
        </w:rPr>
        <w:t>47</w:t>
      </w:r>
    </w:p>
    <w:p>
      <w:pPr>
        <w:sectPr>
          <w:pgSz w:w="11900" w:h="16838" w:orient="portrait"/>
          <w:cols w:equalWidth="0" w:num="1">
            <w:col w:w="9224"/>
          </w:cols>
          <w:pgMar w:left="1235" w:top="984" w:right="1440" w:bottom="1440" w:gutter="0" w:footer="0" w:header="0"/>
        </w:sectPr>
      </w:pPr>
    </w:p>
    <w:bookmarkStart w:id="50" w:name="page51"/>
    <w:bookmarkEnd w:id="50"/>
    <w:p>
      <w:pPr>
        <w:jc w:val="both"/>
        <w:ind w:left="265" w:right="2999" w:hanging="265"/>
        <w:spacing w:after="0" w:line="218" w:lineRule="auto"/>
        <w:tabs>
          <w:tab w:leader="none" w:pos="265" w:val="left"/>
        </w:tabs>
        <w:numPr>
          <w:ilvl w:val="0"/>
          <w:numId w:val="52"/>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422275</wp:posOffset>
            </wp:positionV>
            <wp:extent cx="719010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90105" cy="38735"/>
                    </a:xfrm>
                    <a:prstGeom prst="rect">
                      <a:avLst/>
                    </a:prstGeom>
                    <a:noFill/>
                  </pic:spPr>
                </pic:pic>
              </a:graphicData>
            </a:graphic>
          </wp:anchor>
        </w:drawing>
        <w:t>The Segment Credit on the Segment Maturity Date is equal to the product of the current Segment Value (Segment Value at the Segment Start Date adjusted for the loans that were taken during the Segment Term) multiplied by the Segment Performance Rate at Segment Maturity. The Segment Credit on the Segment Maturity Date is calculated as follows:</w:t>
      </w:r>
    </w:p>
    <w:p>
      <w:pPr>
        <w:spacing w:after="0" w:line="32" w:lineRule="exact"/>
        <w:rPr>
          <w:sz w:val="20"/>
          <w:szCs w:val="20"/>
          <w:color w:val="auto"/>
        </w:rPr>
      </w:pPr>
    </w:p>
    <w:p>
      <w:pPr>
        <w:ind w:left="405"/>
        <w:spacing w:after="0"/>
        <w:rPr>
          <w:sz w:val="20"/>
          <w:szCs w:val="20"/>
          <w:color w:val="auto"/>
        </w:rPr>
      </w:pPr>
      <w:r>
        <w:rPr>
          <w:rFonts w:ascii="Times New Roman" w:cs="Times New Roman" w:eastAsia="Times New Roman" w:hAnsi="Times New Roman"/>
          <w:sz w:val="14"/>
          <w:szCs w:val="14"/>
          <w:color w:val="auto"/>
        </w:rPr>
        <w:t>$13,568 [current Segment Value] x 0% [Segment Performance Rate at Segment Maturity Date] = $0</w:t>
      </w:r>
    </w:p>
    <w:p>
      <w:pPr>
        <w:spacing w:after="0" w:line="45" w:lineRule="exact"/>
        <w:rPr>
          <w:sz w:val="20"/>
          <w:szCs w:val="20"/>
          <w:color w:val="auto"/>
        </w:rPr>
      </w:pPr>
    </w:p>
    <w:p>
      <w:pPr>
        <w:jc w:val="both"/>
        <w:ind w:left="265" w:right="2999" w:hanging="265"/>
        <w:spacing w:after="0" w:line="230" w:lineRule="auto"/>
        <w:tabs>
          <w:tab w:leader="none" w:pos="265" w:val="left"/>
        </w:tabs>
        <w:numPr>
          <w:ilvl w:val="0"/>
          <w:numId w:val="53"/>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The Segment Value on the Segment Maturity Date is equal to the current Segment Value (Segment Value at the Segment Start Date adjusted for the loans that were taken during the Segment Term) plus the Segment Credit at Segment Maturity. The Segment Value on the Segment Maturity Date is calculated as follows:</w:t>
      </w:r>
    </w:p>
    <w:p>
      <w:pPr>
        <w:spacing w:after="0" w:line="30" w:lineRule="exact"/>
        <w:rPr>
          <w:sz w:val="20"/>
          <w:szCs w:val="20"/>
          <w:color w:val="auto"/>
        </w:rPr>
      </w:pPr>
    </w:p>
    <w:p>
      <w:pPr>
        <w:ind w:left="1305"/>
        <w:spacing w:after="0"/>
        <w:rPr>
          <w:sz w:val="20"/>
          <w:szCs w:val="20"/>
          <w:color w:val="auto"/>
        </w:rPr>
      </w:pPr>
      <w:r>
        <w:rPr>
          <w:rFonts w:ascii="Times New Roman" w:cs="Times New Roman" w:eastAsia="Times New Roman" w:hAnsi="Times New Roman"/>
          <w:sz w:val="14"/>
          <w:szCs w:val="14"/>
          <w:color w:val="auto"/>
        </w:rPr>
        <w:t>$13,568 [current Segment Value] + $0 [Segment Credit] = $13,568</w:t>
      </w:r>
    </w:p>
    <w:p>
      <w:pPr>
        <w:spacing w:after="0" w:line="246" w:lineRule="exact"/>
        <w:rPr>
          <w:sz w:val="20"/>
          <w:szCs w:val="20"/>
          <w:color w:val="auto"/>
        </w:rPr>
      </w:pPr>
    </w:p>
    <w:p>
      <w:pPr>
        <w:ind w:left="2705"/>
        <w:spacing w:after="0"/>
        <w:rPr>
          <w:sz w:val="20"/>
          <w:szCs w:val="20"/>
          <w:color w:val="auto"/>
        </w:rPr>
      </w:pPr>
      <w:r>
        <w:rPr>
          <w:rFonts w:ascii="Times New Roman" w:cs="Times New Roman" w:eastAsia="Times New Roman" w:hAnsi="Times New Roman"/>
          <w:sz w:val="14"/>
          <w:szCs w:val="14"/>
          <w:b w:val="1"/>
          <w:bCs w:val="1"/>
          <w:color w:val="auto"/>
        </w:rPr>
        <w:t>CASH VALUE</w:t>
      </w:r>
    </w:p>
    <w:p>
      <w:pPr>
        <w:spacing w:after="0" w:line="90" w:lineRule="exact"/>
        <w:rPr>
          <w:sz w:val="20"/>
          <w:szCs w:val="20"/>
          <w:color w:val="auto"/>
        </w:rPr>
      </w:pPr>
    </w:p>
    <w:p>
      <w:pPr>
        <w:jc w:val="both"/>
        <w:ind w:left="5" w:right="2939" w:firstLine="274"/>
        <w:spacing w:after="0" w:line="267" w:lineRule="auto"/>
        <w:rPr>
          <w:sz w:val="20"/>
          <w:szCs w:val="20"/>
          <w:color w:val="auto"/>
        </w:rPr>
      </w:pPr>
      <w:r>
        <w:rPr>
          <w:rFonts w:ascii="Times New Roman" w:cs="Times New Roman" w:eastAsia="Times New Roman" w:hAnsi="Times New Roman"/>
          <w:sz w:val="14"/>
          <w:szCs w:val="14"/>
          <w:color w:val="auto"/>
        </w:rPr>
        <w:t>Your Policy’s total Cash Value includes any Cash Value in the Fixed Account, Holding Accounts, Indexed Accounts, and the Loan Account.</w:t>
      </w:r>
    </w:p>
    <w:p>
      <w:pPr>
        <w:spacing w:after="0" w:line="49" w:lineRule="exact"/>
        <w:rPr>
          <w:sz w:val="20"/>
          <w:szCs w:val="20"/>
          <w:color w:val="auto"/>
        </w:rPr>
      </w:pPr>
    </w:p>
    <w:p>
      <w:pPr>
        <w:jc w:val="both"/>
        <w:ind w:left="5" w:right="2939" w:firstLine="274"/>
        <w:spacing w:after="0" w:line="259" w:lineRule="auto"/>
        <w:rPr>
          <w:sz w:val="20"/>
          <w:szCs w:val="20"/>
          <w:color w:val="auto"/>
        </w:rPr>
      </w:pPr>
      <w:r>
        <w:rPr>
          <w:rFonts w:ascii="Times New Roman" w:cs="Times New Roman" w:eastAsia="Times New Roman" w:hAnsi="Times New Roman"/>
          <w:sz w:val="14"/>
          <w:szCs w:val="14"/>
          <w:b w:val="1"/>
          <w:bCs w:val="1"/>
          <w:color w:val="auto"/>
        </w:rPr>
        <w:t xml:space="preserve">Fixed Account Cash Value. </w:t>
      </w:r>
      <w:r>
        <w:rPr>
          <w:rFonts w:ascii="Times New Roman" w:cs="Times New Roman" w:eastAsia="Times New Roman" w:hAnsi="Times New Roman"/>
          <w:sz w:val="14"/>
          <w:szCs w:val="14"/>
          <w:color w:val="auto"/>
        </w:rPr>
        <w:t>The Cash Value in the Fixed Account on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i w:val="1"/>
          <w:iCs w:val="1"/>
          <w:color w:val="auto"/>
        </w:rPr>
        <w:t>Policy Start Date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equals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portion of the Net Premium received and allocated to the Fixed Account, less the portion of the Annual Deduction charged to the Fixed Account.</w:t>
      </w:r>
    </w:p>
    <w:p>
      <w:pPr>
        <w:spacing w:after="0" w:line="55" w:lineRule="exact"/>
        <w:rPr>
          <w:sz w:val="20"/>
          <w:szCs w:val="20"/>
          <w:color w:val="auto"/>
        </w:rPr>
      </w:pPr>
    </w:p>
    <w:p>
      <w:pPr>
        <w:ind w:left="265"/>
        <w:spacing w:after="0"/>
        <w:rPr>
          <w:sz w:val="20"/>
          <w:szCs w:val="20"/>
          <w:color w:val="auto"/>
        </w:rPr>
      </w:pPr>
      <w:r>
        <w:rPr>
          <w:rFonts w:ascii="Times New Roman" w:cs="Times New Roman" w:eastAsia="Times New Roman" w:hAnsi="Times New Roman"/>
          <w:sz w:val="14"/>
          <w:szCs w:val="14"/>
          <w:color w:val="auto"/>
        </w:rPr>
        <w:t xml:space="preserve">The Cash Value in the Fixed Account </w:t>
      </w:r>
      <w:r>
        <w:rPr>
          <w:rFonts w:ascii="Times New Roman" w:cs="Times New Roman" w:eastAsia="Times New Roman" w:hAnsi="Times New Roman"/>
          <w:sz w:val="14"/>
          <w:szCs w:val="14"/>
          <w:i w:val="1"/>
          <w:iCs w:val="1"/>
          <w:color w:val="auto"/>
        </w:rPr>
        <w:t>on a Policy Anniversary</w:t>
      </w:r>
      <w:r>
        <w:rPr>
          <w:rFonts w:ascii="Times New Roman" w:cs="Times New Roman" w:eastAsia="Times New Roman" w:hAnsi="Times New Roman"/>
          <w:sz w:val="14"/>
          <w:szCs w:val="14"/>
          <w:color w:val="auto"/>
        </w:rPr>
        <w:t xml:space="preserve"> equals:</w:t>
      </w:r>
    </w:p>
    <w:p>
      <w:pPr>
        <w:spacing w:after="0" w:line="90" w:lineRule="exact"/>
        <w:rPr>
          <w:sz w:val="20"/>
          <w:szCs w:val="20"/>
          <w:color w:val="auto"/>
        </w:rPr>
      </w:pPr>
    </w:p>
    <w:p>
      <w:pPr>
        <w:ind w:left="445" w:hanging="171"/>
        <w:spacing w:after="0"/>
        <w:tabs>
          <w:tab w:leader="none" w:pos="445"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Cash Value in the Fixed Account on the prior day; plus</w:t>
      </w:r>
    </w:p>
    <w:p>
      <w:pPr>
        <w:spacing w:after="0" w:line="85" w:lineRule="exact"/>
        <w:rPr>
          <w:rFonts w:ascii="Times New Roman" w:cs="Times New Roman" w:eastAsia="Times New Roman" w:hAnsi="Times New Roman"/>
          <w:sz w:val="14"/>
          <w:szCs w:val="14"/>
          <w:color w:val="auto"/>
        </w:rPr>
      </w:pPr>
    </w:p>
    <w:p>
      <w:pPr>
        <w:ind w:left="445" w:hanging="171"/>
        <w:spacing w:after="0"/>
        <w:tabs>
          <w:tab w:leader="none" w:pos="445"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Fixed Account interest credited on such amount since the prior day; plus</w:t>
      </w:r>
    </w:p>
    <w:p>
      <w:pPr>
        <w:spacing w:after="0" w:line="85" w:lineRule="exact"/>
        <w:rPr>
          <w:rFonts w:ascii="Times New Roman" w:cs="Times New Roman" w:eastAsia="Times New Roman" w:hAnsi="Times New Roman"/>
          <w:sz w:val="14"/>
          <w:szCs w:val="14"/>
          <w:color w:val="auto"/>
        </w:rPr>
      </w:pPr>
    </w:p>
    <w:p>
      <w:pPr>
        <w:ind w:left="445" w:hanging="171"/>
        <w:spacing w:after="0"/>
        <w:tabs>
          <w:tab w:leader="none" w:pos="445"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Net Premium paid on that date and allocated to the Fixed Account; plus</w:t>
      </w:r>
    </w:p>
    <w:p>
      <w:pPr>
        <w:spacing w:after="0" w:line="85" w:lineRule="exact"/>
        <w:rPr>
          <w:rFonts w:ascii="Times New Roman" w:cs="Times New Roman" w:eastAsia="Times New Roman" w:hAnsi="Times New Roman"/>
          <w:sz w:val="14"/>
          <w:szCs w:val="14"/>
          <w:color w:val="auto"/>
        </w:rPr>
      </w:pPr>
    </w:p>
    <w:p>
      <w:pPr>
        <w:ind w:left="445" w:right="3279" w:hanging="171"/>
        <w:spacing w:after="0" w:line="267" w:lineRule="auto"/>
        <w:tabs>
          <w:tab w:leader="none" w:pos="445"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amount transferred from the Loan Account or an Indexed Account to the Fixed Account on that date; less</w:t>
      </w:r>
    </w:p>
    <w:p>
      <w:pPr>
        <w:spacing w:after="0" w:line="53" w:lineRule="exact"/>
        <w:rPr>
          <w:rFonts w:ascii="Times New Roman" w:cs="Times New Roman" w:eastAsia="Times New Roman" w:hAnsi="Times New Roman"/>
          <w:sz w:val="14"/>
          <w:szCs w:val="14"/>
          <w:color w:val="auto"/>
        </w:rPr>
      </w:pPr>
    </w:p>
    <w:p>
      <w:pPr>
        <w:ind w:left="445" w:right="3279" w:hanging="171"/>
        <w:spacing w:after="0" w:line="267" w:lineRule="auto"/>
        <w:tabs>
          <w:tab w:leader="none" w:pos="445"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amount transferred from the Fixed Account to an Indexed Account or the Loan Account on that date; less</w:t>
      </w:r>
    </w:p>
    <w:p>
      <w:pPr>
        <w:spacing w:after="0" w:line="53" w:lineRule="exact"/>
        <w:rPr>
          <w:rFonts w:ascii="Times New Roman" w:cs="Times New Roman" w:eastAsia="Times New Roman" w:hAnsi="Times New Roman"/>
          <w:sz w:val="14"/>
          <w:szCs w:val="14"/>
          <w:color w:val="auto"/>
        </w:rPr>
      </w:pPr>
    </w:p>
    <w:p>
      <w:pPr>
        <w:ind w:left="445" w:right="3139" w:hanging="171"/>
        <w:spacing w:after="0" w:line="267" w:lineRule="auto"/>
        <w:tabs>
          <w:tab w:leader="none" w:pos="445"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Cash Value reduction resulting from a payment under the Accelerated Death Benefit, on that date; less</w:t>
      </w:r>
    </w:p>
    <w:p>
      <w:pPr>
        <w:spacing w:after="0" w:line="53" w:lineRule="exact"/>
        <w:rPr>
          <w:rFonts w:ascii="Times New Roman" w:cs="Times New Roman" w:eastAsia="Times New Roman" w:hAnsi="Times New Roman"/>
          <w:sz w:val="14"/>
          <w:szCs w:val="14"/>
          <w:color w:val="auto"/>
        </w:rPr>
      </w:pPr>
    </w:p>
    <w:p>
      <w:pPr>
        <w:ind w:left="445" w:right="3159" w:hanging="171"/>
        <w:spacing w:after="0" w:line="267" w:lineRule="auto"/>
        <w:tabs>
          <w:tab w:leader="none" w:pos="445"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part of the Annual Deduction charged to the Fixed Account to cover the Policy Year that starts on that day.</w:t>
      </w:r>
    </w:p>
    <w:p>
      <w:pPr>
        <w:spacing w:after="0" w:line="49" w:lineRule="exact"/>
        <w:rPr>
          <w:sz w:val="20"/>
          <w:szCs w:val="20"/>
          <w:color w:val="auto"/>
        </w:rPr>
      </w:pPr>
    </w:p>
    <w:p>
      <w:pPr>
        <w:ind w:left="265"/>
        <w:spacing w:after="0"/>
        <w:rPr>
          <w:sz w:val="20"/>
          <w:szCs w:val="20"/>
          <w:color w:val="auto"/>
        </w:rPr>
      </w:pPr>
      <w:r>
        <w:rPr>
          <w:rFonts w:ascii="Times New Roman" w:cs="Times New Roman" w:eastAsia="Times New Roman" w:hAnsi="Times New Roman"/>
          <w:sz w:val="14"/>
          <w:szCs w:val="14"/>
          <w:i w:val="1"/>
          <w:iCs w:val="1"/>
          <w:color w:val="auto"/>
        </w:rPr>
        <w:t>On any other day</w:t>
      </w:r>
      <w:r>
        <w:rPr>
          <w:rFonts w:ascii="Times New Roman" w:cs="Times New Roman" w:eastAsia="Times New Roman" w:hAnsi="Times New Roman"/>
          <w:sz w:val="14"/>
          <w:szCs w:val="14"/>
          <w:color w:val="auto"/>
        </w:rPr>
        <w:t>, the Cash Value in the Fixed Account equals:</w:t>
      </w:r>
    </w:p>
    <w:p>
      <w:pPr>
        <w:spacing w:after="0" w:line="90" w:lineRule="exact"/>
        <w:rPr>
          <w:sz w:val="20"/>
          <w:szCs w:val="20"/>
          <w:color w:val="auto"/>
        </w:rPr>
      </w:pPr>
    </w:p>
    <w:p>
      <w:pPr>
        <w:ind w:left="445" w:hanging="171"/>
        <w:spacing w:after="0"/>
        <w:tabs>
          <w:tab w:leader="none" w:pos="445"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Cash Value in the Fixed Account on the prior day; plus</w:t>
      </w:r>
    </w:p>
    <w:p>
      <w:pPr>
        <w:spacing w:after="0" w:line="85" w:lineRule="exact"/>
        <w:rPr>
          <w:rFonts w:ascii="Times New Roman" w:cs="Times New Roman" w:eastAsia="Times New Roman" w:hAnsi="Times New Roman"/>
          <w:sz w:val="14"/>
          <w:szCs w:val="14"/>
          <w:color w:val="auto"/>
        </w:rPr>
      </w:pPr>
    </w:p>
    <w:p>
      <w:pPr>
        <w:ind w:left="445" w:hanging="171"/>
        <w:spacing w:after="0"/>
        <w:tabs>
          <w:tab w:leader="none" w:pos="445"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Fixed Account interest credited on such amount since the prior day; plus</w:t>
      </w:r>
    </w:p>
    <w:p>
      <w:pPr>
        <w:spacing w:after="0" w:line="85" w:lineRule="exact"/>
        <w:rPr>
          <w:rFonts w:ascii="Times New Roman" w:cs="Times New Roman" w:eastAsia="Times New Roman" w:hAnsi="Times New Roman"/>
          <w:sz w:val="14"/>
          <w:szCs w:val="14"/>
          <w:color w:val="auto"/>
        </w:rPr>
      </w:pPr>
    </w:p>
    <w:p>
      <w:pPr>
        <w:ind w:left="445" w:hanging="171"/>
        <w:spacing w:after="0"/>
        <w:tabs>
          <w:tab w:leader="none" w:pos="445"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Net Premium paid on that day and allocated to the Fixed Account; plus</w:t>
      </w:r>
    </w:p>
    <w:p>
      <w:pPr>
        <w:spacing w:after="0" w:line="85" w:lineRule="exact"/>
        <w:rPr>
          <w:rFonts w:ascii="Times New Roman" w:cs="Times New Roman" w:eastAsia="Times New Roman" w:hAnsi="Times New Roman"/>
          <w:sz w:val="14"/>
          <w:szCs w:val="14"/>
          <w:color w:val="auto"/>
        </w:rPr>
      </w:pPr>
    </w:p>
    <w:p>
      <w:pPr>
        <w:ind w:left="445" w:hanging="171"/>
        <w:spacing w:after="0"/>
        <w:tabs>
          <w:tab w:leader="none" w:pos="445"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amount transferred from the Loan Account to the Fixed Account on that day; less</w:t>
      </w:r>
    </w:p>
    <w:p>
      <w:pPr>
        <w:spacing w:after="0" w:line="85" w:lineRule="exact"/>
        <w:rPr>
          <w:rFonts w:ascii="Times New Roman" w:cs="Times New Roman" w:eastAsia="Times New Roman" w:hAnsi="Times New Roman"/>
          <w:sz w:val="14"/>
          <w:szCs w:val="14"/>
          <w:color w:val="auto"/>
        </w:rPr>
      </w:pPr>
    </w:p>
    <w:p>
      <w:pPr>
        <w:ind w:left="445" w:hanging="171"/>
        <w:spacing w:after="0"/>
        <w:tabs>
          <w:tab w:leader="none" w:pos="445"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amount transferred from the Fixed Account to the Loan Account on that day; less</w:t>
      </w:r>
    </w:p>
    <w:p>
      <w:pPr>
        <w:spacing w:after="0" w:line="85" w:lineRule="exact"/>
        <w:rPr>
          <w:rFonts w:ascii="Times New Roman" w:cs="Times New Roman" w:eastAsia="Times New Roman" w:hAnsi="Times New Roman"/>
          <w:sz w:val="14"/>
          <w:szCs w:val="14"/>
          <w:color w:val="auto"/>
        </w:rPr>
      </w:pPr>
    </w:p>
    <w:p>
      <w:pPr>
        <w:ind w:left="445" w:hanging="171"/>
        <w:spacing w:after="0"/>
        <w:tabs>
          <w:tab w:leader="none" w:pos="445"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Cash Value reduction resulting from a payment under the Accelerated Death Benefit.</w:t>
      </w:r>
    </w:p>
    <w:p>
      <w:pPr>
        <w:spacing w:after="0" w:line="82" w:lineRule="exact"/>
        <w:rPr>
          <w:sz w:val="20"/>
          <w:szCs w:val="20"/>
          <w:color w:val="auto"/>
        </w:rPr>
      </w:pPr>
    </w:p>
    <w:p>
      <w:pPr>
        <w:ind w:left="265"/>
        <w:spacing w:after="0"/>
        <w:rPr>
          <w:sz w:val="20"/>
          <w:szCs w:val="20"/>
          <w:color w:val="auto"/>
        </w:rPr>
      </w:pPr>
      <w:r>
        <w:rPr>
          <w:rFonts w:ascii="Times New Roman" w:cs="Times New Roman" w:eastAsia="Times New Roman" w:hAnsi="Times New Roman"/>
          <w:sz w:val="13"/>
          <w:szCs w:val="13"/>
          <w:b w:val="1"/>
          <w:bCs w:val="1"/>
          <w:color w:val="auto"/>
        </w:rPr>
        <w:t xml:space="preserve">Holding Account Cash Value. </w:t>
      </w:r>
      <w:r>
        <w:rPr>
          <w:rFonts w:ascii="Times New Roman" w:cs="Times New Roman" w:eastAsia="Times New Roman" w:hAnsi="Times New Roman"/>
          <w:sz w:val="13"/>
          <w:szCs w:val="13"/>
          <w:color w:val="auto"/>
        </w:rPr>
        <w:t>The Cash Value in any Holding Account on the Policy Start Date equals zero.</w:t>
      </w:r>
    </w:p>
    <w:p>
      <w:pPr>
        <w:spacing w:after="0" w:line="97" w:lineRule="exact"/>
        <w:rPr>
          <w:sz w:val="20"/>
          <w:szCs w:val="20"/>
          <w:color w:val="auto"/>
        </w:rPr>
      </w:pPr>
    </w:p>
    <w:p>
      <w:pPr>
        <w:ind w:left="265"/>
        <w:spacing w:after="0"/>
        <w:rPr>
          <w:sz w:val="20"/>
          <w:szCs w:val="20"/>
          <w:color w:val="auto"/>
        </w:rPr>
      </w:pPr>
      <w:r>
        <w:rPr>
          <w:rFonts w:ascii="Times New Roman" w:cs="Times New Roman" w:eastAsia="Times New Roman" w:hAnsi="Times New Roman"/>
          <w:sz w:val="14"/>
          <w:szCs w:val="14"/>
          <w:color w:val="auto"/>
        </w:rPr>
        <w:t xml:space="preserve">The Cash Value in any Holding Account </w:t>
      </w:r>
      <w:r>
        <w:rPr>
          <w:rFonts w:ascii="Times New Roman" w:cs="Times New Roman" w:eastAsia="Times New Roman" w:hAnsi="Times New Roman"/>
          <w:sz w:val="14"/>
          <w:szCs w:val="14"/>
          <w:i w:val="1"/>
          <w:iCs w:val="1"/>
          <w:color w:val="auto"/>
        </w:rPr>
        <w:t>on a Policy Anniversary</w:t>
      </w:r>
      <w:r>
        <w:rPr>
          <w:rFonts w:ascii="Times New Roman" w:cs="Times New Roman" w:eastAsia="Times New Roman" w:hAnsi="Times New Roman"/>
          <w:sz w:val="14"/>
          <w:szCs w:val="14"/>
          <w:color w:val="auto"/>
        </w:rPr>
        <w:t xml:space="preserve"> equals:</w:t>
      </w:r>
    </w:p>
    <w:p>
      <w:pPr>
        <w:spacing w:after="0" w:line="90" w:lineRule="exact"/>
        <w:rPr>
          <w:sz w:val="20"/>
          <w:szCs w:val="20"/>
          <w:color w:val="auto"/>
        </w:rPr>
      </w:pPr>
    </w:p>
    <w:p>
      <w:pPr>
        <w:ind w:left="445" w:hanging="171"/>
        <w:spacing w:after="0"/>
        <w:tabs>
          <w:tab w:leader="none" w:pos="445"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Cash Value in the Holding Account on the prior day; plus</w:t>
      </w:r>
    </w:p>
    <w:p>
      <w:pPr>
        <w:spacing w:after="0" w:line="85" w:lineRule="exact"/>
        <w:rPr>
          <w:rFonts w:ascii="Times New Roman" w:cs="Times New Roman" w:eastAsia="Times New Roman" w:hAnsi="Times New Roman"/>
          <w:sz w:val="14"/>
          <w:szCs w:val="14"/>
          <w:color w:val="auto"/>
        </w:rPr>
      </w:pPr>
    </w:p>
    <w:p>
      <w:pPr>
        <w:ind w:left="445" w:hanging="171"/>
        <w:spacing w:after="0"/>
        <w:tabs>
          <w:tab w:leader="none" w:pos="445"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Holding Account interest credited on such amount since the prior day; plus</w:t>
      </w:r>
    </w:p>
    <w:p>
      <w:pPr>
        <w:spacing w:after="0" w:line="85" w:lineRule="exact"/>
        <w:rPr>
          <w:rFonts w:ascii="Times New Roman" w:cs="Times New Roman" w:eastAsia="Times New Roman" w:hAnsi="Times New Roman"/>
          <w:sz w:val="14"/>
          <w:szCs w:val="14"/>
          <w:color w:val="auto"/>
        </w:rPr>
      </w:pPr>
    </w:p>
    <w:p>
      <w:pPr>
        <w:ind w:left="445" w:hanging="171"/>
        <w:spacing w:after="0"/>
        <w:tabs>
          <w:tab w:leader="none" w:pos="445"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amount transferred from the Loan Account to the Holding Account on that date; less</w:t>
      </w:r>
    </w:p>
    <w:p>
      <w:pPr>
        <w:spacing w:after="0" w:line="85" w:lineRule="exact"/>
        <w:rPr>
          <w:rFonts w:ascii="Times New Roman" w:cs="Times New Roman" w:eastAsia="Times New Roman" w:hAnsi="Times New Roman"/>
          <w:sz w:val="14"/>
          <w:szCs w:val="14"/>
          <w:color w:val="auto"/>
        </w:rPr>
      </w:pPr>
    </w:p>
    <w:p>
      <w:pPr>
        <w:ind w:left="445" w:right="3179" w:hanging="171"/>
        <w:spacing w:after="0" w:line="267" w:lineRule="auto"/>
        <w:tabs>
          <w:tab w:leader="none" w:pos="445"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Cash Value reduction resulting from a payment under the Accelerated Death Benefit on that date; less</w:t>
      </w:r>
    </w:p>
    <w:p>
      <w:pPr>
        <w:spacing w:after="0" w:line="53" w:lineRule="exact"/>
        <w:rPr>
          <w:rFonts w:ascii="Times New Roman" w:cs="Times New Roman" w:eastAsia="Times New Roman" w:hAnsi="Times New Roman"/>
          <w:sz w:val="14"/>
          <w:szCs w:val="14"/>
          <w:color w:val="auto"/>
        </w:rPr>
      </w:pPr>
    </w:p>
    <w:p>
      <w:pPr>
        <w:ind w:left="445" w:right="3039" w:hanging="171"/>
        <w:spacing w:after="0" w:line="267" w:lineRule="auto"/>
        <w:tabs>
          <w:tab w:leader="none" w:pos="445"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part of the Annual Deduction charged to the Holding Account to cover the Policy Year that starts on that day; less</w:t>
      </w:r>
    </w:p>
    <w:p>
      <w:pPr>
        <w:spacing w:after="0" w:line="53" w:lineRule="exact"/>
        <w:rPr>
          <w:rFonts w:ascii="Times New Roman" w:cs="Times New Roman" w:eastAsia="Times New Roman" w:hAnsi="Times New Roman"/>
          <w:sz w:val="14"/>
          <w:szCs w:val="14"/>
          <w:color w:val="auto"/>
        </w:rPr>
      </w:pPr>
    </w:p>
    <w:p>
      <w:pPr>
        <w:ind w:left="445" w:right="3139" w:hanging="171"/>
        <w:spacing w:after="0" w:line="267" w:lineRule="auto"/>
        <w:tabs>
          <w:tab w:leader="none" w:pos="445"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amount transferred from the Holding Account to an Indexed Account or the Loan Account on that date.</w:t>
      </w:r>
    </w:p>
    <w:p>
      <w:pPr>
        <w:spacing w:after="0" w:line="49" w:lineRule="exact"/>
        <w:rPr>
          <w:sz w:val="20"/>
          <w:szCs w:val="20"/>
          <w:color w:val="auto"/>
        </w:rPr>
      </w:pPr>
    </w:p>
    <w:p>
      <w:pPr>
        <w:jc w:val="both"/>
        <w:ind w:left="5" w:right="2939" w:firstLine="274"/>
        <w:spacing w:after="0" w:line="259" w:lineRule="auto"/>
        <w:rPr>
          <w:sz w:val="20"/>
          <w:szCs w:val="20"/>
          <w:color w:val="auto"/>
        </w:rPr>
      </w:pPr>
      <w:r>
        <w:rPr>
          <w:rFonts w:ascii="Times New Roman" w:cs="Times New Roman" w:eastAsia="Times New Roman" w:hAnsi="Times New Roman"/>
          <w:sz w:val="14"/>
          <w:szCs w:val="14"/>
          <w:b w:val="1"/>
          <w:bCs w:val="1"/>
          <w:color w:val="auto"/>
        </w:rPr>
        <w:t>Note: Before the end of the day on a Policy Anniversary, the Cash Value in any Holding Account could be greater than zero because of the first three bullets above. However, the Cash Value in any Holding Account at the end of a Policy Anniversary will always equal zero.</w:t>
      </w:r>
    </w:p>
    <w:p>
      <w:pPr>
        <w:spacing w:after="0" w:line="55" w:lineRule="exact"/>
        <w:rPr>
          <w:sz w:val="20"/>
          <w:szCs w:val="20"/>
          <w:color w:val="auto"/>
        </w:rPr>
      </w:pPr>
    </w:p>
    <w:p>
      <w:pPr>
        <w:ind w:left="265"/>
        <w:spacing w:after="0"/>
        <w:rPr>
          <w:sz w:val="20"/>
          <w:szCs w:val="20"/>
          <w:color w:val="auto"/>
        </w:rPr>
      </w:pPr>
      <w:r>
        <w:rPr>
          <w:rFonts w:ascii="Times New Roman" w:cs="Times New Roman" w:eastAsia="Times New Roman" w:hAnsi="Times New Roman"/>
          <w:sz w:val="14"/>
          <w:szCs w:val="14"/>
          <w:i w:val="1"/>
          <w:iCs w:val="1"/>
          <w:color w:val="auto"/>
        </w:rPr>
        <w:t>On any other day</w:t>
      </w:r>
      <w:r>
        <w:rPr>
          <w:rFonts w:ascii="Times New Roman" w:cs="Times New Roman" w:eastAsia="Times New Roman" w:hAnsi="Times New Roman"/>
          <w:sz w:val="14"/>
          <w:szCs w:val="14"/>
          <w:color w:val="auto"/>
        </w:rPr>
        <w:t>, the Holding Account Cash Value equals:</w:t>
      </w:r>
    </w:p>
    <w:p>
      <w:pPr>
        <w:spacing w:after="0" w:line="90" w:lineRule="exact"/>
        <w:rPr>
          <w:sz w:val="20"/>
          <w:szCs w:val="20"/>
          <w:color w:val="auto"/>
        </w:rPr>
      </w:pPr>
    </w:p>
    <w:p>
      <w:pPr>
        <w:ind w:left="445" w:hanging="171"/>
        <w:spacing w:after="0"/>
        <w:tabs>
          <w:tab w:leader="none" w:pos="445"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Cash Value in the Holding Account on the prior day; plus</w:t>
      </w:r>
    </w:p>
    <w:p>
      <w:pPr>
        <w:spacing w:after="0" w:line="85" w:lineRule="exact"/>
        <w:rPr>
          <w:rFonts w:ascii="Times New Roman" w:cs="Times New Roman" w:eastAsia="Times New Roman" w:hAnsi="Times New Roman"/>
          <w:sz w:val="14"/>
          <w:szCs w:val="14"/>
          <w:color w:val="auto"/>
        </w:rPr>
      </w:pPr>
    </w:p>
    <w:p>
      <w:pPr>
        <w:ind w:left="445" w:hanging="171"/>
        <w:spacing w:after="0"/>
        <w:tabs>
          <w:tab w:leader="none" w:pos="445"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Holding Account interest credited on such amount since the prior day; plus</w:t>
      </w:r>
    </w:p>
    <w:p>
      <w:pPr>
        <w:spacing w:after="0" w:line="230" w:lineRule="exact"/>
        <w:rPr>
          <w:sz w:val="20"/>
          <w:szCs w:val="20"/>
          <w:color w:val="auto"/>
        </w:rPr>
      </w:pPr>
    </w:p>
    <w:p>
      <w:pPr>
        <w:ind w:left="3085"/>
        <w:spacing w:after="0"/>
        <w:rPr>
          <w:sz w:val="20"/>
          <w:szCs w:val="20"/>
          <w:color w:val="auto"/>
        </w:rPr>
      </w:pPr>
      <w:r>
        <w:rPr>
          <w:rFonts w:ascii="Times New Roman" w:cs="Times New Roman" w:eastAsia="Times New Roman" w:hAnsi="Times New Roman"/>
          <w:sz w:val="14"/>
          <w:szCs w:val="14"/>
          <w:color w:val="auto"/>
        </w:rPr>
        <w:t>48</w:t>
      </w:r>
    </w:p>
    <w:p>
      <w:pPr>
        <w:sectPr>
          <w:pgSz w:w="11900" w:h="16838" w:orient="portrait"/>
          <w:cols w:equalWidth="0" w:num="1">
            <w:col w:w="9224"/>
          </w:cols>
          <w:pgMar w:left="1235" w:top="1073" w:right="1440" w:bottom="1440" w:gutter="0" w:footer="0" w:header="0"/>
        </w:sectPr>
      </w:pPr>
    </w:p>
    <w:bookmarkStart w:id="51" w:name="page52"/>
    <w:bookmarkEnd w:id="51"/>
    <w:p>
      <w:pPr>
        <w:ind w:left="440" w:hanging="171"/>
        <w:spacing w:after="0"/>
        <w:tabs>
          <w:tab w:leader="none" w:pos="44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422275</wp:posOffset>
            </wp:positionV>
            <wp:extent cx="719010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90105" cy="38735"/>
                    </a:xfrm>
                    <a:prstGeom prst="rect">
                      <a:avLst/>
                    </a:prstGeom>
                    <a:noFill/>
                  </pic:spPr>
                </pic:pic>
              </a:graphicData>
            </a:graphic>
          </wp:anchor>
        </w:drawing>
        <w:t>Any Net Premium paid on that date and allocated to the Holding Account; plus</w:t>
      </w:r>
    </w:p>
    <w:p>
      <w:pPr>
        <w:spacing w:after="0" w:line="96" w:lineRule="exact"/>
        <w:rPr>
          <w:rFonts w:ascii="Times New Roman" w:cs="Times New Roman" w:eastAsia="Times New Roman" w:hAnsi="Times New Roman"/>
          <w:sz w:val="14"/>
          <w:szCs w:val="14"/>
          <w:color w:val="auto"/>
        </w:rPr>
      </w:pPr>
    </w:p>
    <w:p>
      <w:pPr>
        <w:ind w:left="440" w:hanging="171"/>
        <w:spacing w:after="0"/>
        <w:tabs>
          <w:tab w:leader="none" w:pos="44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amount transferred from the Loan Account to the Holding Account on that date; less</w:t>
      </w:r>
    </w:p>
    <w:p>
      <w:pPr>
        <w:spacing w:after="0" w:line="85" w:lineRule="exact"/>
        <w:rPr>
          <w:rFonts w:ascii="Times New Roman" w:cs="Times New Roman" w:eastAsia="Times New Roman" w:hAnsi="Times New Roman"/>
          <w:sz w:val="14"/>
          <w:szCs w:val="14"/>
          <w:color w:val="auto"/>
        </w:rPr>
      </w:pPr>
    </w:p>
    <w:p>
      <w:pPr>
        <w:ind w:left="440" w:hanging="171"/>
        <w:spacing w:after="0"/>
        <w:tabs>
          <w:tab w:leader="none" w:pos="44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amount transferred from the Holding Account to the Loan Account on that date; less</w:t>
      </w:r>
    </w:p>
    <w:p>
      <w:pPr>
        <w:spacing w:after="0" w:line="96" w:lineRule="exact"/>
        <w:rPr>
          <w:rFonts w:ascii="Times New Roman" w:cs="Times New Roman" w:eastAsia="Times New Roman" w:hAnsi="Times New Roman"/>
          <w:sz w:val="14"/>
          <w:szCs w:val="14"/>
          <w:color w:val="auto"/>
        </w:rPr>
      </w:pPr>
    </w:p>
    <w:p>
      <w:pPr>
        <w:ind w:left="440" w:hanging="171"/>
        <w:spacing w:after="0"/>
        <w:tabs>
          <w:tab w:leader="none" w:pos="44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Cash Value reduction resulting from a payment under the Accelerated Death Benefit.</w:t>
      </w:r>
    </w:p>
    <w:p>
      <w:pPr>
        <w:spacing w:after="0" w:line="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 xml:space="preserve">Loan Account Cash Value. </w:t>
      </w:r>
      <w:r>
        <w:rPr>
          <w:rFonts w:ascii="Times New Roman" w:cs="Times New Roman" w:eastAsia="Times New Roman" w:hAnsi="Times New Roman"/>
          <w:sz w:val="14"/>
          <w:szCs w:val="14"/>
          <w:color w:val="auto"/>
        </w:rPr>
        <w:t>The Cash Value in the Loan Account on the Policy Start Date equals zero.</w:t>
      </w:r>
    </w:p>
    <w:p>
      <w:pPr>
        <w:spacing w:after="0" w:line="9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Cash Value in the Loan Account on any other day equals:</w:t>
      </w:r>
    </w:p>
    <w:p>
      <w:pPr>
        <w:spacing w:after="0" w:line="86" w:lineRule="exact"/>
        <w:rPr>
          <w:sz w:val="20"/>
          <w:szCs w:val="20"/>
          <w:color w:val="auto"/>
        </w:rPr>
      </w:pPr>
    </w:p>
    <w:p>
      <w:pPr>
        <w:ind w:left="440" w:hanging="171"/>
        <w:spacing w:after="0"/>
        <w:tabs>
          <w:tab w:leader="none" w:pos="44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Cash Value in the Loan Account as of the prior day; plus</w:t>
      </w:r>
    </w:p>
    <w:p>
      <w:pPr>
        <w:spacing w:after="0" w:line="96" w:lineRule="exact"/>
        <w:rPr>
          <w:rFonts w:ascii="Times New Roman" w:cs="Times New Roman" w:eastAsia="Times New Roman" w:hAnsi="Times New Roman"/>
          <w:sz w:val="14"/>
          <w:szCs w:val="14"/>
          <w:color w:val="auto"/>
        </w:rPr>
      </w:pPr>
    </w:p>
    <w:p>
      <w:pPr>
        <w:ind w:left="440" w:hanging="171"/>
        <w:spacing w:after="0"/>
        <w:tabs>
          <w:tab w:leader="none" w:pos="44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Loan Account interest credited on such amount since the prior day; plus</w:t>
      </w:r>
    </w:p>
    <w:p>
      <w:pPr>
        <w:spacing w:after="0" w:line="96" w:lineRule="exact"/>
        <w:rPr>
          <w:rFonts w:ascii="Times New Roman" w:cs="Times New Roman" w:eastAsia="Times New Roman" w:hAnsi="Times New Roman"/>
          <w:sz w:val="14"/>
          <w:szCs w:val="14"/>
          <w:color w:val="auto"/>
        </w:rPr>
      </w:pPr>
    </w:p>
    <w:p>
      <w:pPr>
        <w:jc w:val="both"/>
        <w:ind w:left="440" w:right="2999" w:hanging="171"/>
        <w:spacing w:after="0" w:line="256" w:lineRule="auto"/>
        <w:tabs>
          <w:tab w:leader="none" w:pos="44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amount transferred from the Fixed Account, Holding Accounts, and Indexed Accounts to the Loan Account on that day because a new loan was taken and/or, if on a Policy Anniversary, to cover any unpaid Loan Interest; less</w:t>
      </w:r>
    </w:p>
    <w:p>
      <w:pPr>
        <w:spacing w:after="0" w:line="60" w:lineRule="exact"/>
        <w:rPr>
          <w:rFonts w:ascii="Times New Roman" w:cs="Times New Roman" w:eastAsia="Times New Roman" w:hAnsi="Times New Roman"/>
          <w:sz w:val="14"/>
          <w:szCs w:val="14"/>
          <w:color w:val="auto"/>
        </w:rPr>
      </w:pPr>
    </w:p>
    <w:p>
      <w:pPr>
        <w:ind w:left="440" w:right="3199" w:hanging="171"/>
        <w:spacing w:after="0" w:line="267" w:lineRule="auto"/>
        <w:tabs>
          <w:tab w:leader="none" w:pos="44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amount transferred to the Fixed Account or to a Holding Account from the Loan Account on that day.</w:t>
      </w:r>
    </w:p>
    <w:p>
      <w:pPr>
        <w:spacing w:after="0" w:line="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 xml:space="preserve">Indexed Account Cash Value. </w:t>
      </w:r>
      <w:r>
        <w:rPr>
          <w:rFonts w:ascii="Times New Roman" w:cs="Times New Roman" w:eastAsia="Times New Roman" w:hAnsi="Times New Roman"/>
          <w:sz w:val="14"/>
          <w:szCs w:val="14"/>
          <w:color w:val="auto"/>
        </w:rPr>
        <w:t>The Cash Value of each Indexed Account is as follows:</w:t>
      </w:r>
    </w:p>
    <w:p>
      <w:pPr>
        <w:spacing w:after="0" w:line="100" w:lineRule="exact"/>
        <w:rPr>
          <w:sz w:val="20"/>
          <w:szCs w:val="20"/>
          <w:color w:val="auto"/>
        </w:rPr>
      </w:pPr>
    </w:p>
    <w:p>
      <w:pPr>
        <w:ind w:left="440" w:right="3319" w:hanging="171"/>
        <w:spacing w:after="0" w:line="267" w:lineRule="auto"/>
        <w:tabs>
          <w:tab w:leader="none" w:pos="44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the Segment Start Date and Segment Maturity Date, it equals the Segment Value in that Indexed Account.</w:t>
      </w:r>
    </w:p>
    <w:p>
      <w:pPr>
        <w:spacing w:after="0" w:line="53" w:lineRule="exact"/>
        <w:rPr>
          <w:rFonts w:ascii="Times New Roman" w:cs="Times New Roman" w:eastAsia="Times New Roman" w:hAnsi="Times New Roman"/>
          <w:sz w:val="14"/>
          <w:szCs w:val="14"/>
          <w:color w:val="auto"/>
        </w:rPr>
      </w:pPr>
    </w:p>
    <w:p>
      <w:pPr>
        <w:ind w:left="440" w:hanging="171"/>
        <w:spacing w:after="0"/>
        <w:tabs>
          <w:tab w:leader="none" w:pos="44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any other day, it equals the Interim Segment Value in that Indexed Account.</w:t>
      </w:r>
    </w:p>
    <w:p>
      <w:pPr>
        <w:spacing w:after="0" w:line="92" w:lineRule="exact"/>
        <w:rPr>
          <w:sz w:val="20"/>
          <w:szCs w:val="20"/>
          <w:color w:val="auto"/>
        </w:rPr>
      </w:pPr>
    </w:p>
    <w:p>
      <w:pPr>
        <w:ind w:right="2939" w:firstLine="274"/>
        <w:spacing w:after="0" w:line="313" w:lineRule="auto"/>
        <w:rPr>
          <w:sz w:val="20"/>
          <w:szCs w:val="20"/>
          <w:color w:val="auto"/>
        </w:rPr>
      </w:pPr>
      <w:r>
        <w:rPr>
          <w:rFonts w:ascii="Times New Roman" w:cs="Times New Roman" w:eastAsia="Times New Roman" w:hAnsi="Times New Roman"/>
          <w:sz w:val="13"/>
          <w:szCs w:val="13"/>
          <w:b w:val="1"/>
          <w:bCs w:val="1"/>
          <w:color w:val="auto"/>
        </w:rPr>
        <w:t xml:space="preserve">Cash Value of Your Policy on and after Attained Age 121. </w:t>
      </w:r>
      <w:r>
        <w:rPr>
          <w:rFonts w:ascii="Times New Roman" w:cs="Times New Roman" w:eastAsia="Times New Roman" w:hAnsi="Times New Roman"/>
          <w:sz w:val="13"/>
          <w:szCs w:val="13"/>
          <w:color w:val="auto"/>
        </w:rPr>
        <w:t>If the Policy continued beyond Attained Age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121, the Cash Value on and after Attained Age 121 will be determined in the same way described above, except:</w:t>
      </w:r>
    </w:p>
    <w:p>
      <w:pPr>
        <w:spacing w:after="0" w:line="36" w:lineRule="exact"/>
        <w:rPr>
          <w:sz w:val="20"/>
          <w:szCs w:val="20"/>
          <w:color w:val="auto"/>
        </w:rPr>
      </w:pPr>
    </w:p>
    <w:p>
      <w:pPr>
        <w:ind w:left="440" w:hanging="171"/>
        <w:spacing w:after="0"/>
        <w:tabs>
          <w:tab w:leader="none" w:pos="44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will be no Annual Deductions taken; and</w:t>
      </w:r>
    </w:p>
    <w:p>
      <w:pPr>
        <w:spacing w:after="0" w:line="85" w:lineRule="exact"/>
        <w:rPr>
          <w:rFonts w:ascii="Times New Roman" w:cs="Times New Roman" w:eastAsia="Times New Roman" w:hAnsi="Times New Roman"/>
          <w:sz w:val="14"/>
          <w:szCs w:val="14"/>
          <w:color w:val="auto"/>
        </w:rPr>
      </w:pPr>
    </w:p>
    <w:p>
      <w:pPr>
        <w:ind w:left="440" w:right="2999" w:hanging="171"/>
        <w:spacing w:after="0" w:line="267" w:lineRule="auto"/>
        <w:tabs>
          <w:tab w:leader="none" w:pos="44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Premium payments cannot be made on or after Attained Age 121, except for payments required under a Grace Period.</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Minimum Cash Values and Guaranteed Cost of Insurance Rates</w:t>
      </w:r>
    </w:p>
    <w:p>
      <w:pPr>
        <w:spacing w:after="0" w:line="90" w:lineRule="exact"/>
        <w:rPr>
          <w:sz w:val="20"/>
          <w:szCs w:val="20"/>
          <w:color w:val="auto"/>
        </w:rPr>
      </w:pPr>
    </w:p>
    <w:p>
      <w:pPr>
        <w:jc w:val="both"/>
        <w:ind w:right="2939" w:firstLine="274"/>
        <w:spacing w:after="0" w:line="252" w:lineRule="auto"/>
        <w:rPr>
          <w:sz w:val="20"/>
          <w:szCs w:val="20"/>
          <w:color w:val="auto"/>
        </w:rPr>
      </w:pPr>
      <w:r>
        <w:rPr>
          <w:rFonts w:ascii="Times New Roman" w:cs="Times New Roman" w:eastAsia="Times New Roman" w:hAnsi="Times New Roman"/>
          <w:sz w:val="14"/>
          <w:szCs w:val="14"/>
          <w:color w:val="auto"/>
        </w:rPr>
        <w:t>The minimum cash values and guaranteed cost of insurance rates are based on the mortality table and the guaranteed interest rates. All values are at least equal to those required by the law of the state that governs the Policy. We have filed a detailed statement, if required, showing the method of calculating cash values and reserves with the insurance supervisory official of that state.</w:t>
      </w:r>
    </w:p>
    <w:p>
      <w:pPr>
        <w:spacing w:after="0" w:line="225"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4"/>
          <w:szCs w:val="14"/>
          <w:b w:val="1"/>
          <w:bCs w:val="1"/>
          <w:color w:val="auto"/>
        </w:rPr>
        <w:t>DEATH BENEFIT</w:t>
      </w:r>
    </w:p>
    <w:p>
      <w:pPr>
        <w:spacing w:after="0" w:line="90" w:lineRule="exact"/>
        <w:rPr>
          <w:sz w:val="20"/>
          <w:szCs w:val="20"/>
          <w:color w:val="auto"/>
        </w:rPr>
      </w:pPr>
    </w:p>
    <w:p>
      <w:pPr>
        <w:jc w:val="both"/>
        <w:ind w:right="2939" w:firstLine="274"/>
        <w:spacing w:after="0" w:line="278" w:lineRule="auto"/>
        <w:rPr>
          <w:sz w:val="20"/>
          <w:szCs w:val="20"/>
          <w:color w:val="auto"/>
        </w:rPr>
      </w:pPr>
      <w:r>
        <w:rPr>
          <w:rFonts w:ascii="Times New Roman" w:cs="Times New Roman" w:eastAsia="Times New Roman" w:hAnsi="Times New Roman"/>
          <w:sz w:val="13"/>
          <w:szCs w:val="13"/>
          <w:color w:val="auto"/>
        </w:rPr>
        <w:t>If the Insured dies while the Policy is in force, we will pay a death benefit to your beneficiary. The amount we pay to your beneficiary (or beneficiaries) is the Policy Proceeds, which may be decreased due to outstanding loans. (See “LOANS” and “GUARANTEED DISTRIBUTION RIDER”). The death benefit amount is the major component of the Policy Proceeds. We describe how we calculate the death benefit and the Policy Proceeds below.</w:t>
      </w:r>
    </w:p>
    <w:p>
      <w:pPr>
        <w:spacing w:after="0" w:line="48" w:lineRule="exact"/>
        <w:rPr>
          <w:sz w:val="20"/>
          <w:szCs w:val="20"/>
          <w:color w:val="auto"/>
        </w:rPr>
      </w:pPr>
    </w:p>
    <w:p>
      <w:pPr>
        <w:jc w:val="both"/>
        <w:ind w:right="2939" w:firstLine="274"/>
        <w:spacing w:after="0" w:line="256" w:lineRule="auto"/>
        <w:rPr>
          <w:sz w:val="20"/>
          <w:szCs w:val="20"/>
          <w:color w:val="auto"/>
        </w:rPr>
      </w:pPr>
      <w:r>
        <w:rPr>
          <w:rFonts w:ascii="Times New Roman" w:cs="Times New Roman" w:eastAsia="Times New Roman" w:hAnsi="Times New Roman"/>
          <w:sz w:val="14"/>
          <w:szCs w:val="14"/>
          <w:color w:val="auto"/>
        </w:rPr>
        <w:t>Our obligations are subject to all payments made and actions taken by us before our receipt of Notice of due proof of death. Any Policy Proceeds will be paid in accordance with applicable law or regulations governing death benefit payments. (See “General Death Benefit Provisions” below.)</w:t>
      </w:r>
    </w:p>
    <w:p>
      <w:pPr>
        <w:spacing w:after="0" w:line="5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Death Benefit</w:t>
      </w:r>
    </w:p>
    <w:p>
      <w:pPr>
        <w:spacing w:after="0" w:line="9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death benefit is equal to the greater of:</w:t>
      </w:r>
    </w:p>
    <w:p>
      <w:pPr>
        <w:spacing w:after="0" w:line="86" w:lineRule="exact"/>
        <w:rPr>
          <w:sz w:val="20"/>
          <w:szCs w:val="20"/>
          <w:color w:val="auto"/>
        </w:rPr>
      </w:pPr>
    </w:p>
    <w:p>
      <w:pPr>
        <w:ind w:left="440" w:hanging="171"/>
        <w:spacing w:after="0"/>
        <w:tabs>
          <w:tab w:leader="none" w:pos="44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Face Amount; or</w:t>
      </w:r>
    </w:p>
    <w:p>
      <w:pPr>
        <w:spacing w:after="0" w:line="85" w:lineRule="exact"/>
        <w:rPr>
          <w:rFonts w:ascii="Times New Roman" w:cs="Times New Roman" w:eastAsia="Times New Roman" w:hAnsi="Times New Roman"/>
          <w:sz w:val="14"/>
          <w:szCs w:val="14"/>
          <w:color w:val="auto"/>
        </w:rPr>
      </w:pPr>
    </w:p>
    <w:p>
      <w:pPr>
        <w:ind w:left="440" w:right="2999" w:hanging="171"/>
        <w:spacing w:after="0" w:line="267" w:lineRule="auto"/>
        <w:tabs>
          <w:tab w:leader="none" w:pos="44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Cash Value plus any Annual Deduction refund; times the applicable minimum death benefit factor (as identified below).</w:t>
      </w:r>
    </w:p>
    <w:p>
      <w:pPr>
        <w:spacing w:after="0" w:line="53" w:lineRule="exact"/>
        <w:rPr>
          <w:sz w:val="20"/>
          <w:szCs w:val="20"/>
          <w:color w:val="auto"/>
        </w:rPr>
      </w:pPr>
    </w:p>
    <w:p>
      <w:pPr>
        <w:jc w:val="both"/>
        <w:ind w:right="2939" w:firstLine="274"/>
        <w:spacing w:after="0" w:line="252" w:lineRule="auto"/>
        <w:rPr>
          <w:sz w:val="20"/>
          <w:szCs w:val="20"/>
          <w:color w:val="auto"/>
        </w:rPr>
      </w:pPr>
      <w:r>
        <w:rPr>
          <w:rFonts w:ascii="Times New Roman" w:cs="Times New Roman" w:eastAsia="Times New Roman" w:hAnsi="Times New Roman"/>
          <w:sz w:val="14"/>
          <w:szCs w:val="14"/>
          <w:color w:val="auto"/>
        </w:rPr>
        <w:t>The Annual Deduction refund is the amount of the Annual Deduction that may be returned to you if you Surrender the Policy or we calculate the death benefit and pay Policy Proceeds to your beneficiary. The Annual Deduction refund equals the Annual Deduction at the beginning of the Policy Year; times the number of days to the next Policy Anniversary divided by 365.</w:t>
      </w:r>
    </w:p>
    <w:p>
      <w:pPr>
        <w:spacing w:after="0" w:line="64" w:lineRule="exact"/>
        <w:rPr>
          <w:sz w:val="20"/>
          <w:szCs w:val="20"/>
          <w:color w:val="auto"/>
        </w:rPr>
      </w:pPr>
    </w:p>
    <w:p>
      <w:pPr>
        <w:jc w:val="both"/>
        <w:ind w:right="2939" w:firstLine="274"/>
        <w:spacing w:after="0" w:line="256" w:lineRule="auto"/>
        <w:rPr>
          <w:sz w:val="20"/>
          <w:szCs w:val="20"/>
          <w:color w:val="auto"/>
        </w:rPr>
      </w:pPr>
      <w:r>
        <w:rPr>
          <w:rFonts w:ascii="Times New Roman" w:cs="Times New Roman" w:eastAsia="Times New Roman" w:hAnsi="Times New Roman"/>
          <w:sz w:val="14"/>
          <w:szCs w:val="14"/>
          <w:color w:val="auto"/>
        </w:rPr>
        <w:t>In your Policy, we provide a table of minimum death benefit factors that are set by the Code and are based on age (at the time of the calculation) and smoking status and sex (if not unisex) of the Insured. The applicable minimum death benefit factor is used in the cash value accumulation test described below.</w:t>
      </w:r>
    </w:p>
    <w:p>
      <w:pPr>
        <w:spacing w:after="0" w:line="205"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4"/>
          <w:szCs w:val="14"/>
          <w:color w:val="auto"/>
        </w:rPr>
        <w:t>49</w:t>
      </w:r>
    </w:p>
    <w:p>
      <w:pPr>
        <w:sectPr>
          <w:pgSz w:w="11900" w:h="16838" w:orient="portrait"/>
          <w:cols w:equalWidth="0" w:num="1">
            <w:col w:w="9219"/>
          </w:cols>
          <w:pgMar w:left="1240" w:top="1083" w:right="1440" w:bottom="1440" w:gutter="0" w:footer="0" w:header="0"/>
        </w:sectPr>
      </w:pPr>
    </w:p>
    <w:bookmarkStart w:id="52" w:name="page53"/>
    <w:bookmarkEnd w:id="52"/>
    <w:p>
      <w:pPr>
        <w:jc w:val="both"/>
        <w:ind w:right="2939" w:firstLine="274"/>
        <w:spacing w:after="0" w:line="259" w:lineRule="auto"/>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422275</wp:posOffset>
            </wp:positionV>
            <wp:extent cx="719010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90105" cy="38735"/>
                    </a:xfrm>
                    <a:prstGeom prst="rect">
                      <a:avLst/>
                    </a:prstGeom>
                    <a:noFill/>
                  </pic:spPr>
                </pic:pic>
              </a:graphicData>
            </a:graphic>
          </wp:anchor>
        </w:drawing>
        <w:t xml:space="preserve">Cash Value Accumulation Test. </w:t>
      </w:r>
      <w:r>
        <w:rPr>
          <w:rFonts w:ascii="Times New Roman" w:cs="Times New Roman" w:eastAsia="Times New Roman" w:hAnsi="Times New Roman"/>
          <w:sz w:val="14"/>
          <w:szCs w:val="14"/>
          <w:color w:val="auto"/>
        </w:rPr>
        <w:t>The Code requires the Policy’s death benefit to be not less than an amount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defined in the Code. As a result, if the Cash Value grows to certain levels, the death benefit increases to satisfy tax law requirements.</w:t>
      </w:r>
    </w:p>
    <w:p>
      <w:pPr>
        <w:spacing w:after="0" w:line="59" w:lineRule="exact"/>
        <w:rPr>
          <w:sz w:val="20"/>
          <w:szCs w:val="20"/>
          <w:color w:val="auto"/>
        </w:rPr>
      </w:pPr>
    </w:p>
    <w:p>
      <w:pPr>
        <w:jc w:val="both"/>
        <w:ind w:right="2939" w:firstLine="274"/>
        <w:spacing w:after="0" w:line="251" w:lineRule="auto"/>
        <w:rPr>
          <w:sz w:val="20"/>
          <w:szCs w:val="20"/>
          <w:color w:val="auto"/>
        </w:rPr>
      </w:pPr>
      <w:r>
        <w:rPr>
          <w:rFonts w:ascii="Times New Roman" w:cs="Times New Roman" w:eastAsia="Times New Roman" w:hAnsi="Times New Roman"/>
          <w:sz w:val="14"/>
          <w:szCs w:val="14"/>
          <w:color w:val="auto"/>
        </w:rPr>
        <w:t>For your Policy, the cash value accumulation test will apply to the death benefit. Under the cash value accumulation test, the death benefit will not be less than the Cash Value times the applicable minimum death benefit factor set by the Code as described above. We will apply the applicable minimum death benefit factor based on the Attained Age of the Insured (as provided in the table in your Policy) at the time of the calculation. Sample minimum death benefit factors appear in Appendix E.</w:t>
      </w:r>
    </w:p>
    <w:p>
      <w:pPr>
        <w:spacing w:after="0" w:line="59" w:lineRule="exact"/>
        <w:rPr>
          <w:sz w:val="20"/>
          <w:szCs w:val="20"/>
          <w:color w:val="auto"/>
        </w:rPr>
      </w:pPr>
    </w:p>
    <w:p>
      <w:pPr>
        <w:jc w:val="both"/>
        <w:ind w:right="2939" w:firstLine="274"/>
        <w:spacing w:after="0" w:line="259" w:lineRule="auto"/>
        <w:rPr>
          <w:sz w:val="20"/>
          <w:szCs w:val="20"/>
          <w:color w:val="auto"/>
        </w:rPr>
      </w:pPr>
      <w:r>
        <w:rPr>
          <w:rFonts w:ascii="Times New Roman" w:cs="Times New Roman" w:eastAsia="Times New Roman" w:hAnsi="Times New Roman"/>
          <w:sz w:val="14"/>
          <w:szCs w:val="14"/>
          <w:b w:val="1"/>
          <w:bCs w:val="1"/>
          <w:color w:val="auto"/>
        </w:rPr>
        <w:t xml:space="preserve">Policy Proceeds. </w:t>
      </w:r>
      <w:r>
        <w:rPr>
          <w:rFonts w:ascii="Times New Roman" w:cs="Times New Roman" w:eastAsia="Times New Roman" w:hAnsi="Times New Roman"/>
          <w:sz w:val="14"/>
          <w:szCs w:val="14"/>
          <w:color w:val="auto"/>
        </w:rPr>
        <w:t>We will pay the Policy Proceeds to the beneficiary, or to the person who is legally entitled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to them, upon receipt of due proof of the Insured’s death. Payment will be made in a lump sum. If the Insured dies while this Policy is in force, the Policy Proceeds are equal to:</w:t>
      </w:r>
    </w:p>
    <w:p>
      <w:pPr>
        <w:spacing w:after="0" w:line="59" w:lineRule="exact"/>
        <w:rPr>
          <w:sz w:val="20"/>
          <w:szCs w:val="20"/>
          <w:color w:val="auto"/>
        </w:rPr>
      </w:pPr>
    </w:p>
    <w:p>
      <w:pPr>
        <w:ind w:left="440" w:hanging="171"/>
        <w:spacing w:after="0"/>
        <w:tabs>
          <w:tab w:leader="none" w:pos="44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death benefit as of the date of the Insured’s death; plus</w:t>
      </w:r>
    </w:p>
    <w:p>
      <w:pPr>
        <w:spacing w:after="0" w:line="85" w:lineRule="exact"/>
        <w:rPr>
          <w:rFonts w:ascii="Times New Roman" w:cs="Times New Roman" w:eastAsia="Times New Roman" w:hAnsi="Times New Roman"/>
          <w:sz w:val="14"/>
          <w:szCs w:val="14"/>
          <w:color w:val="auto"/>
        </w:rPr>
      </w:pPr>
    </w:p>
    <w:p>
      <w:pPr>
        <w:ind w:left="440" w:hanging="171"/>
        <w:spacing w:after="0"/>
        <w:tabs>
          <w:tab w:leader="none" w:pos="44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Annual Deduction refund; plus</w:t>
      </w:r>
    </w:p>
    <w:p>
      <w:pPr>
        <w:spacing w:after="0" w:line="85" w:lineRule="exact"/>
        <w:rPr>
          <w:rFonts w:ascii="Times New Roman" w:cs="Times New Roman" w:eastAsia="Times New Roman" w:hAnsi="Times New Roman"/>
          <w:sz w:val="14"/>
          <w:szCs w:val="14"/>
          <w:color w:val="auto"/>
        </w:rPr>
      </w:pPr>
    </w:p>
    <w:p>
      <w:pPr>
        <w:ind w:left="440" w:hanging="171"/>
        <w:spacing w:after="0"/>
        <w:tabs>
          <w:tab w:leader="none" w:pos="44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premium received after the date of the Insured’s death; less</w:t>
      </w:r>
    </w:p>
    <w:p>
      <w:pPr>
        <w:spacing w:after="0" w:line="85" w:lineRule="exact"/>
        <w:rPr>
          <w:rFonts w:ascii="Times New Roman" w:cs="Times New Roman" w:eastAsia="Times New Roman" w:hAnsi="Times New Roman"/>
          <w:sz w:val="14"/>
          <w:szCs w:val="14"/>
          <w:color w:val="auto"/>
        </w:rPr>
      </w:pPr>
    </w:p>
    <w:p>
      <w:pPr>
        <w:ind w:left="440" w:hanging="171"/>
        <w:spacing w:after="0"/>
        <w:tabs>
          <w:tab w:leader="none" w:pos="44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unpaid Annual Deduction due under a Grace Period as of the date of the Insured’s death; less</w:t>
      </w:r>
    </w:p>
    <w:p>
      <w:pPr>
        <w:spacing w:after="0" w:line="85" w:lineRule="exact"/>
        <w:rPr>
          <w:rFonts w:ascii="Times New Roman" w:cs="Times New Roman" w:eastAsia="Times New Roman" w:hAnsi="Times New Roman"/>
          <w:sz w:val="14"/>
          <w:szCs w:val="14"/>
          <w:color w:val="auto"/>
        </w:rPr>
      </w:pPr>
    </w:p>
    <w:p>
      <w:pPr>
        <w:ind w:left="440" w:hanging="171"/>
        <w:spacing w:after="0"/>
        <w:tabs>
          <w:tab w:leader="none" w:pos="44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Policy Loan Balance.</w:t>
      </w:r>
    </w:p>
    <w:p>
      <w:pPr>
        <w:spacing w:after="0" w:line="82" w:lineRule="exact"/>
        <w:rPr>
          <w:sz w:val="20"/>
          <w:szCs w:val="20"/>
          <w:color w:val="auto"/>
        </w:rPr>
      </w:pPr>
    </w:p>
    <w:p>
      <w:pPr>
        <w:jc w:val="both"/>
        <w:ind w:right="2939" w:firstLine="274"/>
        <w:spacing w:after="0" w:line="252" w:lineRule="auto"/>
        <w:rPr>
          <w:sz w:val="20"/>
          <w:szCs w:val="20"/>
          <w:color w:val="auto"/>
        </w:rPr>
      </w:pPr>
      <w:r>
        <w:rPr>
          <w:rFonts w:ascii="Times New Roman" w:cs="Times New Roman" w:eastAsia="Times New Roman" w:hAnsi="Times New Roman"/>
          <w:sz w:val="14"/>
          <w:szCs w:val="14"/>
          <w:b w:val="1"/>
          <w:bCs w:val="1"/>
          <w:color w:val="auto"/>
        </w:rPr>
        <w:t>Note: If the Insured dies after the Distribution Start Date and while the GDR remains in force, the Policy Proceeds calculation will be different than the Policy Proceeds calculation above. In addition, the GDR guarantees a minimum amount of Policy Proceeds ($10,000). For a description of how we calculate the Policy Proceeds under the GDR, see “Impact of Distribution Payments on Your Policy” under “GUARANTEED DISTRIBUTION RIDER.”</w:t>
      </w:r>
    </w:p>
    <w:p>
      <w:pPr>
        <w:spacing w:after="0" w:line="60" w:lineRule="exact"/>
        <w:rPr>
          <w:sz w:val="20"/>
          <w:szCs w:val="20"/>
          <w:color w:val="auto"/>
        </w:rPr>
      </w:pPr>
    </w:p>
    <w:p>
      <w:pPr>
        <w:jc w:val="both"/>
        <w:ind w:right="2939" w:firstLine="274"/>
        <w:spacing w:after="0" w:line="259" w:lineRule="auto"/>
        <w:rPr>
          <w:sz w:val="20"/>
          <w:szCs w:val="20"/>
          <w:color w:val="auto"/>
        </w:rPr>
      </w:pPr>
      <w:r>
        <w:rPr>
          <w:rFonts w:ascii="Times New Roman" w:cs="Times New Roman" w:eastAsia="Times New Roman" w:hAnsi="Times New Roman"/>
          <w:sz w:val="14"/>
          <w:szCs w:val="14"/>
          <w:b w:val="1"/>
          <w:bCs w:val="1"/>
          <w:color w:val="auto"/>
        </w:rPr>
        <w:t xml:space="preserve">Age 121. </w:t>
      </w:r>
      <w:r>
        <w:rPr>
          <w:rFonts w:ascii="Times New Roman" w:cs="Times New Roman" w:eastAsia="Times New Roman" w:hAnsi="Times New Roman"/>
          <w:sz w:val="14"/>
          <w:szCs w:val="14"/>
          <w:color w:val="auto"/>
        </w:rPr>
        <w:t>On or after Attained Age 121, the death benefit will be calculated using the applicable minimum</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death benefit factor for Attained Age 121. The tax consequences of keeping the Policy in force beyond the Insured’s Attained Age 121 are unclear.</w:t>
      </w:r>
    </w:p>
    <w:p>
      <w:pPr>
        <w:spacing w:after="0" w:line="55" w:lineRule="exact"/>
        <w:rPr>
          <w:sz w:val="20"/>
          <w:szCs w:val="20"/>
          <w:color w:val="auto"/>
        </w:rPr>
      </w:pPr>
    </w:p>
    <w:p>
      <w:pPr>
        <w:jc w:val="both"/>
        <w:ind w:right="2939" w:firstLine="274"/>
        <w:spacing w:after="0" w:line="272" w:lineRule="auto"/>
        <w:rPr>
          <w:sz w:val="20"/>
          <w:szCs w:val="20"/>
          <w:color w:val="auto"/>
        </w:rPr>
      </w:pPr>
      <w:r>
        <w:rPr>
          <w:rFonts w:ascii="Times New Roman" w:cs="Times New Roman" w:eastAsia="Times New Roman" w:hAnsi="Times New Roman"/>
          <w:sz w:val="13"/>
          <w:szCs w:val="13"/>
          <w:b w:val="1"/>
          <w:bCs w:val="1"/>
          <w:color w:val="auto"/>
        </w:rPr>
        <w:t xml:space="preserve">Suicide Exclusion. </w:t>
      </w:r>
      <w:r>
        <w:rPr>
          <w:rFonts w:ascii="Times New Roman" w:cs="Times New Roman" w:eastAsia="Times New Roman" w:hAnsi="Times New Roman"/>
          <w:sz w:val="13"/>
          <w:szCs w:val="13"/>
          <w:color w:val="auto"/>
        </w:rPr>
        <w:t>If the Insured dies by suicide, while sane or insane, within two years from the Policy</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Issue Date, the amount payable will be limited to: the amount of premiums paid (without interest); less any Policy Loan Balance on the date of death. If the Insured dies by suicide, while sane or insane, within two years from the date the Policy was reinstated, the amount payable will be limited to: the amount paid to reinstate the Policy; less any Policy Loan Balance on the date of death. If the Policy was issued as the result of the exercise of an option given in another policy and proof of insurability was not required, the suicide period applicable to the coverage resulting from the option exercise will end at the same time as it would have under the original policy.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General Death Benefit Provisions</w:t>
      </w:r>
    </w:p>
    <w:p>
      <w:pPr>
        <w:spacing w:after="0" w:line="90" w:lineRule="exact"/>
        <w:rPr>
          <w:sz w:val="20"/>
          <w:szCs w:val="20"/>
          <w:color w:val="auto"/>
        </w:rPr>
      </w:pPr>
    </w:p>
    <w:p>
      <w:pPr>
        <w:jc w:val="both"/>
        <w:ind w:right="2939" w:firstLine="274"/>
        <w:spacing w:after="0" w:line="252" w:lineRule="auto"/>
        <w:rPr>
          <w:sz w:val="20"/>
          <w:szCs w:val="20"/>
          <w:color w:val="auto"/>
        </w:rPr>
      </w:pPr>
      <w:r>
        <w:rPr>
          <w:rFonts w:ascii="Times New Roman" w:cs="Times New Roman" w:eastAsia="Times New Roman" w:hAnsi="Times New Roman"/>
          <w:sz w:val="14"/>
          <w:szCs w:val="14"/>
          <w:color w:val="auto"/>
        </w:rPr>
        <w:t>If we are presented with notification of your death before any requested transaction is completed, we will cancel the request. The death benefit and Policy Proceeds will be determined when we receive due proof of death. We will pay interest on any delayed death benefit payments in accordance with the laws and regulations in effect under the applicable state law.</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Example 5—Calculating Your Death Benefit</w:t>
      </w:r>
    </w:p>
    <w:p>
      <w:pPr>
        <w:spacing w:after="0" w:line="90" w:lineRule="exact"/>
        <w:rPr>
          <w:sz w:val="20"/>
          <w:szCs w:val="20"/>
          <w:color w:val="auto"/>
        </w:rPr>
      </w:pPr>
    </w:p>
    <w:p>
      <w:pPr>
        <w:jc w:val="both"/>
        <w:ind w:right="2939" w:firstLine="274"/>
        <w:spacing w:after="0" w:line="272" w:lineRule="auto"/>
        <w:rPr>
          <w:sz w:val="20"/>
          <w:szCs w:val="20"/>
          <w:color w:val="auto"/>
        </w:rPr>
      </w:pPr>
      <w:r>
        <w:rPr>
          <w:rFonts w:ascii="Times New Roman" w:cs="Times New Roman" w:eastAsia="Times New Roman" w:hAnsi="Times New Roman"/>
          <w:sz w:val="13"/>
          <w:szCs w:val="13"/>
          <w:color w:val="auto"/>
        </w:rPr>
        <w:t>Example 5 is intended to show how the death benefit is calculated. Assume the Policy’s Face Amount is $100,000 and Owner 1 with an Attained Age of 50 has allocated all Cash Value to an Indexed Account with a 1-Year Segment Term / Buffer 10 / S&amp;P 500® Index with a Cap Rate of 10%. Her Segment Value on the Segment Start Date is $51,000 (before deducting the Annual Deduction). For purposes of this example, assume the Death Benefit is being calculated exactly halfway through the Segment Term and that there have been no other transactions that triggered an Interim Segment Value as of the date the Interim Segment Value is calculated.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4"/>
          <w:szCs w:val="14"/>
          <w:color w:val="auto"/>
        </w:rPr>
        <w:t>50</w:t>
      </w:r>
    </w:p>
    <w:p>
      <w:pPr>
        <w:sectPr>
          <w:pgSz w:w="11900" w:h="16838" w:orient="portrait"/>
          <w:cols w:equalWidth="0" w:num="1">
            <w:col w:w="9219"/>
          </w:cols>
          <w:pgMar w:left="1240" w:top="1079" w:right="1440" w:bottom="1440" w:gutter="0" w:footer="0" w:header="0"/>
        </w:sectPr>
      </w:pPr>
    </w:p>
    <w:bookmarkStart w:id="53" w:name="page54"/>
    <w:bookmarkEnd w:id="53"/>
    <w:p>
      <w:pPr>
        <w:ind w:left="5"/>
        <w:spacing w:after="0"/>
        <w:rPr>
          <w:sz w:val="20"/>
          <w:szCs w:val="20"/>
          <w:color w:val="auto"/>
        </w:rPr>
      </w:pPr>
      <w:r>
        <w:rPr>
          <w:rFonts w:ascii="Times New Roman" w:cs="Times New Roman" w:eastAsia="Times New Roman" w:hAnsi="Times New Roman"/>
          <w:sz w:val="14"/>
          <w:szCs w:val="14"/>
          <w:u w:val="single" w:color="auto"/>
          <w:color w:val="auto"/>
        </w:rPr>
        <w:drawing>
          <wp:anchor simplePos="0" relativeHeight="251657728" behindDoc="1" locked="0" layoutInCell="0" allowOverlap="1">
            <wp:simplePos x="0" y="0"/>
            <wp:positionH relativeFrom="page">
              <wp:posOffset>179070</wp:posOffset>
            </wp:positionH>
            <wp:positionV relativeFrom="page">
              <wp:posOffset>422275</wp:posOffset>
            </wp:positionV>
            <wp:extent cx="719010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90105" cy="38735"/>
                    </a:xfrm>
                    <a:prstGeom prst="rect">
                      <a:avLst/>
                    </a:prstGeom>
                    <a:noFill/>
                  </pic:spPr>
                </pic:pic>
              </a:graphicData>
            </a:graphic>
          </wp:anchor>
        </w:drawing>
        <w:t>Example 5—Calculating your Death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4003675" cy="269049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4003675" cy="2690495"/>
                    </a:xfrm>
                    <a:prstGeom prst="rect">
                      <a:avLst/>
                    </a:prstGeom>
                    <a:noFill/>
                  </pic:spPr>
                </pic:pic>
              </a:graphicData>
            </a:graphic>
          </wp:anchor>
        </w:drawing>
      </w:r>
    </w:p>
    <w:p>
      <w:pPr>
        <w:spacing w:after="0" w:line="62" w:lineRule="exact"/>
        <w:rPr>
          <w:sz w:val="20"/>
          <w:szCs w:val="20"/>
          <w:color w:val="auto"/>
        </w:rPr>
      </w:pPr>
    </w:p>
    <w:p>
      <w:pPr>
        <w:ind w:left="85"/>
        <w:spacing w:after="0"/>
        <w:rPr>
          <w:sz w:val="20"/>
          <w:szCs w:val="20"/>
          <w:color w:val="auto"/>
        </w:rPr>
      </w:pPr>
      <w:r>
        <w:rPr>
          <w:rFonts w:ascii="Times New Roman" w:cs="Times New Roman" w:eastAsia="Times New Roman" w:hAnsi="Times New Roman"/>
          <w:sz w:val="14"/>
          <w:szCs w:val="14"/>
          <w:b w:val="1"/>
          <w:bCs w:val="1"/>
          <w:color w:val="auto"/>
        </w:rPr>
        <w:t>Segment Start Date</w:t>
      </w:r>
    </w:p>
    <w:p>
      <w:pPr>
        <w:spacing w:after="0" w:line="21" w:lineRule="exact"/>
        <w:rPr>
          <w:sz w:val="20"/>
          <w:szCs w:val="20"/>
          <w:color w:val="auto"/>
        </w:rPr>
      </w:pPr>
    </w:p>
    <w:tbl>
      <w:tblPr>
        <w:tblLayout w:type="fixed"/>
        <w:tblInd w:w="5" w:type="dxa"/>
        <w:tblCellMar>
          <w:top w:w="0" w:type="dxa"/>
          <w:left w:w="0" w:type="dxa"/>
          <w:bottom w:w="0" w:type="dxa"/>
          <w:right w:w="0" w:type="dxa"/>
        </w:tblCellMar>
      </w:tblPr>
      <w:tr>
        <w:trPr>
          <w:trHeight w:val="226"/>
        </w:trPr>
        <w:tc>
          <w:tcPr>
            <w:tcW w:w="4900" w:type="dxa"/>
            <w:vAlign w:val="bottom"/>
            <w:tcBorders>
              <w:top w:val="single" w:sz="8" w:color="auto"/>
              <w:bottom w:val="single" w:sz="8" w:color="auto"/>
              <w:right w:val="single" w:sz="8" w:color="auto"/>
            </w:tcBorders>
            <w:gridSpan w:val="2"/>
            <w:shd w:val="clear" w:color="auto" w:fill="F0FFFF"/>
          </w:tcPr>
          <w:p>
            <w:pPr>
              <w:ind w:left="220"/>
              <w:spacing w:after="0"/>
              <w:rPr>
                <w:sz w:val="20"/>
                <w:szCs w:val="20"/>
                <w:color w:val="auto"/>
              </w:rPr>
            </w:pPr>
            <w:r>
              <w:rPr>
                <w:rFonts w:ascii="Times New Roman" w:cs="Times New Roman" w:eastAsia="Times New Roman" w:hAnsi="Times New Roman"/>
                <w:sz w:val="14"/>
                <w:szCs w:val="14"/>
                <w:color w:val="auto"/>
              </w:rPr>
              <w:t>Segment Value (before deducting the Annual Deduction)</w:t>
            </w:r>
            <w:r>
              <w:rPr>
                <w:rFonts w:ascii="Times New Roman" w:cs="Times New Roman" w:eastAsia="Times New Roman" w:hAnsi="Times New Roman"/>
                <w:sz w:val="17"/>
                <w:szCs w:val="17"/>
                <w:color w:val="auto"/>
                <w:vertAlign w:val="superscript"/>
              </w:rPr>
              <w:t>(1)</w:t>
            </w:r>
          </w:p>
        </w:tc>
        <w:tc>
          <w:tcPr>
            <w:tcW w:w="1380" w:type="dxa"/>
            <w:vAlign w:val="bottom"/>
            <w:tcBorders>
              <w:top w:val="single" w:sz="8" w:color="auto"/>
              <w:bottom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color w:val="auto"/>
              </w:rPr>
              <w:t>$51,000</w:t>
            </w:r>
          </w:p>
        </w:tc>
        <w:tc>
          <w:tcPr>
            <w:tcW w:w="20" w:type="dxa"/>
            <w:vAlign w:val="bottom"/>
            <w:tcBorders>
              <w:top w:val="single" w:sz="8" w:color="auto"/>
              <w:bottom w:val="single" w:sz="8" w:color="auto"/>
            </w:tcBorders>
          </w:tcPr>
          <w:p>
            <w:pPr>
              <w:spacing w:after="0"/>
              <w:rPr>
                <w:sz w:val="19"/>
                <w:szCs w:val="19"/>
                <w:color w:val="auto"/>
              </w:rPr>
            </w:pPr>
          </w:p>
        </w:tc>
      </w:tr>
      <w:tr>
        <w:trPr>
          <w:trHeight w:val="206"/>
        </w:trPr>
        <w:tc>
          <w:tcPr>
            <w:tcW w:w="4900" w:type="dxa"/>
            <w:vAlign w:val="bottom"/>
            <w:tcBorders>
              <w:bottom w:val="single" w:sz="8" w:color="auto"/>
              <w:right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color w:val="auto"/>
              </w:rPr>
              <w:t>Segment Value (after deducting the Annual Deduction)</w:t>
            </w:r>
            <w:r>
              <w:rPr>
                <w:rFonts w:ascii="Times New Roman" w:cs="Times New Roman" w:eastAsia="Times New Roman" w:hAnsi="Times New Roman"/>
                <w:sz w:val="17"/>
                <w:szCs w:val="17"/>
                <w:color w:val="auto"/>
                <w:vertAlign w:val="superscript"/>
              </w:rPr>
              <w:t>(1)</w:t>
            </w: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$50,000</w:t>
            </w:r>
          </w:p>
        </w:tc>
        <w:tc>
          <w:tcPr>
            <w:tcW w:w="20" w:type="dxa"/>
            <w:vAlign w:val="bottom"/>
            <w:tcBorders>
              <w:bottom w:val="single" w:sz="8" w:color="auto"/>
            </w:tcBorders>
          </w:tcPr>
          <w:p>
            <w:pPr>
              <w:spacing w:after="0"/>
              <w:rPr>
                <w:sz w:val="17"/>
                <w:szCs w:val="17"/>
                <w:color w:val="auto"/>
              </w:rPr>
            </w:pPr>
          </w:p>
        </w:tc>
      </w:tr>
      <w:tr>
        <w:trPr>
          <w:trHeight w:val="196"/>
        </w:trPr>
        <w:tc>
          <w:tcPr>
            <w:tcW w:w="4900" w:type="dxa"/>
            <w:vAlign w:val="bottom"/>
            <w:tcBorders>
              <w:bottom w:val="single" w:sz="8" w:color="F0FFFF"/>
              <w:right w:val="single" w:sz="8" w:color="auto"/>
            </w:tcBorders>
            <w:gridSpan w:val="2"/>
            <w:shd w:val="clear" w:color="auto" w:fill="F0FFFF"/>
          </w:tcPr>
          <w:p>
            <w:pPr>
              <w:ind w:left="220"/>
              <w:spacing w:after="0"/>
              <w:rPr>
                <w:sz w:val="20"/>
                <w:szCs w:val="20"/>
                <w:color w:val="auto"/>
              </w:rPr>
            </w:pPr>
            <w:r>
              <w:rPr>
                <w:rFonts w:ascii="Times New Roman" w:cs="Times New Roman" w:eastAsia="Times New Roman" w:hAnsi="Times New Roman"/>
                <w:sz w:val="14"/>
                <w:szCs w:val="14"/>
                <w:color w:val="auto"/>
              </w:rPr>
              <w:t>Buffer Rate</w:t>
            </w:r>
          </w:p>
        </w:tc>
        <w:tc>
          <w:tcPr>
            <w:tcW w:w="1380" w:type="dxa"/>
            <w:vAlign w:val="bottom"/>
            <w:tcBorders>
              <w:bottom w:val="single" w:sz="8" w:color="F0FFFF"/>
            </w:tcBorders>
            <w:shd w:val="clear" w:color="auto" w:fill="F0FFFF"/>
          </w:tcPr>
          <w:p>
            <w:pPr>
              <w:ind w:left="420"/>
              <w:spacing w:after="0"/>
              <w:rPr>
                <w:sz w:val="20"/>
                <w:szCs w:val="20"/>
                <w:color w:val="auto"/>
              </w:rPr>
            </w:pPr>
            <w:r>
              <w:rPr>
                <w:rFonts w:ascii="Times New Roman" w:cs="Times New Roman" w:eastAsia="Times New Roman" w:hAnsi="Times New Roman"/>
                <w:sz w:val="14"/>
                <w:szCs w:val="14"/>
                <w:color w:val="auto"/>
              </w:rPr>
              <w:t>Buffer 10</w:t>
            </w:r>
          </w:p>
        </w:tc>
        <w:tc>
          <w:tcPr>
            <w:tcW w:w="20" w:type="dxa"/>
            <w:vAlign w:val="bottom"/>
          </w:tcPr>
          <w:p>
            <w:pPr>
              <w:spacing w:after="0"/>
              <w:rPr>
                <w:sz w:val="17"/>
                <w:szCs w:val="17"/>
                <w:color w:val="auto"/>
              </w:rPr>
            </w:pPr>
          </w:p>
        </w:tc>
      </w:tr>
      <w:tr>
        <w:trPr>
          <w:trHeight w:val="174"/>
        </w:trPr>
        <w:tc>
          <w:tcPr>
            <w:tcW w:w="4900" w:type="dxa"/>
            <w:vAlign w:val="bottom"/>
            <w:tcBorders>
              <w:top w:val="single" w:sz="8" w:color="auto"/>
              <w:right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color w:val="auto"/>
              </w:rPr>
              <w:t>Cap Rate</w:t>
            </w:r>
          </w:p>
        </w:tc>
        <w:tc>
          <w:tcPr>
            <w:tcW w:w="1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10%</w:t>
            </w:r>
          </w:p>
        </w:tc>
        <w:tc>
          <w:tcPr>
            <w:tcW w:w="20" w:type="dxa"/>
            <w:vAlign w:val="bottom"/>
            <w:tcBorders>
              <w:top w:val="single" w:sz="8" w:color="auto"/>
            </w:tcBorders>
          </w:tcPr>
          <w:p>
            <w:pPr>
              <w:spacing w:after="0"/>
              <w:rPr>
                <w:sz w:val="15"/>
                <w:szCs w:val="15"/>
                <w:color w:val="auto"/>
              </w:rPr>
            </w:pPr>
          </w:p>
        </w:tc>
      </w:tr>
      <w:tr>
        <w:trPr>
          <w:trHeight w:val="22"/>
        </w:trPr>
        <w:tc>
          <w:tcPr>
            <w:tcW w:w="840" w:type="dxa"/>
            <w:vAlign w:val="bottom"/>
            <w:tcBorders>
              <w:bottom w:val="single" w:sz="8" w:color="auto"/>
            </w:tcBorders>
          </w:tcPr>
          <w:p>
            <w:pPr>
              <w:spacing w:after="0" w:line="20" w:lineRule="exact"/>
              <w:rPr>
                <w:sz w:val="1"/>
                <w:szCs w:val="1"/>
                <w:color w:val="auto"/>
              </w:rPr>
            </w:pPr>
          </w:p>
        </w:tc>
        <w:tc>
          <w:tcPr>
            <w:tcW w:w="4060" w:type="dxa"/>
            <w:vAlign w:val="bottom"/>
            <w:tcBorders>
              <w:bottom w:val="single" w:sz="8" w:color="auto"/>
              <w:right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196"/>
        </w:trPr>
        <w:tc>
          <w:tcPr>
            <w:tcW w:w="4900" w:type="dxa"/>
            <w:vAlign w:val="bottom"/>
            <w:tcBorders>
              <w:bottom w:val="single" w:sz="8" w:color="F0FFFF"/>
              <w:right w:val="single" w:sz="8" w:color="auto"/>
            </w:tcBorders>
            <w:gridSpan w:val="2"/>
            <w:shd w:val="clear" w:color="auto" w:fill="F0FFFF"/>
          </w:tcPr>
          <w:p>
            <w:pPr>
              <w:ind w:left="220"/>
              <w:spacing w:after="0"/>
              <w:rPr>
                <w:sz w:val="20"/>
                <w:szCs w:val="20"/>
                <w:color w:val="auto"/>
              </w:rPr>
            </w:pPr>
            <w:r>
              <w:rPr>
                <w:rFonts w:ascii="Times New Roman" w:cs="Times New Roman" w:eastAsia="Times New Roman" w:hAnsi="Times New Roman"/>
                <w:sz w:val="14"/>
                <w:szCs w:val="14"/>
                <w:color w:val="auto"/>
              </w:rPr>
              <w:t>Closing Value of the Index</w:t>
            </w:r>
          </w:p>
        </w:tc>
        <w:tc>
          <w:tcPr>
            <w:tcW w:w="1380" w:type="dxa"/>
            <w:vAlign w:val="bottom"/>
            <w:tcBorders>
              <w:bottom w:val="single" w:sz="8" w:color="F0FFFF"/>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color w:val="auto"/>
              </w:rPr>
              <w:t>500</w:t>
            </w:r>
          </w:p>
        </w:tc>
        <w:tc>
          <w:tcPr>
            <w:tcW w:w="20" w:type="dxa"/>
            <w:vAlign w:val="bottom"/>
          </w:tcPr>
          <w:p>
            <w:pPr>
              <w:spacing w:after="0"/>
              <w:rPr>
                <w:sz w:val="17"/>
                <w:szCs w:val="17"/>
                <w:color w:val="auto"/>
              </w:rPr>
            </w:pPr>
          </w:p>
        </w:tc>
      </w:tr>
      <w:tr>
        <w:trPr>
          <w:trHeight w:val="174"/>
        </w:trPr>
        <w:tc>
          <w:tcPr>
            <w:tcW w:w="490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Interim Segment Value Calculation Halfway Through Term</w:t>
            </w:r>
          </w:p>
        </w:tc>
        <w:tc>
          <w:tcPr>
            <w:tcW w:w="13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r>
      <w:tr>
        <w:trPr>
          <w:trHeight w:val="22"/>
        </w:trPr>
        <w:tc>
          <w:tcPr>
            <w:tcW w:w="840" w:type="dxa"/>
            <w:vAlign w:val="bottom"/>
            <w:tcBorders>
              <w:bottom w:val="single" w:sz="8" w:color="auto"/>
            </w:tcBorders>
          </w:tcPr>
          <w:p>
            <w:pPr>
              <w:spacing w:after="0" w:line="20" w:lineRule="exact"/>
              <w:rPr>
                <w:sz w:val="1"/>
                <w:szCs w:val="1"/>
                <w:color w:val="auto"/>
              </w:rPr>
            </w:pPr>
          </w:p>
        </w:tc>
        <w:tc>
          <w:tcPr>
            <w:tcW w:w="40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196"/>
        </w:trPr>
        <w:tc>
          <w:tcPr>
            <w:tcW w:w="4900" w:type="dxa"/>
            <w:vAlign w:val="bottom"/>
            <w:tcBorders>
              <w:bottom w:val="single" w:sz="8" w:color="F0FFFF"/>
              <w:right w:val="single" w:sz="8" w:color="auto"/>
            </w:tcBorders>
            <w:gridSpan w:val="2"/>
            <w:shd w:val="clear" w:color="auto" w:fill="F0FFFF"/>
          </w:tcPr>
          <w:p>
            <w:pPr>
              <w:ind w:left="220"/>
              <w:spacing w:after="0"/>
              <w:rPr>
                <w:sz w:val="20"/>
                <w:szCs w:val="20"/>
                <w:color w:val="auto"/>
              </w:rPr>
            </w:pPr>
            <w:r>
              <w:rPr>
                <w:rFonts w:ascii="Times New Roman" w:cs="Times New Roman" w:eastAsia="Times New Roman" w:hAnsi="Times New Roman"/>
                <w:sz w:val="14"/>
                <w:szCs w:val="14"/>
                <w:color w:val="auto"/>
              </w:rPr>
              <w:t>Closing Value of the Index</w:t>
            </w:r>
          </w:p>
        </w:tc>
        <w:tc>
          <w:tcPr>
            <w:tcW w:w="1380" w:type="dxa"/>
            <w:vAlign w:val="bottom"/>
            <w:tcBorders>
              <w:bottom w:val="single" w:sz="8" w:color="F0FFFF"/>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color w:val="auto"/>
              </w:rPr>
              <w:t>600</w:t>
            </w:r>
          </w:p>
        </w:tc>
        <w:tc>
          <w:tcPr>
            <w:tcW w:w="20" w:type="dxa"/>
            <w:vAlign w:val="bottom"/>
          </w:tcPr>
          <w:p>
            <w:pPr>
              <w:spacing w:after="0"/>
              <w:rPr>
                <w:sz w:val="17"/>
                <w:szCs w:val="17"/>
                <w:color w:val="auto"/>
              </w:rPr>
            </w:pPr>
          </w:p>
        </w:tc>
      </w:tr>
      <w:tr>
        <w:trPr>
          <w:trHeight w:val="206"/>
        </w:trPr>
        <w:tc>
          <w:tcPr>
            <w:tcW w:w="4900" w:type="dxa"/>
            <w:vAlign w:val="bottom"/>
            <w:tcBorders>
              <w:top w:val="single" w:sz="8" w:color="auto"/>
              <w:bottom w:val="single" w:sz="8" w:color="auto"/>
              <w:right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color w:val="auto"/>
              </w:rPr>
              <w:t>Segment Index Performance</w:t>
            </w:r>
            <w:r>
              <w:rPr>
                <w:rFonts w:ascii="Times New Roman" w:cs="Times New Roman" w:eastAsia="Times New Roman" w:hAnsi="Times New Roman"/>
                <w:sz w:val="17"/>
                <w:szCs w:val="17"/>
                <w:color w:val="auto"/>
                <w:vertAlign w:val="superscript"/>
              </w:rPr>
              <w:t>(2)</w:t>
            </w:r>
          </w:p>
        </w:tc>
        <w:tc>
          <w:tcPr>
            <w:tcW w:w="13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w:t>
            </w:r>
          </w:p>
        </w:tc>
        <w:tc>
          <w:tcPr>
            <w:tcW w:w="20" w:type="dxa"/>
            <w:vAlign w:val="bottom"/>
            <w:tcBorders>
              <w:top w:val="single" w:sz="8" w:color="auto"/>
              <w:bottom w:val="single" w:sz="8" w:color="auto"/>
            </w:tcBorders>
          </w:tcPr>
          <w:p>
            <w:pPr>
              <w:spacing w:after="0"/>
              <w:rPr>
                <w:sz w:val="17"/>
                <w:szCs w:val="17"/>
                <w:color w:val="auto"/>
              </w:rPr>
            </w:pPr>
          </w:p>
        </w:tc>
      </w:tr>
      <w:tr>
        <w:trPr>
          <w:trHeight w:val="206"/>
        </w:trPr>
        <w:tc>
          <w:tcPr>
            <w:tcW w:w="4900" w:type="dxa"/>
            <w:vAlign w:val="bottom"/>
            <w:tcBorders>
              <w:bottom w:val="single" w:sz="8" w:color="auto"/>
              <w:right w:val="single" w:sz="8" w:color="auto"/>
            </w:tcBorders>
            <w:gridSpan w:val="2"/>
            <w:shd w:val="clear" w:color="auto" w:fill="F0FFFF"/>
          </w:tcPr>
          <w:p>
            <w:pPr>
              <w:ind w:left="220"/>
              <w:spacing w:after="0"/>
              <w:rPr>
                <w:sz w:val="20"/>
                <w:szCs w:val="20"/>
                <w:color w:val="auto"/>
              </w:rPr>
            </w:pPr>
            <w:r>
              <w:rPr>
                <w:rFonts w:ascii="Times New Roman" w:cs="Times New Roman" w:eastAsia="Times New Roman" w:hAnsi="Times New Roman"/>
                <w:sz w:val="14"/>
                <w:szCs w:val="14"/>
                <w:color w:val="auto"/>
              </w:rPr>
              <w:t>Accrued Cap Rate</w:t>
            </w:r>
            <w:r>
              <w:rPr>
                <w:rFonts w:ascii="Times New Roman" w:cs="Times New Roman" w:eastAsia="Times New Roman" w:hAnsi="Times New Roman"/>
                <w:sz w:val="17"/>
                <w:szCs w:val="17"/>
                <w:color w:val="auto"/>
                <w:vertAlign w:val="superscript"/>
              </w:rPr>
              <w:t>(3)</w:t>
            </w:r>
          </w:p>
        </w:tc>
        <w:tc>
          <w:tcPr>
            <w:tcW w:w="1380" w:type="dxa"/>
            <w:vAlign w:val="bottom"/>
            <w:tcBorders>
              <w:bottom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color w:val="auto"/>
                <w:w w:val="96"/>
              </w:rPr>
              <w:t>5%</w:t>
            </w:r>
          </w:p>
        </w:tc>
        <w:tc>
          <w:tcPr>
            <w:tcW w:w="20" w:type="dxa"/>
            <w:vAlign w:val="bottom"/>
            <w:tcBorders>
              <w:bottom w:val="single" w:sz="8" w:color="auto"/>
            </w:tcBorders>
          </w:tcPr>
          <w:p>
            <w:pPr>
              <w:spacing w:after="0"/>
              <w:rPr>
                <w:sz w:val="17"/>
                <w:szCs w:val="17"/>
                <w:color w:val="auto"/>
              </w:rPr>
            </w:pPr>
          </w:p>
        </w:tc>
      </w:tr>
      <w:tr>
        <w:trPr>
          <w:trHeight w:val="206"/>
        </w:trPr>
        <w:tc>
          <w:tcPr>
            <w:tcW w:w="4900" w:type="dxa"/>
            <w:vAlign w:val="bottom"/>
            <w:tcBorders>
              <w:bottom w:val="single" w:sz="8" w:color="auto"/>
              <w:right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color w:val="auto"/>
              </w:rPr>
              <w:t>Segment Performance Rate</w:t>
            </w:r>
            <w:r>
              <w:rPr>
                <w:rFonts w:ascii="Times New Roman" w:cs="Times New Roman" w:eastAsia="Times New Roman" w:hAnsi="Times New Roman"/>
                <w:sz w:val="17"/>
                <w:szCs w:val="17"/>
                <w:color w:val="auto"/>
                <w:vertAlign w:val="superscript"/>
              </w:rPr>
              <w:t>(4)</w:t>
            </w: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5%</w:t>
            </w:r>
          </w:p>
        </w:tc>
        <w:tc>
          <w:tcPr>
            <w:tcW w:w="20" w:type="dxa"/>
            <w:vAlign w:val="bottom"/>
            <w:tcBorders>
              <w:bottom w:val="single" w:sz="8" w:color="auto"/>
            </w:tcBorders>
          </w:tcPr>
          <w:p>
            <w:pPr>
              <w:spacing w:after="0"/>
              <w:rPr>
                <w:sz w:val="17"/>
                <w:szCs w:val="17"/>
                <w:color w:val="auto"/>
              </w:rPr>
            </w:pPr>
          </w:p>
        </w:tc>
      </w:tr>
      <w:tr>
        <w:trPr>
          <w:trHeight w:val="206"/>
        </w:trPr>
        <w:tc>
          <w:tcPr>
            <w:tcW w:w="4900" w:type="dxa"/>
            <w:vAlign w:val="bottom"/>
            <w:tcBorders>
              <w:bottom w:val="single" w:sz="8" w:color="auto"/>
              <w:right w:val="single" w:sz="8" w:color="auto"/>
            </w:tcBorders>
            <w:gridSpan w:val="2"/>
            <w:shd w:val="clear" w:color="auto" w:fill="F0FFFF"/>
          </w:tcPr>
          <w:p>
            <w:pPr>
              <w:ind w:left="220"/>
              <w:spacing w:after="0"/>
              <w:rPr>
                <w:sz w:val="20"/>
                <w:szCs w:val="20"/>
                <w:color w:val="auto"/>
              </w:rPr>
            </w:pPr>
            <w:r>
              <w:rPr>
                <w:rFonts w:ascii="Times New Roman" w:cs="Times New Roman" w:eastAsia="Times New Roman" w:hAnsi="Times New Roman"/>
                <w:sz w:val="14"/>
                <w:szCs w:val="14"/>
                <w:color w:val="auto"/>
              </w:rPr>
              <w:t>Accrued Index Return</w:t>
            </w:r>
            <w:r>
              <w:rPr>
                <w:rFonts w:ascii="Times New Roman" w:cs="Times New Roman" w:eastAsia="Times New Roman" w:hAnsi="Times New Roman"/>
                <w:sz w:val="17"/>
                <w:szCs w:val="17"/>
                <w:color w:val="auto"/>
                <w:vertAlign w:val="superscript"/>
              </w:rPr>
              <w:t>(5)</w:t>
            </w:r>
          </w:p>
        </w:tc>
        <w:tc>
          <w:tcPr>
            <w:tcW w:w="1380" w:type="dxa"/>
            <w:vAlign w:val="bottom"/>
            <w:tcBorders>
              <w:bottom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color w:val="auto"/>
                <w:w w:val="98"/>
              </w:rPr>
              <w:t>$2,500</w:t>
            </w:r>
          </w:p>
        </w:tc>
        <w:tc>
          <w:tcPr>
            <w:tcW w:w="20" w:type="dxa"/>
            <w:vAlign w:val="bottom"/>
            <w:tcBorders>
              <w:bottom w:val="single" w:sz="8" w:color="auto"/>
            </w:tcBorders>
          </w:tcPr>
          <w:p>
            <w:pPr>
              <w:spacing w:after="0"/>
              <w:rPr>
                <w:sz w:val="17"/>
                <w:szCs w:val="17"/>
                <w:color w:val="auto"/>
              </w:rPr>
            </w:pPr>
          </w:p>
        </w:tc>
      </w:tr>
      <w:tr>
        <w:trPr>
          <w:trHeight w:val="206"/>
        </w:trPr>
        <w:tc>
          <w:tcPr>
            <w:tcW w:w="4900" w:type="dxa"/>
            <w:vAlign w:val="bottom"/>
            <w:tcBorders>
              <w:bottom w:val="single" w:sz="8" w:color="auto"/>
              <w:right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color w:val="auto"/>
              </w:rPr>
              <w:t>Interim Segment Value</w:t>
            </w:r>
            <w:r>
              <w:rPr>
                <w:rFonts w:ascii="Times New Roman" w:cs="Times New Roman" w:eastAsia="Times New Roman" w:hAnsi="Times New Roman"/>
                <w:sz w:val="17"/>
                <w:szCs w:val="17"/>
                <w:color w:val="auto"/>
                <w:vertAlign w:val="superscript"/>
              </w:rPr>
              <w:t>(6)</w:t>
            </w: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$52,500</w:t>
            </w:r>
          </w:p>
        </w:tc>
        <w:tc>
          <w:tcPr>
            <w:tcW w:w="20" w:type="dxa"/>
            <w:vAlign w:val="bottom"/>
            <w:tcBorders>
              <w:bottom w:val="single" w:sz="8" w:color="auto"/>
            </w:tcBorders>
          </w:tcPr>
          <w:p>
            <w:pPr>
              <w:spacing w:after="0"/>
              <w:rPr>
                <w:sz w:val="17"/>
                <w:szCs w:val="17"/>
                <w:color w:val="auto"/>
              </w:rPr>
            </w:pPr>
          </w:p>
        </w:tc>
      </w:tr>
      <w:tr>
        <w:trPr>
          <w:trHeight w:val="196"/>
        </w:trPr>
        <w:tc>
          <w:tcPr>
            <w:tcW w:w="4900" w:type="dxa"/>
            <w:vAlign w:val="bottom"/>
            <w:tcBorders>
              <w:bottom w:val="single" w:sz="8" w:color="F0FFFF"/>
              <w:right w:val="single" w:sz="8" w:color="F0FFFF"/>
            </w:tcBorders>
            <w:gridSpan w:val="2"/>
            <w:shd w:val="clear" w:color="auto" w:fill="F0FFFF"/>
          </w:tcPr>
          <w:p>
            <w:pPr>
              <w:ind w:left="80"/>
              <w:spacing w:after="0"/>
              <w:rPr>
                <w:sz w:val="20"/>
                <w:szCs w:val="20"/>
                <w:color w:val="auto"/>
              </w:rPr>
            </w:pPr>
            <w:r>
              <w:rPr>
                <w:rFonts w:ascii="Times New Roman" w:cs="Times New Roman" w:eastAsia="Times New Roman" w:hAnsi="Times New Roman"/>
                <w:sz w:val="14"/>
                <w:szCs w:val="14"/>
                <w:b w:val="1"/>
                <w:bCs w:val="1"/>
                <w:color w:val="auto"/>
              </w:rPr>
              <w:t>Death Benefit Calculation Halfway Through Term</w:t>
            </w:r>
          </w:p>
        </w:tc>
        <w:tc>
          <w:tcPr>
            <w:tcW w:w="1380" w:type="dxa"/>
            <w:vAlign w:val="bottom"/>
            <w:tcBorders>
              <w:bottom w:val="single" w:sz="8" w:color="F0FFFF"/>
            </w:tcBorders>
            <w:shd w:val="clear" w:color="auto" w:fill="F0FFFF"/>
          </w:tcPr>
          <w:p>
            <w:pPr>
              <w:spacing w:after="0"/>
              <w:rPr>
                <w:sz w:val="17"/>
                <w:szCs w:val="17"/>
                <w:color w:val="auto"/>
              </w:rPr>
            </w:pPr>
          </w:p>
        </w:tc>
        <w:tc>
          <w:tcPr>
            <w:tcW w:w="20" w:type="dxa"/>
            <w:vAlign w:val="bottom"/>
          </w:tcPr>
          <w:p>
            <w:pPr>
              <w:spacing w:after="0"/>
              <w:rPr>
                <w:sz w:val="17"/>
                <w:szCs w:val="17"/>
                <w:color w:val="auto"/>
              </w:rPr>
            </w:pPr>
          </w:p>
        </w:tc>
      </w:tr>
      <w:tr>
        <w:trPr>
          <w:trHeight w:val="174"/>
        </w:trPr>
        <w:tc>
          <w:tcPr>
            <w:tcW w:w="4900" w:type="dxa"/>
            <w:vAlign w:val="bottom"/>
            <w:tcBorders>
              <w:top w:val="single" w:sz="8" w:color="auto"/>
              <w:right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color w:val="auto"/>
              </w:rPr>
              <w:t>Face Amount</w:t>
            </w:r>
          </w:p>
        </w:tc>
        <w:tc>
          <w:tcPr>
            <w:tcW w:w="1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5"/>
              </w:rPr>
              <w:t>$100,000</w:t>
            </w:r>
          </w:p>
        </w:tc>
        <w:tc>
          <w:tcPr>
            <w:tcW w:w="20" w:type="dxa"/>
            <w:vAlign w:val="bottom"/>
            <w:tcBorders>
              <w:top w:val="single" w:sz="8" w:color="auto"/>
            </w:tcBorders>
          </w:tcPr>
          <w:p>
            <w:pPr>
              <w:spacing w:after="0"/>
              <w:rPr>
                <w:sz w:val="15"/>
                <w:szCs w:val="15"/>
                <w:color w:val="auto"/>
              </w:rPr>
            </w:pPr>
          </w:p>
        </w:tc>
      </w:tr>
      <w:tr>
        <w:trPr>
          <w:trHeight w:val="22"/>
        </w:trPr>
        <w:tc>
          <w:tcPr>
            <w:tcW w:w="840" w:type="dxa"/>
            <w:vAlign w:val="bottom"/>
            <w:tcBorders>
              <w:bottom w:val="single" w:sz="8" w:color="auto"/>
            </w:tcBorders>
          </w:tcPr>
          <w:p>
            <w:pPr>
              <w:spacing w:after="0" w:line="20" w:lineRule="exact"/>
              <w:rPr>
                <w:sz w:val="1"/>
                <w:szCs w:val="1"/>
                <w:color w:val="auto"/>
              </w:rPr>
            </w:pPr>
          </w:p>
        </w:tc>
        <w:tc>
          <w:tcPr>
            <w:tcW w:w="4060" w:type="dxa"/>
            <w:vAlign w:val="bottom"/>
            <w:tcBorders>
              <w:bottom w:val="single" w:sz="8" w:color="auto"/>
              <w:right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06"/>
        </w:trPr>
        <w:tc>
          <w:tcPr>
            <w:tcW w:w="4900" w:type="dxa"/>
            <w:vAlign w:val="bottom"/>
            <w:tcBorders>
              <w:bottom w:val="single" w:sz="8" w:color="auto"/>
              <w:right w:val="single" w:sz="8" w:color="auto"/>
            </w:tcBorders>
            <w:gridSpan w:val="2"/>
            <w:shd w:val="clear" w:color="auto" w:fill="F0FFFF"/>
          </w:tcPr>
          <w:p>
            <w:pPr>
              <w:ind w:left="220"/>
              <w:spacing w:after="0"/>
              <w:rPr>
                <w:sz w:val="20"/>
                <w:szCs w:val="20"/>
                <w:color w:val="auto"/>
              </w:rPr>
            </w:pPr>
            <w:r>
              <w:rPr>
                <w:rFonts w:ascii="Times New Roman" w:cs="Times New Roman" w:eastAsia="Times New Roman" w:hAnsi="Times New Roman"/>
                <w:sz w:val="14"/>
                <w:szCs w:val="14"/>
                <w:color w:val="auto"/>
              </w:rPr>
              <w:t>Cash Value</w:t>
            </w:r>
            <w:r>
              <w:rPr>
                <w:rFonts w:ascii="Times New Roman" w:cs="Times New Roman" w:eastAsia="Times New Roman" w:hAnsi="Times New Roman"/>
                <w:sz w:val="17"/>
                <w:szCs w:val="17"/>
                <w:color w:val="auto"/>
                <w:vertAlign w:val="superscript"/>
              </w:rPr>
              <w:t>(7)</w:t>
            </w:r>
          </w:p>
        </w:tc>
        <w:tc>
          <w:tcPr>
            <w:tcW w:w="1380" w:type="dxa"/>
            <w:vAlign w:val="bottom"/>
            <w:tcBorders>
              <w:bottom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color w:val="auto"/>
              </w:rPr>
              <w:t>$52,500</w:t>
            </w:r>
          </w:p>
        </w:tc>
        <w:tc>
          <w:tcPr>
            <w:tcW w:w="20" w:type="dxa"/>
            <w:vAlign w:val="bottom"/>
            <w:tcBorders>
              <w:bottom w:val="single" w:sz="8" w:color="auto"/>
            </w:tcBorders>
          </w:tcPr>
          <w:p>
            <w:pPr>
              <w:spacing w:after="0"/>
              <w:rPr>
                <w:sz w:val="17"/>
                <w:szCs w:val="17"/>
                <w:color w:val="auto"/>
              </w:rPr>
            </w:pPr>
          </w:p>
        </w:tc>
      </w:tr>
      <w:tr>
        <w:trPr>
          <w:trHeight w:val="206"/>
        </w:trPr>
        <w:tc>
          <w:tcPr>
            <w:tcW w:w="4900" w:type="dxa"/>
            <w:vAlign w:val="bottom"/>
            <w:tcBorders>
              <w:bottom w:val="single" w:sz="8" w:color="auto"/>
              <w:right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color w:val="auto"/>
              </w:rPr>
              <w:t>Annual Deduction refund</w:t>
            </w:r>
            <w:r>
              <w:rPr>
                <w:rFonts w:ascii="Times New Roman" w:cs="Times New Roman" w:eastAsia="Times New Roman" w:hAnsi="Times New Roman"/>
                <w:sz w:val="17"/>
                <w:szCs w:val="17"/>
                <w:color w:val="auto"/>
                <w:vertAlign w:val="superscript"/>
              </w:rPr>
              <w:t>(8)</w:t>
            </w: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2"/>
              </w:rPr>
              <w:t>$501</w:t>
            </w:r>
          </w:p>
        </w:tc>
        <w:tc>
          <w:tcPr>
            <w:tcW w:w="20" w:type="dxa"/>
            <w:vAlign w:val="bottom"/>
            <w:tcBorders>
              <w:bottom w:val="single" w:sz="8" w:color="auto"/>
            </w:tcBorders>
          </w:tcPr>
          <w:p>
            <w:pPr>
              <w:spacing w:after="0"/>
              <w:rPr>
                <w:sz w:val="17"/>
                <w:szCs w:val="17"/>
                <w:color w:val="auto"/>
              </w:rPr>
            </w:pPr>
          </w:p>
        </w:tc>
      </w:tr>
      <w:tr>
        <w:trPr>
          <w:trHeight w:val="206"/>
        </w:trPr>
        <w:tc>
          <w:tcPr>
            <w:tcW w:w="4900" w:type="dxa"/>
            <w:vAlign w:val="bottom"/>
            <w:tcBorders>
              <w:bottom w:val="single" w:sz="8" w:color="auto"/>
              <w:right w:val="single" w:sz="8" w:color="auto"/>
            </w:tcBorders>
            <w:gridSpan w:val="2"/>
            <w:shd w:val="clear" w:color="auto" w:fill="F0FFFF"/>
          </w:tcPr>
          <w:p>
            <w:pPr>
              <w:ind w:left="220"/>
              <w:spacing w:after="0"/>
              <w:rPr>
                <w:sz w:val="20"/>
                <w:szCs w:val="20"/>
                <w:color w:val="auto"/>
              </w:rPr>
            </w:pPr>
            <w:r>
              <w:rPr>
                <w:rFonts w:ascii="Times New Roman" w:cs="Times New Roman" w:eastAsia="Times New Roman" w:hAnsi="Times New Roman"/>
                <w:sz w:val="14"/>
                <w:szCs w:val="14"/>
                <w:color w:val="auto"/>
              </w:rPr>
              <w:t>Applicable minimum death benefit factor</w:t>
            </w:r>
            <w:r>
              <w:rPr>
                <w:rFonts w:ascii="Times New Roman" w:cs="Times New Roman" w:eastAsia="Times New Roman" w:hAnsi="Times New Roman"/>
                <w:sz w:val="17"/>
                <w:szCs w:val="17"/>
                <w:color w:val="auto"/>
                <w:vertAlign w:val="superscript"/>
              </w:rPr>
              <w:t>(9)</w:t>
            </w:r>
          </w:p>
        </w:tc>
        <w:tc>
          <w:tcPr>
            <w:tcW w:w="1380" w:type="dxa"/>
            <w:vAlign w:val="bottom"/>
            <w:tcBorders>
              <w:bottom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color w:val="auto"/>
                <w:w w:val="95"/>
              </w:rPr>
              <w:t>1.982</w:t>
            </w:r>
          </w:p>
        </w:tc>
        <w:tc>
          <w:tcPr>
            <w:tcW w:w="20" w:type="dxa"/>
            <w:vAlign w:val="bottom"/>
            <w:tcBorders>
              <w:bottom w:val="single" w:sz="8" w:color="auto"/>
            </w:tcBorders>
          </w:tcPr>
          <w:p>
            <w:pPr>
              <w:spacing w:after="0"/>
              <w:rPr>
                <w:sz w:val="17"/>
                <w:szCs w:val="17"/>
                <w:color w:val="auto"/>
              </w:rPr>
            </w:pPr>
          </w:p>
        </w:tc>
      </w:tr>
      <w:tr>
        <w:trPr>
          <w:trHeight w:val="191"/>
        </w:trPr>
        <w:tc>
          <w:tcPr>
            <w:tcW w:w="4900" w:type="dxa"/>
            <w:vAlign w:val="bottom"/>
            <w:tcBorders>
              <w:bottom w:val="single" w:sz="8" w:color="auto"/>
              <w:right w:val="single" w:sz="8" w:color="auto"/>
            </w:tcBorders>
            <w:gridSpan w:val="2"/>
          </w:tcPr>
          <w:p>
            <w:pPr>
              <w:ind w:left="220"/>
              <w:spacing w:after="0" w:line="191" w:lineRule="exact"/>
              <w:rPr>
                <w:sz w:val="20"/>
                <w:szCs w:val="20"/>
                <w:color w:val="auto"/>
              </w:rPr>
            </w:pPr>
            <w:r>
              <w:rPr>
                <w:rFonts w:ascii="Times New Roman" w:cs="Times New Roman" w:eastAsia="Times New Roman" w:hAnsi="Times New Roman"/>
                <w:sz w:val="14"/>
                <w:szCs w:val="14"/>
                <w:b w:val="1"/>
                <w:bCs w:val="1"/>
                <w:color w:val="auto"/>
              </w:rPr>
              <w:t>Death Benefit</w:t>
            </w:r>
            <w:r>
              <w:rPr>
                <w:rFonts w:ascii="Times New Roman" w:cs="Times New Roman" w:eastAsia="Times New Roman" w:hAnsi="Times New Roman"/>
                <w:sz w:val="17"/>
                <w:szCs w:val="17"/>
                <w:b w:val="1"/>
                <w:bCs w:val="1"/>
                <w:color w:val="auto"/>
                <w:vertAlign w:val="superscript"/>
              </w:rPr>
              <w:t>(10)</w:t>
            </w: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5"/>
              </w:rPr>
              <w:t>$105,048</w:t>
            </w:r>
          </w:p>
        </w:tc>
        <w:tc>
          <w:tcPr>
            <w:tcW w:w="20" w:type="dxa"/>
            <w:vAlign w:val="bottom"/>
            <w:tcBorders>
              <w:bottom w:val="single" w:sz="8" w:color="auto"/>
            </w:tcBorders>
          </w:tcPr>
          <w:p>
            <w:pPr>
              <w:spacing w:after="0"/>
              <w:rPr>
                <w:sz w:val="16"/>
                <w:szCs w:val="16"/>
                <w:color w:val="auto"/>
              </w:rPr>
            </w:pPr>
          </w:p>
        </w:tc>
      </w:tr>
      <w:tr>
        <w:trPr>
          <w:trHeight w:val="140"/>
        </w:trPr>
        <w:tc>
          <w:tcPr>
            <w:tcW w:w="840" w:type="dxa"/>
            <w:vAlign w:val="bottom"/>
            <w:tcBorders>
              <w:bottom w:val="single" w:sz="8" w:color="auto"/>
            </w:tcBorders>
          </w:tcPr>
          <w:p>
            <w:pPr>
              <w:spacing w:after="0"/>
              <w:rPr>
                <w:sz w:val="12"/>
                <w:szCs w:val="12"/>
                <w:color w:val="auto"/>
              </w:rPr>
            </w:pPr>
          </w:p>
        </w:tc>
        <w:tc>
          <w:tcPr>
            <w:tcW w:w="40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518795</wp:posOffset>
            </wp:positionH>
            <wp:positionV relativeFrom="paragraph">
              <wp:posOffset>-31750</wp:posOffset>
            </wp:positionV>
            <wp:extent cx="31750" cy="450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1750" cy="4508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-31750</wp:posOffset>
            </wp:positionV>
            <wp:extent cx="31750" cy="450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1750" cy="45085"/>
                    </a:xfrm>
                    <a:prstGeom prst="rect">
                      <a:avLst/>
                    </a:prstGeom>
                    <a:noFill/>
                  </pic:spPr>
                </pic:pic>
              </a:graphicData>
            </a:graphic>
          </wp:anchor>
        </w:drawing>
      </w:r>
    </w:p>
    <w:p>
      <w:pPr>
        <w:spacing w:after="0" w:line="50" w:lineRule="exact"/>
        <w:rPr>
          <w:sz w:val="20"/>
          <w:szCs w:val="20"/>
          <w:color w:val="auto"/>
        </w:rPr>
      </w:pPr>
    </w:p>
    <w:p>
      <w:pPr>
        <w:ind w:left="5"/>
        <w:spacing w:after="0"/>
        <w:rPr>
          <w:sz w:val="20"/>
          <w:szCs w:val="20"/>
          <w:color w:val="auto"/>
        </w:rPr>
      </w:pPr>
      <w:r>
        <w:rPr>
          <w:rFonts w:ascii="Times New Roman" w:cs="Times New Roman" w:eastAsia="Times New Roman" w:hAnsi="Times New Roman"/>
          <w:sz w:val="13"/>
          <w:szCs w:val="13"/>
          <w:color w:val="auto"/>
        </w:rPr>
        <w:t>The following notes to the table above provide important calculations showing how certain values are determined.</w:t>
      </w:r>
    </w:p>
    <w:p>
      <w:pPr>
        <w:spacing w:after="0" w:line="56" w:lineRule="exact"/>
        <w:rPr>
          <w:sz w:val="20"/>
          <w:szCs w:val="20"/>
          <w:color w:val="auto"/>
        </w:rPr>
      </w:pPr>
    </w:p>
    <w:p>
      <w:pPr>
        <w:jc w:val="both"/>
        <w:ind w:left="265" w:right="2999" w:hanging="265"/>
        <w:spacing w:after="0" w:line="231" w:lineRule="auto"/>
        <w:tabs>
          <w:tab w:leader="none" w:pos="265" w:val="left"/>
        </w:tabs>
        <w:numPr>
          <w:ilvl w:val="0"/>
          <w:numId w:val="64"/>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On the Policy Start Date and each Policy Anniversary thereafter, we deduct the charges for the Annual Deduction from your Cash Value. The Annual Deduction for each Policy Year will be taken from any Indexed Account according to the Policy Deduction Method. The Annual Deduction is taken out of the Cash Value on the Policy Start Date and each Policy Anniversary thereafter. For purposes of this example,</w:t>
      </w:r>
    </w:p>
    <w:p>
      <w:pPr>
        <w:ind w:left="265"/>
        <w:spacing w:after="0" w:line="234" w:lineRule="auto"/>
        <w:rPr>
          <w:sz w:val="20"/>
          <w:szCs w:val="20"/>
          <w:color w:val="auto"/>
        </w:rPr>
      </w:pPr>
      <w:r>
        <w:rPr>
          <w:rFonts w:ascii="Times New Roman" w:cs="Times New Roman" w:eastAsia="Times New Roman" w:hAnsi="Times New Roman"/>
          <w:sz w:val="14"/>
          <w:szCs w:val="14"/>
          <w:color w:val="auto"/>
        </w:rPr>
        <w:t>assume the Annual Deduction is $1,000.</w:t>
      </w:r>
    </w:p>
    <w:p>
      <w:pPr>
        <w:ind w:left="5"/>
        <w:spacing w:after="0"/>
        <w:rPr>
          <w:sz w:val="20"/>
          <w:szCs w:val="20"/>
          <w:color w:val="auto"/>
        </w:rPr>
      </w:pPr>
      <w:r>
        <w:rPr>
          <w:rFonts w:ascii="Times New Roman" w:cs="Times New Roman" w:eastAsia="Times New Roman" w:hAnsi="Times New Roman"/>
          <w:sz w:val="4"/>
          <w:szCs w:val="4"/>
          <w:color w:val="auto"/>
        </w:rPr>
        <w:t>(2)</w:t>
      </w:r>
    </w:p>
    <w:p>
      <w:pPr>
        <w:spacing w:after="0" w:line="4" w:lineRule="exact"/>
        <w:rPr>
          <w:sz w:val="20"/>
          <w:szCs w:val="20"/>
          <w:color w:val="auto"/>
        </w:rPr>
      </w:pPr>
    </w:p>
    <w:p>
      <w:pPr>
        <w:jc w:val="both"/>
        <w:ind w:left="265" w:right="2999"/>
        <w:spacing w:after="0" w:line="228" w:lineRule="auto"/>
        <w:rPr>
          <w:sz w:val="20"/>
          <w:szCs w:val="20"/>
          <w:color w:val="auto"/>
        </w:rPr>
      </w:pPr>
      <w:r>
        <w:rPr>
          <w:rFonts w:ascii="Times New Roman" w:cs="Times New Roman" w:eastAsia="Times New Roman" w:hAnsi="Times New Roman"/>
          <w:sz w:val="14"/>
          <w:szCs w:val="14"/>
          <w:color w:val="auto"/>
        </w:rPr>
        <w:t>Segment Index Performance is equal to the percentage change in the Closing Value of the Index measured from the Segment Start Date to the date of the Interim Segment Value calculation. Segment Index Performance is calculated as follows:</w:t>
      </w:r>
    </w:p>
    <w:p>
      <w:pPr>
        <w:spacing w:after="0" w:line="41" w:lineRule="exact"/>
        <w:rPr>
          <w:sz w:val="20"/>
          <w:szCs w:val="20"/>
          <w:color w:val="auto"/>
        </w:rPr>
      </w:pPr>
    </w:p>
    <w:p>
      <w:pPr>
        <w:ind w:left="945"/>
        <w:spacing w:after="0"/>
        <w:rPr>
          <w:sz w:val="20"/>
          <w:szCs w:val="20"/>
          <w:color w:val="auto"/>
        </w:rPr>
      </w:pPr>
      <w:r>
        <w:rPr>
          <w:rFonts w:ascii="Times New Roman" w:cs="Times New Roman" w:eastAsia="Times New Roman" w:hAnsi="Times New Roman"/>
          <w:sz w:val="14"/>
          <w:szCs w:val="14"/>
          <w:color w:val="auto"/>
        </w:rPr>
        <w:t>(600 [Closing Value of the Index on date of Interim Segment Value calculation]</w:t>
      </w:r>
    </w:p>
    <w:p>
      <w:pPr>
        <w:spacing w:after="0" w:line="2" w:lineRule="exact"/>
        <w:rPr>
          <w:sz w:val="20"/>
          <w:szCs w:val="20"/>
          <w:color w:val="auto"/>
        </w:rPr>
      </w:pPr>
    </w:p>
    <w:p>
      <w:pPr>
        <w:ind w:left="1245"/>
        <w:spacing w:after="0"/>
        <w:rPr>
          <w:sz w:val="20"/>
          <w:szCs w:val="20"/>
          <w:color w:val="auto"/>
        </w:rPr>
      </w:pPr>
      <w:r>
        <w:rPr>
          <w:rFonts w:ascii="Times New Roman" w:cs="Times New Roman" w:eastAsia="Times New Roman" w:hAnsi="Times New Roman"/>
          <w:sz w:val="14"/>
          <w:szCs w:val="14"/>
          <w:color w:val="auto"/>
        </w:rPr>
        <w:t>÷ 500 [Closing Value of the Index at Segment Start Date]) – 1 = 20%</w:t>
      </w:r>
    </w:p>
    <w:p>
      <w:pPr>
        <w:ind w:left="5"/>
        <w:spacing w:after="0"/>
        <w:rPr>
          <w:sz w:val="20"/>
          <w:szCs w:val="20"/>
          <w:color w:val="auto"/>
        </w:rPr>
      </w:pPr>
      <w:r>
        <w:rPr>
          <w:rFonts w:ascii="Times New Roman" w:cs="Times New Roman" w:eastAsia="Times New Roman" w:hAnsi="Times New Roman"/>
          <w:sz w:val="4"/>
          <w:szCs w:val="4"/>
          <w:color w:val="auto"/>
        </w:rPr>
        <w:t>(3)</w:t>
      </w:r>
    </w:p>
    <w:p>
      <w:pPr>
        <w:spacing w:after="0" w:line="4" w:lineRule="exact"/>
        <w:rPr>
          <w:sz w:val="20"/>
          <w:szCs w:val="20"/>
          <w:color w:val="auto"/>
        </w:rPr>
      </w:pPr>
    </w:p>
    <w:p>
      <w:pPr>
        <w:jc w:val="both"/>
        <w:ind w:left="265" w:right="2999"/>
        <w:spacing w:after="0" w:line="228" w:lineRule="auto"/>
        <w:rPr>
          <w:sz w:val="20"/>
          <w:szCs w:val="20"/>
          <w:color w:val="auto"/>
        </w:rPr>
      </w:pPr>
      <w:r>
        <w:rPr>
          <w:rFonts w:ascii="Times New Roman" w:cs="Times New Roman" w:eastAsia="Times New Roman" w:hAnsi="Times New Roman"/>
          <w:sz w:val="14"/>
          <w:szCs w:val="14"/>
          <w:color w:val="auto"/>
        </w:rPr>
        <w:t>The Accrued Cap Rate is equal to the Cap Rate multiplied by the number of days elapsed since the Segment Start Date divided by the total number of days in the Segment Term. The Accrued Cap Rate is calculated as follows:</w:t>
      </w:r>
    </w:p>
    <w:p>
      <w:pPr>
        <w:spacing w:after="0" w:line="41" w:lineRule="exact"/>
        <w:rPr>
          <w:sz w:val="20"/>
          <w:szCs w:val="20"/>
          <w:color w:val="auto"/>
        </w:rPr>
      </w:pPr>
    </w:p>
    <w:p>
      <w:pPr>
        <w:jc w:val="center"/>
        <w:ind w:right="2974"/>
        <w:spacing w:after="0"/>
        <w:rPr>
          <w:sz w:val="20"/>
          <w:szCs w:val="20"/>
          <w:color w:val="auto"/>
        </w:rPr>
      </w:pPr>
      <w:r>
        <w:rPr>
          <w:rFonts w:ascii="Times New Roman" w:cs="Times New Roman" w:eastAsia="Times New Roman" w:hAnsi="Times New Roman"/>
          <w:sz w:val="14"/>
          <w:szCs w:val="14"/>
          <w:color w:val="auto"/>
        </w:rPr>
        <w:t>10% [Cap Rate] x 183 [number of days elapsed since the Segment Start Date]</w:t>
      </w:r>
    </w:p>
    <w:p>
      <w:pPr>
        <w:spacing w:after="0" w:line="2" w:lineRule="exact"/>
        <w:rPr>
          <w:sz w:val="20"/>
          <w:szCs w:val="20"/>
          <w:color w:val="auto"/>
        </w:rPr>
      </w:pPr>
    </w:p>
    <w:p>
      <w:pPr>
        <w:jc w:val="center"/>
        <w:ind w:right="2934"/>
        <w:spacing w:after="0"/>
        <w:rPr>
          <w:sz w:val="20"/>
          <w:szCs w:val="20"/>
          <w:color w:val="auto"/>
        </w:rPr>
      </w:pPr>
      <w:r>
        <w:rPr>
          <w:rFonts w:ascii="Times New Roman" w:cs="Times New Roman" w:eastAsia="Times New Roman" w:hAnsi="Times New Roman"/>
          <w:sz w:val="14"/>
          <w:szCs w:val="14"/>
          <w:color w:val="auto"/>
        </w:rPr>
        <w:t>÷ 365 [total number of days in the Segment Term] = 5%</w:t>
      </w:r>
    </w:p>
    <w:p>
      <w:pPr>
        <w:ind w:left="5"/>
        <w:spacing w:after="0"/>
        <w:rPr>
          <w:sz w:val="20"/>
          <w:szCs w:val="20"/>
          <w:color w:val="auto"/>
        </w:rPr>
      </w:pPr>
      <w:r>
        <w:rPr>
          <w:rFonts w:ascii="Times New Roman" w:cs="Times New Roman" w:eastAsia="Times New Roman" w:hAnsi="Times New Roman"/>
          <w:sz w:val="4"/>
          <w:szCs w:val="4"/>
          <w:color w:val="auto"/>
        </w:rPr>
        <w:t>(4)</w:t>
      </w:r>
    </w:p>
    <w:p>
      <w:pPr>
        <w:spacing w:after="0" w:line="4" w:lineRule="exact"/>
        <w:rPr>
          <w:sz w:val="20"/>
          <w:szCs w:val="20"/>
          <w:color w:val="auto"/>
        </w:rPr>
      </w:pPr>
    </w:p>
    <w:p>
      <w:pPr>
        <w:ind w:left="265" w:right="2999"/>
        <w:spacing w:after="0" w:line="228" w:lineRule="auto"/>
        <w:rPr>
          <w:sz w:val="20"/>
          <w:szCs w:val="20"/>
          <w:color w:val="auto"/>
        </w:rPr>
      </w:pPr>
      <w:r>
        <w:rPr>
          <w:rFonts w:ascii="Times New Roman" w:cs="Times New Roman" w:eastAsia="Times New Roman" w:hAnsi="Times New Roman"/>
          <w:sz w:val="14"/>
          <w:szCs w:val="14"/>
          <w:color w:val="auto"/>
        </w:rPr>
        <w:t>The Segment Performance Rate is equal to the Accrued Cap Rate because it cannot exceed the Accrued Cap Rate even though the Segment Index Performance was at 20% and the Cap Rate is 10%.</w:t>
      </w:r>
    </w:p>
    <w:p>
      <w:pPr>
        <w:spacing w:after="0" w:line="30" w:lineRule="exact"/>
        <w:rPr>
          <w:sz w:val="20"/>
          <w:szCs w:val="20"/>
          <w:color w:val="auto"/>
        </w:rPr>
      </w:pPr>
    </w:p>
    <w:p>
      <w:pPr>
        <w:jc w:val="both"/>
        <w:ind w:left="265" w:right="2999" w:hanging="265"/>
        <w:spacing w:after="0" w:line="218" w:lineRule="auto"/>
        <w:tabs>
          <w:tab w:leader="none" w:pos="265" w:val="left"/>
        </w:tabs>
        <w:numPr>
          <w:ilvl w:val="0"/>
          <w:numId w:val="65"/>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Accrued Index Return is equal to the product of the current Segment Value (Segment Value at the Segment Start Date adjusted for any loans and Accelerated Death Benefit payment; there are no adjustments in the example) multiplied by the Segment Performance Rate. The Accrued Index Return is calculated as follows:</w:t>
      </w:r>
    </w:p>
    <w:p>
      <w:pPr>
        <w:spacing w:after="0" w:line="32" w:lineRule="exact"/>
        <w:rPr>
          <w:sz w:val="20"/>
          <w:szCs w:val="20"/>
          <w:color w:val="auto"/>
        </w:rPr>
      </w:pPr>
    </w:p>
    <w:p>
      <w:pPr>
        <w:ind w:left="1005"/>
        <w:spacing w:after="0"/>
        <w:rPr>
          <w:sz w:val="20"/>
          <w:szCs w:val="20"/>
          <w:color w:val="auto"/>
        </w:rPr>
      </w:pPr>
      <w:r>
        <w:rPr>
          <w:rFonts w:ascii="Times New Roman" w:cs="Times New Roman" w:eastAsia="Times New Roman" w:hAnsi="Times New Roman"/>
          <w:sz w:val="14"/>
          <w:szCs w:val="14"/>
          <w:color w:val="auto"/>
        </w:rPr>
        <w:t>$50,000 [current Segment Value] x 5% [Segment Performance Rate] = $2,500</w:t>
      </w:r>
    </w:p>
    <w:p>
      <w:pPr>
        <w:spacing w:after="0" w:line="45" w:lineRule="exact"/>
        <w:rPr>
          <w:sz w:val="20"/>
          <w:szCs w:val="20"/>
          <w:color w:val="auto"/>
        </w:rPr>
      </w:pPr>
    </w:p>
    <w:p>
      <w:pPr>
        <w:jc w:val="both"/>
        <w:ind w:left="265" w:right="2999" w:hanging="265"/>
        <w:spacing w:after="0" w:line="219" w:lineRule="auto"/>
        <w:tabs>
          <w:tab w:leader="none" w:pos="265" w:val="left"/>
        </w:tabs>
        <w:numPr>
          <w:ilvl w:val="0"/>
          <w:numId w:val="6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Interim Segment Value is equal to the current Segment Value (Segment Value at the Segment Start Date adjusted for any loans and Accelerated Death Benefit payment; there are no adjustments in the example) plus the Accrued Index Return. The Interim Segment Value is calculated as follows:</w:t>
      </w:r>
    </w:p>
    <w:p>
      <w:pPr>
        <w:spacing w:after="0" w:line="32" w:lineRule="exact"/>
        <w:rPr>
          <w:sz w:val="20"/>
          <w:szCs w:val="20"/>
          <w:color w:val="auto"/>
        </w:rPr>
      </w:pPr>
    </w:p>
    <w:p>
      <w:pPr>
        <w:ind w:left="1005"/>
        <w:spacing w:after="0"/>
        <w:rPr>
          <w:sz w:val="20"/>
          <w:szCs w:val="20"/>
          <w:color w:val="auto"/>
        </w:rPr>
      </w:pPr>
      <w:r>
        <w:rPr>
          <w:rFonts w:ascii="Times New Roman" w:cs="Times New Roman" w:eastAsia="Times New Roman" w:hAnsi="Times New Roman"/>
          <w:sz w:val="14"/>
          <w:szCs w:val="14"/>
          <w:color w:val="auto"/>
        </w:rPr>
        <w:t>$50,000 [current Segment Value] + $2,500 [Accrued Index Return] = $52,500</w:t>
      </w:r>
    </w:p>
    <w:p>
      <w:pPr>
        <w:ind w:left="5"/>
        <w:spacing w:after="0" w:line="204" w:lineRule="auto"/>
        <w:rPr>
          <w:sz w:val="20"/>
          <w:szCs w:val="20"/>
          <w:color w:val="auto"/>
        </w:rPr>
      </w:pPr>
      <w:r>
        <w:rPr>
          <w:rFonts w:ascii="Times New Roman" w:cs="Times New Roman" w:eastAsia="Times New Roman" w:hAnsi="Times New Roman"/>
          <w:sz w:val="6"/>
          <w:szCs w:val="6"/>
          <w:color w:val="auto"/>
        </w:rPr>
        <w:t>(7)</w:t>
      </w:r>
    </w:p>
    <w:p>
      <w:pPr>
        <w:ind w:left="265" w:right="2999"/>
        <w:spacing w:after="0" w:line="228" w:lineRule="auto"/>
        <w:rPr>
          <w:sz w:val="20"/>
          <w:szCs w:val="20"/>
          <w:color w:val="auto"/>
        </w:rPr>
      </w:pPr>
      <w:r>
        <w:rPr>
          <w:rFonts w:ascii="Times New Roman" w:cs="Times New Roman" w:eastAsia="Times New Roman" w:hAnsi="Times New Roman"/>
          <w:sz w:val="14"/>
          <w:szCs w:val="14"/>
          <w:color w:val="auto"/>
        </w:rPr>
        <w:t>The Cash Value is equal to the Interim Segment Value since all cash value has been allocated to one Indexed Account.</w:t>
      </w:r>
    </w:p>
    <w:p>
      <w:pPr>
        <w:spacing w:after="0" w:line="215" w:lineRule="exact"/>
        <w:rPr>
          <w:sz w:val="20"/>
          <w:szCs w:val="20"/>
          <w:color w:val="auto"/>
        </w:rPr>
      </w:pPr>
    </w:p>
    <w:p>
      <w:pPr>
        <w:ind w:left="3085"/>
        <w:spacing w:after="0"/>
        <w:rPr>
          <w:sz w:val="20"/>
          <w:szCs w:val="20"/>
          <w:color w:val="auto"/>
        </w:rPr>
      </w:pPr>
      <w:r>
        <w:rPr>
          <w:rFonts w:ascii="Times New Roman" w:cs="Times New Roman" w:eastAsia="Times New Roman" w:hAnsi="Times New Roman"/>
          <w:sz w:val="14"/>
          <w:szCs w:val="14"/>
          <w:color w:val="auto"/>
        </w:rPr>
        <w:t>51</w:t>
      </w:r>
    </w:p>
    <w:p>
      <w:pPr>
        <w:sectPr>
          <w:pgSz w:w="11900" w:h="16838" w:orient="portrait"/>
          <w:cols w:equalWidth="0" w:num="1">
            <w:col w:w="9224"/>
          </w:cols>
          <w:pgMar w:left="1235" w:top="1083" w:right="1440" w:bottom="1440" w:gutter="0" w:footer="0" w:header="0"/>
        </w:sectPr>
      </w:pPr>
    </w:p>
    <w:bookmarkStart w:id="54" w:name="page55"/>
    <w:bookmarkEnd w:id="54"/>
    <w:p>
      <w:pPr>
        <w:ind w:left="5"/>
        <w:spacing w:after="0"/>
        <w:rPr>
          <w:sz w:val="20"/>
          <w:szCs w:val="20"/>
          <w:color w:val="auto"/>
        </w:rPr>
      </w:pPr>
      <w:r>
        <w:rPr>
          <w:rFonts w:ascii="Times New Roman" w:cs="Times New Roman" w:eastAsia="Times New Roman" w:hAnsi="Times New Roman"/>
          <w:sz w:val="9"/>
          <w:szCs w:val="9"/>
          <w:color w:val="auto"/>
        </w:rPr>
        <w:drawing>
          <wp:anchor simplePos="0" relativeHeight="251657728" behindDoc="1" locked="0" layoutInCell="0" allowOverlap="1">
            <wp:simplePos x="0" y="0"/>
            <wp:positionH relativeFrom="page">
              <wp:posOffset>179070</wp:posOffset>
            </wp:positionH>
            <wp:positionV relativeFrom="page">
              <wp:posOffset>422275</wp:posOffset>
            </wp:positionV>
            <wp:extent cx="719010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90105" cy="38735"/>
                    </a:xfrm>
                    <a:prstGeom prst="rect">
                      <a:avLst/>
                    </a:prstGeom>
                    <a:noFill/>
                  </pic:spPr>
                </pic:pic>
              </a:graphicData>
            </a:graphic>
          </wp:anchor>
        </w:drawing>
        <w:t>(8)</w:t>
      </w:r>
    </w:p>
    <w:p>
      <w:pPr>
        <w:jc w:val="both"/>
        <w:ind w:left="265" w:right="2999"/>
        <w:spacing w:after="0" w:line="228" w:lineRule="auto"/>
        <w:rPr>
          <w:sz w:val="20"/>
          <w:szCs w:val="20"/>
          <w:color w:val="auto"/>
        </w:rPr>
      </w:pPr>
      <w:r>
        <w:rPr>
          <w:rFonts w:ascii="Times New Roman" w:cs="Times New Roman" w:eastAsia="Times New Roman" w:hAnsi="Times New Roman"/>
          <w:sz w:val="14"/>
          <w:szCs w:val="14"/>
          <w:color w:val="auto"/>
        </w:rPr>
        <w:t>The Annual Deduction refund is equal to the Annual Deduction at the beginning of the Policy Year times the number of days to the next Policy Anniversary divided by 365. Assuming there are 183 days to the next Policy Anniversary, the Annual Deduction refund is calculated as follows:</w:t>
      </w:r>
    </w:p>
    <w:p>
      <w:pPr>
        <w:spacing w:after="0" w:line="52" w:lineRule="exact"/>
        <w:rPr>
          <w:sz w:val="20"/>
          <w:szCs w:val="20"/>
          <w:color w:val="auto"/>
        </w:rPr>
      </w:pPr>
    </w:p>
    <w:p>
      <w:pPr>
        <w:ind w:left="1405"/>
        <w:spacing w:after="0"/>
        <w:rPr>
          <w:sz w:val="20"/>
          <w:szCs w:val="20"/>
          <w:color w:val="auto"/>
        </w:rPr>
      </w:pPr>
      <w:r>
        <w:rPr>
          <w:rFonts w:ascii="Times New Roman" w:cs="Times New Roman" w:eastAsia="Times New Roman" w:hAnsi="Times New Roman"/>
          <w:sz w:val="14"/>
          <w:szCs w:val="14"/>
          <w:color w:val="auto"/>
        </w:rPr>
        <w:t>$1,000 [Annual Deduction at the beginning of the Policy Year]</w:t>
      </w:r>
    </w:p>
    <w:p>
      <w:pPr>
        <w:spacing w:after="0" w:line="7" w:lineRule="exact"/>
        <w:rPr>
          <w:sz w:val="20"/>
          <w:szCs w:val="20"/>
          <w:color w:val="auto"/>
        </w:rPr>
      </w:pPr>
    </w:p>
    <w:p>
      <w:pPr>
        <w:ind w:left="1525"/>
        <w:spacing w:after="0"/>
        <w:rPr>
          <w:sz w:val="20"/>
          <w:szCs w:val="20"/>
          <w:color w:val="auto"/>
        </w:rPr>
      </w:pPr>
      <w:r>
        <w:rPr>
          <w:rFonts w:ascii="Times New Roman" w:cs="Times New Roman" w:eastAsia="Times New Roman" w:hAnsi="Times New Roman"/>
          <w:sz w:val="14"/>
          <w:szCs w:val="14"/>
          <w:color w:val="auto"/>
        </w:rPr>
        <w:t>x (183 [days to the next Policy Anniversary] ÷ 365) = $501</w:t>
      </w:r>
    </w:p>
    <w:p>
      <w:pPr>
        <w:spacing w:after="0" w:line="31" w:lineRule="exact"/>
        <w:rPr>
          <w:sz w:val="20"/>
          <w:szCs w:val="20"/>
          <w:color w:val="auto"/>
        </w:rPr>
      </w:pPr>
    </w:p>
    <w:p>
      <w:pPr>
        <w:ind w:left="265" w:right="2999" w:hanging="265"/>
        <w:spacing w:after="0" w:line="215" w:lineRule="auto"/>
        <w:tabs>
          <w:tab w:leader="none" w:pos="265" w:val="left"/>
        </w:tabs>
        <w:numPr>
          <w:ilvl w:val="0"/>
          <w:numId w:val="6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applicable minimum death benefit factors varies by Attained Age. This factor applies to a female insured with an Attained Age of 50.</w:t>
      </w:r>
    </w:p>
    <w:p>
      <w:pPr>
        <w:spacing w:after="0" w:line="40" w:lineRule="exact"/>
        <w:rPr>
          <w:rFonts w:ascii="Times New Roman" w:cs="Times New Roman" w:eastAsia="Times New Roman" w:hAnsi="Times New Roman"/>
          <w:sz w:val="18"/>
          <w:szCs w:val="18"/>
          <w:color w:val="auto"/>
          <w:vertAlign w:val="superscript"/>
        </w:rPr>
      </w:pPr>
    </w:p>
    <w:p>
      <w:pPr>
        <w:ind w:left="265" w:right="2999" w:hanging="265"/>
        <w:spacing w:after="0" w:line="222" w:lineRule="auto"/>
        <w:tabs>
          <w:tab w:leader="none" w:pos="265" w:val="left"/>
        </w:tabs>
        <w:numPr>
          <w:ilvl w:val="0"/>
          <w:numId w:val="67"/>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The Death Benefit is equal to the greater of the Face Amount or the Cash Value, plus any Annual Deduction refund, times the applicable minimum death benefit factor. The Death Benefit is calculated as follows:</w:t>
      </w:r>
    </w:p>
    <w:p>
      <w:pPr>
        <w:spacing w:after="0" w:line="41" w:lineRule="exact"/>
        <w:rPr>
          <w:sz w:val="20"/>
          <w:szCs w:val="20"/>
          <w:color w:val="auto"/>
        </w:rPr>
      </w:pPr>
    </w:p>
    <w:p>
      <w:pPr>
        <w:ind w:left="5"/>
        <w:spacing w:after="0"/>
        <w:rPr>
          <w:sz w:val="20"/>
          <w:szCs w:val="20"/>
          <w:color w:val="auto"/>
        </w:rPr>
      </w:pPr>
      <w:r>
        <w:rPr>
          <w:rFonts w:ascii="Times New Roman" w:cs="Times New Roman" w:eastAsia="Times New Roman" w:hAnsi="Times New Roman"/>
          <w:sz w:val="14"/>
          <w:szCs w:val="14"/>
          <w:color w:val="auto"/>
        </w:rPr>
        <w:t>Greater of:</w:t>
      </w:r>
    </w:p>
    <w:p>
      <w:pPr>
        <w:spacing w:after="0" w:line="62" w:lineRule="exact"/>
        <w:rPr>
          <w:sz w:val="20"/>
          <w:szCs w:val="20"/>
          <w:color w:val="auto"/>
        </w:rPr>
      </w:pPr>
    </w:p>
    <w:p>
      <w:pPr>
        <w:jc w:val="center"/>
        <w:ind w:right="2974"/>
        <w:spacing w:after="0"/>
        <w:rPr>
          <w:sz w:val="20"/>
          <w:szCs w:val="20"/>
          <w:color w:val="auto"/>
        </w:rPr>
      </w:pPr>
      <w:r>
        <w:rPr>
          <w:rFonts w:ascii="Times New Roman" w:cs="Times New Roman" w:eastAsia="Times New Roman" w:hAnsi="Times New Roman"/>
          <w:sz w:val="14"/>
          <w:szCs w:val="14"/>
          <w:color w:val="auto"/>
        </w:rPr>
        <w:t>$100,000 [Face Amount] or (($52,500 [Cash Value] + $501 [Annual Deduction refund])</w:t>
      </w:r>
    </w:p>
    <w:p>
      <w:pPr>
        <w:jc w:val="center"/>
        <w:ind w:right="2934"/>
        <w:spacing w:after="0"/>
        <w:rPr>
          <w:sz w:val="20"/>
          <w:szCs w:val="20"/>
          <w:color w:val="auto"/>
        </w:rPr>
      </w:pPr>
      <w:r>
        <w:rPr>
          <w:rFonts w:ascii="Times New Roman" w:cs="Times New Roman" w:eastAsia="Times New Roman" w:hAnsi="Times New Roman"/>
          <w:sz w:val="14"/>
          <w:szCs w:val="14"/>
          <w:color w:val="auto"/>
        </w:rPr>
        <w:t>x 1.982 [applicable minimum death benefit factor]) = $105,048</w:t>
      </w:r>
    </w:p>
    <w:p>
      <w:pPr>
        <w:spacing w:after="0" w:line="243" w:lineRule="exact"/>
        <w:rPr>
          <w:sz w:val="20"/>
          <w:szCs w:val="20"/>
          <w:color w:val="auto"/>
        </w:rPr>
      </w:pPr>
    </w:p>
    <w:p>
      <w:pPr>
        <w:jc w:val="center"/>
        <w:ind w:right="2934"/>
        <w:spacing w:after="0"/>
        <w:rPr>
          <w:sz w:val="20"/>
          <w:szCs w:val="20"/>
          <w:color w:val="auto"/>
        </w:rPr>
      </w:pPr>
      <w:r>
        <w:rPr>
          <w:rFonts w:ascii="Times New Roman" w:cs="Times New Roman" w:eastAsia="Times New Roman" w:hAnsi="Times New Roman"/>
          <w:sz w:val="14"/>
          <w:szCs w:val="14"/>
          <w:b w:val="1"/>
          <w:bCs w:val="1"/>
          <w:color w:val="auto"/>
        </w:rPr>
        <w:t>SURRENDERS</w:t>
      </w:r>
    </w:p>
    <w:p>
      <w:pPr>
        <w:spacing w:after="0" w:line="90" w:lineRule="exact"/>
        <w:rPr>
          <w:sz w:val="20"/>
          <w:szCs w:val="20"/>
          <w:color w:val="auto"/>
        </w:rPr>
      </w:pPr>
    </w:p>
    <w:p>
      <w:pPr>
        <w:jc w:val="both"/>
        <w:ind w:left="5" w:right="2939" w:firstLine="274"/>
        <w:spacing w:after="0" w:line="267" w:lineRule="auto"/>
        <w:rPr>
          <w:sz w:val="20"/>
          <w:szCs w:val="20"/>
          <w:color w:val="auto"/>
        </w:rPr>
      </w:pPr>
      <w:r>
        <w:rPr>
          <w:rFonts w:ascii="Times New Roman" w:cs="Times New Roman" w:eastAsia="Times New Roman" w:hAnsi="Times New Roman"/>
          <w:sz w:val="13"/>
          <w:szCs w:val="13"/>
          <w:color w:val="auto"/>
        </w:rPr>
        <w:t>You may Surrender the Policy for its Cash Surrender Value at any time while the Insured is living. Partial withdrawals of the Policy’s Cash Value are not permitted. We determine the Cash Surrender Value as of the date when we receive your request for Surrender. See “REQUESTS AND ELECTIONS.” The Cash Surrender Value equals the Cash Value plus any Annual Deduction refund less any Policy Loan Balance and any applicable Surrender charge. (See “Surrender charge” under “CHARGES.”) If you Surrender the Policy within thirty-one</w:t>
      </w:r>
    </w:p>
    <w:p>
      <w:pPr>
        <w:spacing w:after="0" w:line="3" w:lineRule="exact"/>
        <w:rPr>
          <w:sz w:val="20"/>
          <w:szCs w:val="20"/>
          <w:color w:val="auto"/>
        </w:rPr>
      </w:pPr>
    </w:p>
    <w:p>
      <w:pPr>
        <w:jc w:val="both"/>
        <w:ind w:left="5" w:right="2939" w:hanging="5"/>
        <w:spacing w:after="0" w:line="247" w:lineRule="auto"/>
        <w:tabs>
          <w:tab w:leader="none" w:pos="275"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days after the Policy Anniversary date, we will pay you the greater of (1) your Cash Surrender Value on the most recent Policy Anniversary date, reduced by any loans taken and any Loan Interest accrued since the Policy Anniversary Date, or (2) your Cash Surrender Value as of the date when we receive your request for Surrender. Coverage will terminate on the date you Surrender the Policy.</w:t>
      </w:r>
    </w:p>
    <w:p>
      <w:pPr>
        <w:spacing w:after="0" w:line="62" w:lineRule="exact"/>
        <w:rPr>
          <w:sz w:val="20"/>
          <w:szCs w:val="20"/>
          <w:color w:val="auto"/>
        </w:rPr>
      </w:pPr>
    </w:p>
    <w:p>
      <w:pPr>
        <w:jc w:val="both"/>
        <w:ind w:left="5" w:right="2939" w:firstLine="274"/>
        <w:spacing w:after="0" w:line="259" w:lineRule="auto"/>
        <w:rPr>
          <w:sz w:val="20"/>
          <w:szCs w:val="20"/>
          <w:color w:val="auto"/>
        </w:rPr>
      </w:pPr>
      <w:r>
        <w:rPr>
          <w:rFonts w:ascii="Times New Roman" w:cs="Times New Roman" w:eastAsia="Times New Roman" w:hAnsi="Times New Roman"/>
          <w:sz w:val="14"/>
          <w:szCs w:val="14"/>
          <w:b w:val="1"/>
          <w:bCs w:val="1"/>
          <w:color w:val="auto"/>
        </w:rPr>
        <w:t>If you Surrender your Policy on any day other than a Policy Anniversary date (including to exercise your Free Look Right), any available Cash Surrender Value that is invested in Indexed Accounts will be based on Interim Segment Value.</w:t>
      </w:r>
    </w:p>
    <w:p>
      <w:pPr>
        <w:spacing w:after="0" w:line="59" w:lineRule="exact"/>
        <w:rPr>
          <w:sz w:val="20"/>
          <w:szCs w:val="20"/>
          <w:color w:val="auto"/>
        </w:rPr>
      </w:pPr>
    </w:p>
    <w:p>
      <w:pPr>
        <w:jc w:val="both"/>
        <w:ind w:left="5" w:right="2939" w:firstLine="274"/>
        <w:spacing w:after="0" w:line="256" w:lineRule="auto"/>
        <w:rPr>
          <w:sz w:val="20"/>
          <w:szCs w:val="20"/>
          <w:color w:val="auto"/>
        </w:rPr>
      </w:pPr>
      <w:r>
        <w:rPr>
          <w:rFonts w:ascii="Times New Roman" w:cs="Times New Roman" w:eastAsia="Times New Roman" w:hAnsi="Times New Roman"/>
          <w:sz w:val="14"/>
          <w:szCs w:val="14"/>
          <w:color w:val="auto"/>
        </w:rPr>
        <w:t>The Cash Surrender Value will be paid to you in a lump sum. Once a Policy is Surrendered, all coverage and benefits cease and cannot be reinstated. A Surrender may result in adverse tax consequences. (See “FEDERAL TAX CONSIDERATIONS” below.)</w:t>
      </w:r>
    </w:p>
    <w:p>
      <w:pPr>
        <w:spacing w:after="0" w:line="61" w:lineRule="exact"/>
        <w:rPr>
          <w:sz w:val="20"/>
          <w:szCs w:val="20"/>
          <w:color w:val="auto"/>
        </w:rPr>
      </w:pPr>
    </w:p>
    <w:p>
      <w:pPr>
        <w:jc w:val="both"/>
        <w:ind w:left="5" w:right="2939" w:firstLine="274"/>
        <w:spacing w:after="0" w:line="251" w:lineRule="auto"/>
        <w:rPr>
          <w:sz w:val="20"/>
          <w:szCs w:val="20"/>
          <w:color w:val="auto"/>
        </w:rPr>
      </w:pPr>
      <w:r>
        <w:rPr>
          <w:rFonts w:ascii="Times New Roman" w:cs="Times New Roman" w:eastAsia="Times New Roman" w:hAnsi="Times New Roman"/>
          <w:sz w:val="14"/>
          <w:szCs w:val="14"/>
          <w:color w:val="auto"/>
        </w:rPr>
        <w:t>If the GDR is not in force, the Policy will stay in effect after Attained Age 121 as long as the Cash Value (after deducting any Policy Loan Balance, Annual Deduction, and Surrender charge) remains greater than or equal to zero. If the GDR is in force, the Lifetime Lapse Prevention Benefit guarantees that your Policy will not lapse, subject to certain conditions. See “Operation of the Lifetime Lapse Prevention Benefit” under “GUARANTEED DISTRIBUTION RIDER.”</w:t>
      </w:r>
    </w:p>
    <w:p>
      <w:pPr>
        <w:spacing w:after="0" w:line="63" w:lineRule="exact"/>
        <w:rPr>
          <w:sz w:val="20"/>
          <w:szCs w:val="20"/>
          <w:color w:val="auto"/>
        </w:rPr>
      </w:pPr>
    </w:p>
    <w:p>
      <w:pPr>
        <w:jc w:val="both"/>
        <w:ind w:left="5" w:right="2939" w:firstLine="274"/>
        <w:spacing w:after="0" w:line="251" w:lineRule="auto"/>
        <w:rPr>
          <w:sz w:val="20"/>
          <w:szCs w:val="20"/>
          <w:color w:val="auto"/>
        </w:rPr>
      </w:pPr>
      <w:r>
        <w:rPr>
          <w:rFonts w:ascii="Times New Roman" w:cs="Times New Roman" w:eastAsia="Times New Roman" w:hAnsi="Times New Roman"/>
          <w:sz w:val="14"/>
          <w:szCs w:val="14"/>
          <w:color w:val="auto"/>
        </w:rPr>
        <w:t>The Policies are designed to be long-term investments. If you Surrender your Policy on any day other than a Policy Anniversary (including to exercise your right to cancel), any available Cash Surrender Value that is invested in Indexed Accounts will be based on Interim Segment Value. In extreme circumstances, you could lose all or a significant portion of the value of an Indexed Account if you Surrender from the Indexed Account before the Segment Maturity Date.</w:t>
      </w:r>
    </w:p>
    <w:p>
      <w:pPr>
        <w:spacing w:after="0" w:line="224" w:lineRule="exact"/>
        <w:rPr>
          <w:sz w:val="20"/>
          <w:szCs w:val="20"/>
          <w:color w:val="auto"/>
        </w:rPr>
      </w:pPr>
    </w:p>
    <w:p>
      <w:pPr>
        <w:ind w:left="1905"/>
        <w:spacing w:after="0"/>
        <w:rPr>
          <w:sz w:val="20"/>
          <w:szCs w:val="20"/>
          <w:color w:val="auto"/>
        </w:rPr>
      </w:pPr>
      <w:r>
        <w:rPr>
          <w:rFonts w:ascii="Times New Roman" w:cs="Times New Roman" w:eastAsia="Times New Roman" w:hAnsi="Times New Roman"/>
          <w:sz w:val="14"/>
          <w:szCs w:val="14"/>
          <w:b w:val="1"/>
          <w:bCs w:val="1"/>
          <w:color w:val="auto"/>
        </w:rPr>
        <w:t>GUARANTEED DISTRIBUTION RIDER</w:t>
      </w:r>
    </w:p>
    <w:p>
      <w:pPr>
        <w:spacing w:after="0" w:line="90" w:lineRule="exact"/>
        <w:rPr>
          <w:sz w:val="20"/>
          <w:szCs w:val="20"/>
          <w:color w:val="auto"/>
        </w:rPr>
      </w:pPr>
    </w:p>
    <w:p>
      <w:pPr>
        <w:jc w:val="both"/>
        <w:ind w:left="5" w:right="2939" w:firstLine="274"/>
        <w:spacing w:after="0" w:line="249" w:lineRule="auto"/>
        <w:rPr>
          <w:sz w:val="20"/>
          <w:szCs w:val="20"/>
          <w:color w:val="auto"/>
        </w:rPr>
      </w:pPr>
      <w:r>
        <w:rPr>
          <w:rFonts w:ascii="Times New Roman" w:cs="Times New Roman" w:eastAsia="Times New Roman" w:hAnsi="Times New Roman"/>
          <w:sz w:val="14"/>
          <w:szCs w:val="14"/>
          <w:color w:val="auto"/>
        </w:rPr>
        <w:t>The Guaranteed Distribution Rider (“GDR”) is automatically issued with the Policy at an additional charge and guarantees you will receive distribution payments in the form of loans over a certain period of time. The Distribution Payments will reduce the Policy’s unloaned Cash Value and the Policy Proceeds payable to your beneficiary. However, the GDR also includes a Lifetime Lapse Prevention Benefit and guarantees a minimum amount of Policy Proceeds ($10,000) upon the Insured’s death. The GDR, including the Lifetime Lapse Prevention Benefit, for your Policy is described below. The GDR can be cancelled or terminated at any time as stated below (see “Termination of the GDR” below).</w:t>
      </w:r>
    </w:p>
    <w:p>
      <w:pPr>
        <w:spacing w:after="0" w:line="65" w:lineRule="exact"/>
        <w:rPr>
          <w:sz w:val="20"/>
          <w:szCs w:val="20"/>
          <w:color w:val="auto"/>
        </w:rPr>
      </w:pPr>
    </w:p>
    <w:p>
      <w:pPr>
        <w:jc w:val="both"/>
        <w:ind w:left="5" w:right="2939" w:firstLine="274"/>
        <w:spacing w:after="0" w:line="252" w:lineRule="auto"/>
        <w:rPr>
          <w:sz w:val="20"/>
          <w:szCs w:val="20"/>
          <w:color w:val="auto"/>
        </w:rPr>
      </w:pPr>
      <w:r>
        <w:rPr>
          <w:rFonts w:ascii="Times New Roman" w:cs="Times New Roman" w:eastAsia="Times New Roman" w:hAnsi="Times New Roman"/>
          <w:sz w:val="14"/>
          <w:szCs w:val="14"/>
          <w:color w:val="auto"/>
        </w:rPr>
        <w:t>Distribution Payments are loans. However, Distribution Payments and loans that are not Distribution Payments do not function in the same way, and it is important to understand the differences. The provisions described in “Loans that are not Distribution Payments” under the “LOANS” section do not apply to Distribution Payments.</w:t>
      </w:r>
    </w:p>
    <w:p>
      <w:pPr>
        <w:spacing w:after="0" w:line="143" w:lineRule="exact"/>
        <w:rPr>
          <w:sz w:val="20"/>
          <w:szCs w:val="20"/>
          <w:color w:val="auto"/>
        </w:rPr>
      </w:pPr>
    </w:p>
    <w:p>
      <w:pPr>
        <w:ind w:left="5"/>
        <w:spacing w:after="0"/>
        <w:rPr>
          <w:sz w:val="20"/>
          <w:szCs w:val="20"/>
          <w:color w:val="auto"/>
        </w:rPr>
      </w:pPr>
      <w:r>
        <w:rPr>
          <w:rFonts w:ascii="Times New Roman" w:cs="Times New Roman" w:eastAsia="Times New Roman" w:hAnsi="Times New Roman"/>
          <w:sz w:val="14"/>
          <w:szCs w:val="14"/>
          <w:b w:val="1"/>
          <w:bCs w:val="1"/>
          <w:color w:val="auto"/>
        </w:rPr>
        <w:t>GDR Charge</w:t>
      </w:r>
    </w:p>
    <w:p>
      <w:pPr>
        <w:spacing w:after="0" w:line="90" w:lineRule="exact"/>
        <w:rPr>
          <w:sz w:val="20"/>
          <w:szCs w:val="20"/>
          <w:color w:val="auto"/>
        </w:rPr>
      </w:pPr>
    </w:p>
    <w:p>
      <w:pPr>
        <w:jc w:val="both"/>
        <w:ind w:left="5" w:right="2939" w:firstLine="274"/>
        <w:spacing w:after="0" w:line="252" w:lineRule="auto"/>
        <w:rPr>
          <w:sz w:val="20"/>
          <w:szCs w:val="20"/>
          <w:color w:val="auto"/>
        </w:rPr>
      </w:pPr>
      <w:r>
        <w:rPr>
          <w:rFonts w:ascii="Times New Roman" w:cs="Times New Roman" w:eastAsia="Times New Roman" w:hAnsi="Times New Roman"/>
          <w:sz w:val="14"/>
          <w:szCs w:val="14"/>
          <w:color w:val="auto"/>
        </w:rPr>
        <w:t xml:space="preserve">The GDR Charge, which is assessed based on the Cash Value or the Face Amount, will be deducted from your Policy’s Cash Value in accordance with the Policy Deduction Method. </w:t>
      </w:r>
      <w:r>
        <w:rPr>
          <w:rFonts w:ascii="Times New Roman" w:cs="Times New Roman" w:eastAsia="Times New Roman" w:hAnsi="Times New Roman"/>
          <w:sz w:val="14"/>
          <w:szCs w:val="14"/>
          <w:b w:val="1"/>
          <w:bCs w:val="1"/>
          <w:color w:val="auto"/>
        </w:rPr>
        <w:t>Distribution Payments do not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reduce the Face Amount, which means the GDR charge could continue to be based on the full Face Amount even though the Policy Proceeds</w:t>
      </w:r>
    </w:p>
    <w:p>
      <w:pPr>
        <w:spacing w:after="0" w:line="208" w:lineRule="exact"/>
        <w:rPr>
          <w:sz w:val="20"/>
          <w:szCs w:val="20"/>
          <w:color w:val="auto"/>
        </w:rPr>
      </w:pPr>
    </w:p>
    <w:p>
      <w:pPr>
        <w:ind w:left="3085"/>
        <w:spacing w:after="0"/>
        <w:rPr>
          <w:sz w:val="20"/>
          <w:szCs w:val="20"/>
          <w:color w:val="auto"/>
        </w:rPr>
      </w:pPr>
      <w:r>
        <w:rPr>
          <w:rFonts w:ascii="Times New Roman" w:cs="Times New Roman" w:eastAsia="Times New Roman" w:hAnsi="Times New Roman"/>
          <w:sz w:val="14"/>
          <w:szCs w:val="14"/>
          <w:color w:val="auto"/>
        </w:rPr>
        <w:t>52</w:t>
      </w:r>
    </w:p>
    <w:p>
      <w:pPr>
        <w:sectPr>
          <w:pgSz w:w="11900" w:h="16838" w:orient="portrait"/>
          <w:cols w:equalWidth="0" w:num="1">
            <w:col w:w="9224"/>
          </w:cols>
          <w:pgMar w:left="1235" w:top="984" w:right="1440" w:bottom="1440" w:gutter="0" w:footer="0" w:header="0"/>
        </w:sectPr>
      </w:pPr>
    </w:p>
    <w:bookmarkStart w:id="55" w:name="page56"/>
    <w:bookmarkEnd w:id="55"/>
    <w:p>
      <w:pPr>
        <w:jc w:val="both"/>
        <w:ind w:right="2939"/>
        <w:spacing w:after="0" w:line="254" w:lineRule="auto"/>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422275</wp:posOffset>
            </wp:positionV>
            <wp:extent cx="719010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90105" cy="38735"/>
                    </a:xfrm>
                    <a:prstGeom prst="rect">
                      <a:avLst/>
                    </a:prstGeom>
                    <a:noFill/>
                  </pic:spPr>
                </pic:pic>
              </a:graphicData>
            </a:graphic>
          </wp:anchor>
        </w:drawing>
        <w:t xml:space="preserve">payable to your beneficiary are reduced because of the Distribution Payments. </w:t>
      </w:r>
      <w:r>
        <w:rPr>
          <w:rFonts w:ascii="Times New Roman" w:cs="Times New Roman" w:eastAsia="Times New Roman" w:hAnsi="Times New Roman"/>
          <w:sz w:val="14"/>
          <w:szCs w:val="14"/>
          <w:color w:val="auto"/>
        </w:rPr>
        <w:t>The GDR Charge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compensates us generally for the risks associated with guaranteeing distribution payments. If Distribution Payments terminate or the GDR terminates, we will no longer deduct the GDR Charge (see “Termination of the GDR” below).</w:t>
      </w:r>
    </w:p>
    <w:p>
      <w:pPr>
        <w:spacing w:after="0" w:line="7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Before the Distribution Start Date, the GDR Charge is equal to the GDR Charge rate (described below)</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multiplied by the greater of:</w:t>
      </w:r>
    </w:p>
    <w:p>
      <w:pPr>
        <w:spacing w:after="0" w:line="74" w:lineRule="exact"/>
        <w:rPr>
          <w:sz w:val="20"/>
          <w:szCs w:val="20"/>
          <w:color w:val="auto"/>
        </w:rPr>
      </w:pPr>
    </w:p>
    <w:p>
      <w:pPr>
        <w:ind w:left="540" w:hanging="271"/>
        <w:spacing w:after="0"/>
        <w:tabs>
          <w:tab w:leader="none" w:pos="54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Policy’s Cash Value as of the Policy Anniversary; or</w:t>
      </w:r>
    </w:p>
    <w:p>
      <w:pPr>
        <w:spacing w:after="0" w:line="96" w:lineRule="exact"/>
        <w:rPr>
          <w:rFonts w:ascii="Times New Roman" w:cs="Times New Roman" w:eastAsia="Times New Roman" w:hAnsi="Times New Roman"/>
          <w:sz w:val="14"/>
          <w:szCs w:val="14"/>
          <w:color w:val="auto"/>
        </w:rPr>
      </w:pPr>
    </w:p>
    <w:p>
      <w:pPr>
        <w:ind w:left="540" w:hanging="271"/>
        <w:spacing w:after="0"/>
        <w:tabs>
          <w:tab w:leader="none" w:pos="54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Policy’s Face Amount multiplied by the GDR Charge percentage.</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On or after the Distribution Start Date, the GDR Charge is equal to the GDR Charge rate (described below)</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multiplied by the greater of:</w:t>
      </w:r>
    </w:p>
    <w:p>
      <w:pPr>
        <w:spacing w:after="0" w:line="74" w:lineRule="exact"/>
        <w:rPr>
          <w:sz w:val="20"/>
          <w:szCs w:val="20"/>
          <w:color w:val="auto"/>
        </w:rPr>
      </w:pPr>
    </w:p>
    <w:p>
      <w:pPr>
        <w:ind w:left="540" w:hanging="271"/>
        <w:spacing w:after="0"/>
        <w:tabs>
          <w:tab w:leader="none" w:pos="54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Policy’s Cash Value that was used to determine the Maximum Distribution Payment; or</w:t>
      </w:r>
    </w:p>
    <w:p>
      <w:pPr>
        <w:spacing w:after="0" w:line="96" w:lineRule="exact"/>
        <w:rPr>
          <w:rFonts w:ascii="Times New Roman" w:cs="Times New Roman" w:eastAsia="Times New Roman" w:hAnsi="Times New Roman"/>
          <w:sz w:val="14"/>
          <w:szCs w:val="14"/>
          <w:color w:val="auto"/>
        </w:rPr>
      </w:pPr>
    </w:p>
    <w:p>
      <w:pPr>
        <w:ind w:left="540" w:hanging="271"/>
        <w:spacing w:after="0"/>
        <w:tabs>
          <w:tab w:leader="none" w:pos="54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Policy’s Face Amount multiplied by the GDR Charge percentage.</w:t>
      </w:r>
    </w:p>
    <w:p>
      <w:pPr>
        <w:spacing w:after="0" w:line="96" w:lineRule="exact"/>
        <w:rPr>
          <w:sz w:val="20"/>
          <w:szCs w:val="20"/>
          <w:color w:val="auto"/>
        </w:rPr>
      </w:pPr>
    </w:p>
    <w:p>
      <w:pPr>
        <w:jc w:val="both"/>
        <w:ind w:right="2939" w:firstLine="274"/>
        <w:spacing w:after="0" w:line="256" w:lineRule="auto"/>
        <w:rPr>
          <w:sz w:val="20"/>
          <w:szCs w:val="20"/>
          <w:color w:val="auto"/>
        </w:rPr>
      </w:pPr>
      <w:r>
        <w:rPr>
          <w:rFonts w:ascii="Times New Roman" w:cs="Times New Roman" w:eastAsia="Times New Roman" w:hAnsi="Times New Roman"/>
          <w:sz w:val="14"/>
          <w:szCs w:val="14"/>
          <w:color w:val="auto"/>
        </w:rPr>
        <w:t>The GDR Charge rate and GDR Charge percentage vary based on individual characteristics, including the Insured’s Issue Age and (except for unisex Policies) sex, and, for the GDR Charge percentage, the Distribution Payment Duration. The GDR Charge rate ranges from $6.08 (minimum) to $19.40 (maximum) per $1,000.</w:t>
      </w:r>
    </w:p>
    <w:p>
      <w:pPr>
        <w:spacing w:after="0" w:line="6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GDR Charge percentage ranges from 48% (minimum) to 67% (maximum).</w:t>
      </w:r>
    </w:p>
    <w:p>
      <w:pPr>
        <w:spacing w:after="0" w:line="82" w:lineRule="exact"/>
        <w:rPr>
          <w:sz w:val="20"/>
          <w:szCs w:val="20"/>
          <w:color w:val="auto"/>
        </w:rPr>
      </w:pPr>
    </w:p>
    <w:p>
      <w:pPr>
        <w:jc w:val="both"/>
        <w:ind w:right="2939" w:firstLine="274"/>
        <w:spacing w:after="0" w:line="252" w:lineRule="auto"/>
        <w:rPr>
          <w:sz w:val="20"/>
          <w:szCs w:val="20"/>
          <w:color w:val="auto"/>
        </w:rPr>
      </w:pPr>
      <w:r>
        <w:rPr>
          <w:rFonts w:ascii="Times New Roman" w:cs="Times New Roman" w:eastAsia="Times New Roman" w:hAnsi="Times New Roman"/>
          <w:sz w:val="14"/>
          <w:szCs w:val="14"/>
          <w:b w:val="1"/>
          <w:bCs w:val="1"/>
          <w:color w:val="auto"/>
        </w:rPr>
        <w:t xml:space="preserve">GDR Charge Examples. </w:t>
      </w:r>
      <w:r>
        <w:rPr>
          <w:rFonts w:ascii="Times New Roman" w:cs="Times New Roman" w:eastAsia="Times New Roman" w:hAnsi="Times New Roman"/>
          <w:sz w:val="14"/>
          <w:szCs w:val="14"/>
          <w:color w:val="auto"/>
        </w:rPr>
        <w:t>On any Policy Anniversary prior to the Distribution Start Date, assume your GDR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Charge rate is $12.50 per $1,000, and your GDR Charge percentage is 55%. This is the GDR Charge rate and GDR Charge percentage for a Representative Insured (male, age 50, in the nonsmoker class, under a Policy with a Face Amount of $200,000). Further assume that your Policy’s Cash Value is $125,000, and your Policy Face Amount is $200,000. Your GDR Charge would be $1,563, based on the greater of:</w:t>
      </w:r>
    </w:p>
    <w:p>
      <w:pPr>
        <w:spacing w:after="0" w:line="74" w:lineRule="exact"/>
        <w:rPr>
          <w:sz w:val="20"/>
          <w:szCs w:val="20"/>
          <w:color w:val="auto"/>
        </w:rPr>
      </w:pPr>
    </w:p>
    <w:p>
      <w:pPr>
        <w:ind w:left="540" w:hanging="271"/>
        <w:spacing w:after="0"/>
        <w:tabs>
          <w:tab w:leader="none" w:pos="54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$12.50 ÷ 1,000 [GDR Charge rate] x $125,000 [Cash Value] = $1,563, or</w:t>
      </w:r>
    </w:p>
    <w:p>
      <w:pPr>
        <w:spacing w:after="0" w:line="96" w:lineRule="exact"/>
        <w:rPr>
          <w:rFonts w:ascii="Times New Roman" w:cs="Times New Roman" w:eastAsia="Times New Roman" w:hAnsi="Times New Roman"/>
          <w:sz w:val="14"/>
          <w:szCs w:val="14"/>
          <w:color w:val="auto"/>
        </w:rPr>
      </w:pPr>
    </w:p>
    <w:p>
      <w:pPr>
        <w:ind w:left="540" w:right="3679" w:hanging="271"/>
        <w:spacing w:after="0" w:line="267" w:lineRule="auto"/>
        <w:tabs>
          <w:tab w:leader="none" w:pos="54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$12.50 ÷ 1,000 [GDR Charge rate] x $200,000 [Policy Face Amount] x 55% [GDR Charge Percentage] = $1,375.</w:t>
      </w:r>
    </w:p>
    <w:p>
      <w:pPr>
        <w:spacing w:after="0" w:line="53" w:lineRule="exact"/>
        <w:rPr>
          <w:sz w:val="20"/>
          <w:szCs w:val="20"/>
          <w:color w:val="auto"/>
        </w:rPr>
      </w:pPr>
    </w:p>
    <w:p>
      <w:pPr>
        <w:ind w:right="2939" w:firstLine="274"/>
        <w:spacing w:after="0" w:line="267" w:lineRule="auto"/>
        <w:rPr>
          <w:sz w:val="20"/>
          <w:szCs w:val="20"/>
          <w:color w:val="auto"/>
        </w:rPr>
      </w:pPr>
      <w:r>
        <w:rPr>
          <w:rFonts w:ascii="Times New Roman" w:cs="Times New Roman" w:eastAsia="Times New Roman" w:hAnsi="Times New Roman"/>
          <w:sz w:val="14"/>
          <w:szCs w:val="14"/>
          <w:color w:val="auto"/>
        </w:rPr>
        <w:t>Based on the same assumptions above, on any Policy Anniversary on and after your Distribution Start Date, your GDR Charge would be $1,375, based on the greater of:</w:t>
      </w:r>
    </w:p>
    <w:p>
      <w:pPr>
        <w:spacing w:after="0" w:line="53" w:lineRule="exact"/>
        <w:rPr>
          <w:sz w:val="20"/>
          <w:szCs w:val="20"/>
          <w:color w:val="auto"/>
        </w:rPr>
      </w:pPr>
    </w:p>
    <w:p>
      <w:pPr>
        <w:ind w:left="540" w:right="2999" w:hanging="271"/>
        <w:spacing w:after="0" w:line="267" w:lineRule="auto"/>
        <w:tabs>
          <w:tab w:leader="none" w:pos="54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$12.50 ÷ 1,000 [GDR Charge rate] x $100,000 [Cash Value that was used to determine the Maximum Distribution Payment] = $1,250, or</w:t>
      </w:r>
    </w:p>
    <w:p>
      <w:pPr>
        <w:spacing w:after="0" w:line="53" w:lineRule="exact"/>
        <w:rPr>
          <w:rFonts w:ascii="Times New Roman" w:cs="Times New Roman" w:eastAsia="Times New Roman" w:hAnsi="Times New Roman"/>
          <w:sz w:val="14"/>
          <w:szCs w:val="14"/>
          <w:color w:val="auto"/>
        </w:rPr>
      </w:pPr>
    </w:p>
    <w:p>
      <w:pPr>
        <w:ind w:left="540" w:right="3679" w:hanging="271"/>
        <w:spacing w:after="0" w:line="267" w:lineRule="auto"/>
        <w:tabs>
          <w:tab w:leader="none" w:pos="54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$12.50 ÷ 1,000 [GDR Charge rate] x $200,000 [Policy Face Amount] x 55% [GDR Charge Percentage] = $1,375.</w:t>
      </w:r>
    </w:p>
    <w:p>
      <w:pPr>
        <w:spacing w:after="0" w:line="53" w:lineRule="exact"/>
        <w:rPr>
          <w:sz w:val="20"/>
          <w:szCs w:val="20"/>
          <w:color w:val="auto"/>
        </w:rPr>
      </w:pPr>
    </w:p>
    <w:p>
      <w:pPr>
        <w:jc w:val="both"/>
        <w:ind w:right="2939" w:firstLine="274"/>
        <w:spacing w:after="0" w:line="252" w:lineRule="auto"/>
        <w:rPr>
          <w:sz w:val="20"/>
          <w:szCs w:val="20"/>
          <w:color w:val="auto"/>
        </w:rPr>
      </w:pPr>
      <w:r>
        <w:rPr>
          <w:rFonts w:ascii="Times New Roman" w:cs="Times New Roman" w:eastAsia="Times New Roman" w:hAnsi="Times New Roman"/>
          <w:sz w:val="14"/>
          <w:szCs w:val="14"/>
          <w:color w:val="auto"/>
        </w:rPr>
        <w:t>In the Policy, we refer to the GDR Charge Rate as the Guaranteed Rider Charge Rate and the GDR Charge percentage as the Guaranteed Rider Charge Percentage. The GDR Charge rates and the actual GDR Charge percentage applicable to your Policy are shown in your Policy specifications page. The dollar amount of your GDR Charge will appear on your Annual Statement.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Summary of the GDR</w:t>
      </w:r>
    </w:p>
    <w:p>
      <w:pPr>
        <w:spacing w:after="0" w:line="90" w:lineRule="exact"/>
        <w:rPr>
          <w:sz w:val="20"/>
          <w:szCs w:val="20"/>
          <w:color w:val="auto"/>
        </w:rPr>
      </w:pPr>
    </w:p>
    <w:p>
      <w:pPr>
        <w:jc w:val="both"/>
        <w:ind w:right="2939" w:firstLine="274"/>
        <w:spacing w:after="0" w:line="248" w:lineRule="auto"/>
        <w:rPr>
          <w:sz w:val="20"/>
          <w:szCs w:val="20"/>
          <w:color w:val="auto"/>
        </w:rPr>
      </w:pPr>
      <w:r>
        <w:rPr>
          <w:rFonts w:ascii="Times New Roman" w:cs="Times New Roman" w:eastAsia="Times New Roman" w:hAnsi="Times New Roman"/>
          <w:sz w:val="14"/>
          <w:szCs w:val="14"/>
          <w:color w:val="auto"/>
        </w:rPr>
        <w:t>If your Policy has been in force for at least ten years, you are eligible to exercise the GDR. The Policy cannot be a MEC, and you must repay any Policy Loan Balance before starting Distribution Payments. Your Policy may become a MEC, for example, due to the payment of excess premiums or due to a reduction in your death benefit. Please be aware that the Loan Value calculation described under “Loans that are not Distribution Payments under the GDR” in the “LOANS” section does not apply to Distribution Payments. The Maximum Distribution Payment is the maximum amount available to you for each Distribution Payment, if you were to start Distribution Payments that Policy Year. While Distribution Payments are being made, if necessary, we will increase your Policy’s Cash Value to allow for that Distribution Payment to be made in the form of a loan.</w:t>
      </w:r>
    </w:p>
    <w:p>
      <w:pPr>
        <w:spacing w:after="0" w:line="68" w:lineRule="exact"/>
        <w:rPr>
          <w:sz w:val="20"/>
          <w:szCs w:val="20"/>
          <w:color w:val="auto"/>
        </w:rPr>
      </w:pPr>
    </w:p>
    <w:p>
      <w:pPr>
        <w:jc w:val="both"/>
        <w:ind w:right="2939" w:firstLine="274"/>
        <w:spacing w:after="0" w:line="268" w:lineRule="auto"/>
        <w:rPr>
          <w:sz w:val="20"/>
          <w:szCs w:val="20"/>
          <w:color w:val="auto"/>
        </w:rPr>
      </w:pPr>
      <w:r>
        <w:rPr>
          <w:rFonts w:ascii="Times New Roman" w:cs="Times New Roman" w:eastAsia="Times New Roman" w:hAnsi="Times New Roman"/>
          <w:sz w:val="13"/>
          <w:szCs w:val="13"/>
          <w:color w:val="auto"/>
        </w:rPr>
        <w:t>The Maximum Distribution Payment is calculated for each Policy Anniversary starting in Policy Year 11 until the Policy Owner starts receiving Distribution Payments. If you select an annual Distribution Payment Frequency, the Maximum Distribution Payment is an annual amount and is the maximum that you may receive as a Distribution Payment on the Distribution Start Date and on each Distribution Start Date anniversary. If you select a Distribution Payment Frequency other than annual (monthly, quarterly, or semi-annual), the Maximum Distribution Payment is not an annual amount but is the maximum amount you can receive for each Distribution Payment based on your selected frequency. It is equal to the Cash Value at that time, multiplied by a guaranteed payment rate (the Distribution Payment rate). The Maximum Distribution Payment, as calculated on each Policy Anniversary, will never be less than the Guaranteed Minimum Distribution Payment. The Guaranteed Minimum Distribution Payments are dollar amounts contractually declared at the time we issue the Policy. We</w:t>
      </w:r>
    </w:p>
    <w:p>
      <w:pPr>
        <w:spacing w:after="0" w:line="203"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4"/>
          <w:szCs w:val="14"/>
          <w:color w:val="auto"/>
        </w:rPr>
        <w:t>53</w:t>
      </w:r>
    </w:p>
    <w:p>
      <w:pPr>
        <w:sectPr>
          <w:pgSz w:w="11900" w:h="16838" w:orient="portrait"/>
          <w:cols w:equalWidth="0" w:num="1">
            <w:col w:w="9219"/>
          </w:cols>
          <w:pgMar w:left="1240" w:top="1079" w:right="1440" w:bottom="1440" w:gutter="0" w:footer="0" w:header="0"/>
        </w:sectPr>
      </w:pPr>
    </w:p>
    <w:bookmarkStart w:id="56" w:name="page57"/>
    <w:bookmarkEnd w:id="56"/>
    <w:p>
      <w:pPr>
        <w:jc w:val="both"/>
        <w:ind w:right="2939"/>
        <w:spacing w:after="0" w:line="24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422275</wp:posOffset>
            </wp:positionV>
            <wp:extent cx="719010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90105" cy="38735"/>
                    </a:xfrm>
                    <a:prstGeom prst="rect">
                      <a:avLst/>
                    </a:prstGeom>
                    <a:noFill/>
                  </pic:spPr>
                </pic:pic>
              </a:graphicData>
            </a:graphic>
          </wp:anchor>
        </w:drawing>
        <w:t>declare these amounts based on the Face Amount, and your Issue Age, (except for unisex Policies) sex, and chosen Distribution Payment Duration. The amounts generally increase depending upon when you begin Distribution Payments, as shown in the Rider specifications page. Please see the first bullet under “Minimum and Maximum Limits for Distribution Payments” below for sample Guaranteed Minimum Distribution Payments based on Representative Insured. Distribution Payments may be paid past the selected Distribution Payment Duration if you chose a Distribution Payment amount that was less than the Maximum Distribution Payment, and the cumulative Distribution Payments you have received are less than the cumulative Maximum Distribution Payment amounts available to you.</w:t>
      </w:r>
    </w:p>
    <w:p>
      <w:pPr>
        <w:spacing w:after="0" w:line="68" w:lineRule="exact"/>
        <w:rPr>
          <w:sz w:val="20"/>
          <w:szCs w:val="20"/>
          <w:color w:val="auto"/>
        </w:rPr>
      </w:pPr>
    </w:p>
    <w:p>
      <w:pPr>
        <w:jc w:val="both"/>
        <w:ind w:right="2939" w:firstLine="274"/>
        <w:spacing w:after="0" w:line="251" w:lineRule="auto"/>
        <w:rPr>
          <w:sz w:val="20"/>
          <w:szCs w:val="20"/>
          <w:color w:val="auto"/>
        </w:rPr>
      </w:pPr>
      <w:r>
        <w:rPr>
          <w:rFonts w:ascii="Times New Roman" w:cs="Times New Roman" w:eastAsia="Times New Roman" w:hAnsi="Times New Roman"/>
          <w:sz w:val="14"/>
          <w:szCs w:val="14"/>
          <w:color w:val="auto"/>
        </w:rPr>
        <w:t>Once the Policy Owner starts receiving Distribution Payments, they may receive up to the calculated Maximum Distribution Payment as of that date. The Maximum Distribution Payment amount will not change after the Distribution Start Date and will not be recalculated at subsequent Policy Anniversaries. Distribution Payments can also be voluntarily suspended at any time. They may be restarted but any suspension must be in effect for at least one year from the last Distribution Payment received.</w:t>
      </w:r>
    </w:p>
    <w:p>
      <w:pPr>
        <w:spacing w:after="0" w:line="63" w:lineRule="exact"/>
        <w:rPr>
          <w:sz w:val="20"/>
          <w:szCs w:val="20"/>
          <w:color w:val="auto"/>
        </w:rPr>
      </w:pPr>
    </w:p>
    <w:p>
      <w:pPr>
        <w:jc w:val="both"/>
        <w:ind w:right="2939" w:firstLine="274"/>
        <w:spacing w:after="0" w:line="267" w:lineRule="auto"/>
        <w:rPr>
          <w:sz w:val="20"/>
          <w:szCs w:val="20"/>
          <w:color w:val="auto"/>
        </w:rPr>
      </w:pPr>
      <w:r>
        <w:rPr>
          <w:rFonts w:ascii="Times New Roman" w:cs="Times New Roman" w:eastAsia="Times New Roman" w:hAnsi="Times New Roman"/>
          <w:sz w:val="14"/>
          <w:szCs w:val="14"/>
          <w:color w:val="auto"/>
        </w:rPr>
        <w:t>The GDR also has a Lifetime Lapse Prevention Benefit that guarantees the Policy will not lapse while the GDR is in force, provided Annual Lapse Prevention Premiums are paid when due and there is no Excess Loan.</w:t>
      </w:r>
    </w:p>
    <w:p>
      <w:pPr>
        <w:spacing w:after="0" w:line="53" w:lineRule="exact"/>
        <w:rPr>
          <w:sz w:val="20"/>
          <w:szCs w:val="20"/>
          <w:color w:val="auto"/>
        </w:rPr>
      </w:pPr>
    </w:p>
    <w:p>
      <w:pPr>
        <w:jc w:val="both"/>
        <w:ind w:right="2939" w:firstLine="274"/>
        <w:spacing w:after="0" w:line="251" w:lineRule="auto"/>
        <w:rPr>
          <w:sz w:val="20"/>
          <w:szCs w:val="20"/>
          <w:color w:val="auto"/>
        </w:rPr>
      </w:pPr>
      <w:r>
        <w:rPr>
          <w:rFonts w:ascii="Times New Roman" w:cs="Times New Roman" w:eastAsia="Times New Roman" w:hAnsi="Times New Roman"/>
          <w:sz w:val="14"/>
          <w:szCs w:val="14"/>
          <w:color w:val="auto"/>
        </w:rPr>
        <w:t>Distribution Payments will terminate under certain circumstances. See “Termination of Distribution Payments” below. If Distribution Payments terminate, the other provisions of the GDR, such as the Lifetime Lapse Prevention Benefit will remain in effect. In addition, the GDR will terminate under certain circumstances. See “Termination of the GDR” below. If the GDR terminates, all benefits and protections offered by the GDR will terminate, including Distribution Payments and the Lifetime Lapse Prevention Benefit.</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Distribution Payments</w:t>
      </w:r>
    </w:p>
    <w:p>
      <w:pPr>
        <w:spacing w:after="0" w:line="90" w:lineRule="exact"/>
        <w:rPr>
          <w:sz w:val="20"/>
          <w:szCs w:val="20"/>
          <w:color w:val="auto"/>
        </w:rPr>
      </w:pPr>
    </w:p>
    <w:p>
      <w:pPr>
        <w:jc w:val="both"/>
        <w:ind w:right="2939" w:firstLine="274"/>
        <w:spacing w:after="0" w:line="248" w:lineRule="auto"/>
        <w:rPr>
          <w:sz w:val="20"/>
          <w:szCs w:val="20"/>
          <w:color w:val="auto"/>
        </w:rPr>
      </w:pPr>
      <w:r>
        <w:rPr>
          <w:rFonts w:ascii="Times New Roman" w:cs="Times New Roman" w:eastAsia="Times New Roman" w:hAnsi="Times New Roman"/>
          <w:sz w:val="14"/>
          <w:szCs w:val="14"/>
          <w:color w:val="auto"/>
        </w:rPr>
        <w:t>Distribution Payments start on the Distribution Start Date, and you specify the amount of each Distribution Payment, subject to the Maximum Distribution Payment and Distribution Payment minimum. The Maximum Distribution Payment, the Distribution Payment Frequency, and the Distribution Payment Duration are locked in on the Distribution Start Date; however, you may request to change the amount of the Distribution Payment at any time. We will change your Distribution Payment on the next monthly anniversary that is at least 15 calendar days after we receive your Notice of your request to change the Distribution Payment amount. You can increase the amount of future Distribution Payments up to the Maximum Distribution Payment. See Appendix D for Distribution Payment examples.</w:t>
      </w:r>
    </w:p>
    <w:p>
      <w:pPr>
        <w:spacing w:after="0" w:line="6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When thinking about Distribution Payments, consider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4"/>
          <w:szCs w:val="14"/>
          <w:color w:val="auto"/>
        </w:rPr>
        <w:t>54</w:t>
      </w:r>
    </w:p>
    <w:p>
      <w:pPr>
        <w:sectPr>
          <w:pgSz w:w="11900" w:h="16838" w:orient="portrait"/>
          <w:cols w:equalWidth="0" w:num="1">
            <w:col w:w="9219"/>
          </w:cols>
          <w:pgMar w:left="1240" w:top="1083" w:right="1440" w:bottom="1440" w:gutter="0" w:footer="0" w:header="0"/>
        </w:sectPr>
      </w:pPr>
    </w:p>
    <w:bookmarkStart w:id="57" w:name="page58"/>
    <w:bookmarkEnd w:id="57"/>
    <w:tbl>
      <w:tblPr>
        <w:tblLayout w:type="fixed"/>
        <w:tblInd w:w="10" w:type="dxa"/>
        <w:tblCellMar>
          <w:top w:w="0" w:type="dxa"/>
          <w:left w:w="0" w:type="dxa"/>
          <w:bottom w:w="0" w:type="dxa"/>
          <w:right w:w="0" w:type="dxa"/>
        </w:tblCellMar>
      </w:tblPr>
      <w:tr>
        <w:trPr>
          <w:trHeight w:val="161"/>
        </w:trPr>
        <w:tc>
          <w:tcPr>
            <w:tcW w:w="1360" w:type="dxa"/>
            <w:vAlign w:val="bottom"/>
            <w:tcBorders>
              <w:top w:val="single" w:sz="8" w:color="auto"/>
              <w:left w:val="single" w:sz="8" w:color="auto"/>
              <w:right w:val="single" w:sz="8" w:color="auto"/>
            </w:tcBorders>
          </w:tcPr>
          <w:p>
            <w:pPr>
              <w:spacing w:after="0"/>
              <w:rPr>
                <w:sz w:val="13"/>
                <w:szCs w:val="13"/>
                <w:color w:val="auto"/>
              </w:rPr>
            </w:pPr>
          </w:p>
        </w:tc>
        <w:tc>
          <w:tcPr>
            <w:tcW w:w="1720" w:type="dxa"/>
            <w:vAlign w:val="bottom"/>
            <w:tcBorders>
              <w:top w:val="single" w:sz="8" w:color="auto"/>
              <w:right w:val="single" w:sz="8" w:color="auto"/>
            </w:tcBorders>
          </w:tcPr>
          <w:p>
            <w:pPr>
              <w:spacing w:after="0"/>
              <w:rPr>
                <w:sz w:val="13"/>
                <w:szCs w:val="13"/>
                <w:color w:val="auto"/>
              </w:rPr>
            </w:pPr>
          </w:p>
        </w:tc>
        <w:tc>
          <w:tcPr>
            <w:tcW w:w="1740" w:type="dxa"/>
            <w:vAlign w:val="bottom"/>
            <w:tcBorders>
              <w:top w:val="single" w:sz="8" w:color="auto"/>
              <w:right w:val="single" w:sz="8" w:color="auto"/>
            </w:tcBorders>
          </w:tcPr>
          <w:p>
            <w:pPr>
              <w:spacing w:after="0"/>
              <w:rPr>
                <w:sz w:val="13"/>
                <w:szCs w:val="13"/>
                <w:color w:val="auto"/>
              </w:rPr>
            </w:pPr>
          </w:p>
        </w:tc>
        <w:tc>
          <w:tcPr>
            <w:tcW w:w="16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Impact to Distribution Payment</w:t>
            </w:r>
          </w:p>
        </w:tc>
      </w:tr>
      <w:tr>
        <w:trPr>
          <w:trHeight w:val="164"/>
        </w:trPr>
        <w:tc>
          <w:tcPr>
            <w:tcW w:w="1360" w:type="dxa"/>
            <w:vAlign w:val="bottom"/>
            <w:tcBorders>
              <w:left w:val="single" w:sz="8" w:color="auto"/>
              <w:bottom w:val="single" w:sz="8" w:color="auto"/>
              <w:right w:val="single" w:sz="8" w:color="auto"/>
            </w:tcBorders>
          </w:tcPr>
          <w:p>
            <w:pPr>
              <w:spacing w:after="0"/>
              <w:rPr>
                <w:sz w:val="14"/>
                <w:szCs w:val="14"/>
                <w:color w:val="auto"/>
              </w:rPr>
            </w:pP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When Election is Made</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Options and Limitations</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amounts</w:t>
            </w:r>
          </w:p>
        </w:tc>
      </w:tr>
      <w:tr>
        <w:trPr>
          <w:trHeight w:val="193"/>
        </w:trPr>
        <w:tc>
          <w:tcPr>
            <w:tcW w:w="1360" w:type="dxa"/>
            <w:vAlign w:val="bottom"/>
            <w:tcBorders>
              <w:left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color w:val="auto"/>
                <w:w w:val="98"/>
              </w:rPr>
              <w:t>Distribution Payment</w:t>
            </w:r>
          </w:p>
        </w:tc>
        <w:tc>
          <w:tcPr>
            <w:tcW w:w="172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color w:val="auto"/>
                <w:w w:val="98"/>
              </w:rPr>
              <w:t>At the time you purchase</w:t>
            </w:r>
          </w:p>
        </w:tc>
        <w:tc>
          <w:tcPr>
            <w:tcW w:w="174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color w:val="auto"/>
                <w:w w:val="98"/>
              </w:rPr>
              <w:t>The available durations are</w:t>
            </w:r>
          </w:p>
        </w:tc>
        <w:tc>
          <w:tcPr>
            <w:tcW w:w="166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color w:val="auto"/>
                <w:w w:val="98"/>
              </w:rPr>
              <w:t>In general, a shorter</w:t>
            </w:r>
          </w:p>
        </w:tc>
      </w:tr>
      <w:tr>
        <w:trPr>
          <w:trHeight w:val="176"/>
        </w:trPr>
        <w:tc>
          <w:tcPr>
            <w:tcW w:w="1360" w:type="dxa"/>
            <w:vAlign w:val="bottom"/>
            <w:tcBorders>
              <w:left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color w:val="auto"/>
                <w:w w:val="96"/>
              </w:rPr>
              <w:t>Duration</w:t>
            </w:r>
          </w:p>
        </w:tc>
        <w:tc>
          <w:tcPr>
            <w:tcW w:w="172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color w:val="auto"/>
                <w:w w:val="97"/>
              </w:rPr>
              <w:t>the Policy, although you can</w:t>
            </w:r>
          </w:p>
        </w:tc>
        <w:tc>
          <w:tcPr>
            <w:tcW w:w="174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color w:val="auto"/>
                <w:w w:val="96"/>
              </w:rPr>
              <w:t>10-year, 20-year, and</w:t>
            </w:r>
          </w:p>
        </w:tc>
        <w:tc>
          <w:tcPr>
            <w:tcW w:w="166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color w:val="auto"/>
                <w:w w:val="98"/>
              </w:rPr>
              <w:t>Distribution Payment</w:t>
            </w:r>
          </w:p>
        </w:tc>
      </w:tr>
      <w:tr>
        <w:trPr>
          <w:trHeight w:val="184"/>
        </w:trPr>
        <w:tc>
          <w:tcPr>
            <w:tcW w:w="1360" w:type="dxa"/>
            <w:vAlign w:val="bottom"/>
            <w:tcBorders>
              <w:left w:val="single" w:sz="8" w:color="auto"/>
              <w:right w:val="single" w:sz="8" w:color="auto"/>
            </w:tcBorders>
            <w:shd w:val="clear" w:color="auto" w:fill="F0FFFF"/>
          </w:tcPr>
          <w:p>
            <w:pPr>
              <w:spacing w:after="0"/>
              <w:rPr>
                <w:sz w:val="15"/>
                <w:szCs w:val="15"/>
                <w:color w:val="auto"/>
              </w:rPr>
            </w:pPr>
          </w:p>
        </w:tc>
        <w:tc>
          <w:tcPr>
            <w:tcW w:w="172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color w:val="auto"/>
                <w:w w:val="98"/>
              </w:rPr>
              <w:t>make a change when you</w:t>
            </w:r>
          </w:p>
        </w:tc>
        <w:tc>
          <w:tcPr>
            <w:tcW w:w="174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color w:val="auto"/>
                <w:w w:val="97"/>
              </w:rPr>
              <w:t>lifetime (up to Attained Age</w:t>
            </w:r>
          </w:p>
        </w:tc>
        <w:tc>
          <w:tcPr>
            <w:tcW w:w="166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color w:val="auto"/>
                <w:w w:val="97"/>
              </w:rPr>
              <w:t>Duration means a higher</w:t>
            </w:r>
          </w:p>
        </w:tc>
      </w:tr>
      <w:tr>
        <w:trPr>
          <w:trHeight w:val="165"/>
        </w:trPr>
        <w:tc>
          <w:tcPr>
            <w:tcW w:w="1360" w:type="dxa"/>
            <w:vAlign w:val="bottom"/>
            <w:tcBorders>
              <w:left w:val="single" w:sz="8" w:color="auto"/>
              <w:right w:val="single" w:sz="8" w:color="auto"/>
            </w:tcBorders>
            <w:shd w:val="clear" w:color="auto" w:fill="F0FFFF"/>
          </w:tcPr>
          <w:p>
            <w:pPr>
              <w:spacing w:after="0"/>
              <w:rPr>
                <w:sz w:val="14"/>
                <w:szCs w:val="14"/>
                <w:color w:val="auto"/>
              </w:rPr>
            </w:pPr>
          </w:p>
        </w:tc>
        <w:tc>
          <w:tcPr>
            <w:tcW w:w="172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color w:val="auto"/>
                <w:w w:val="98"/>
              </w:rPr>
              <w:t>send us Notice to start</w:t>
            </w:r>
          </w:p>
        </w:tc>
        <w:tc>
          <w:tcPr>
            <w:tcW w:w="174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color w:val="auto"/>
              </w:rPr>
              <w:t>121).</w:t>
            </w:r>
          </w:p>
        </w:tc>
        <w:tc>
          <w:tcPr>
            <w:tcW w:w="166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color w:val="auto"/>
                <w:w w:val="97"/>
              </w:rPr>
              <w:t>Maximum Distribution</w:t>
            </w:r>
          </w:p>
        </w:tc>
      </w:tr>
      <w:tr>
        <w:trPr>
          <w:trHeight w:val="175"/>
        </w:trPr>
        <w:tc>
          <w:tcPr>
            <w:tcW w:w="1360" w:type="dxa"/>
            <w:vAlign w:val="bottom"/>
            <w:tcBorders>
              <w:left w:val="single" w:sz="8" w:color="auto"/>
              <w:right w:val="single" w:sz="8" w:color="auto"/>
            </w:tcBorders>
            <w:shd w:val="clear" w:color="auto" w:fill="F0FFFF"/>
          </w:tcPr>
          <w:p>
            <w:pPr>
              <w:spacing w:after="0"/>
              <w:rPr>
                <w:sz w:val="15"/>
                <w:szCs w:val="15"/>
                <w:color w:val="auto"/>
              </w:rPr>
            </w:pPr>
          </w:p>
        </w:tc>
        <w:tc>
          <w:tcPr>
            <w:tcW w:w="172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color w:val="auto"/>
                <w:w w:val="98"/>
              </w:rPr>
              <w:t>Distribution Payments</w:t>
            </w:r>
          </w:p>
        </w:tc>
        <w:tc>
          <w:tcPr>
            <w:tcW w:w="1740" w:type="dxa"/>
            <w:vAlign w:val="bottom"/>
            <w:tcBorders>
              <w:right w:val="single" w:sz="8" w:color="auto"/>
            </w:tcBorders>
            <w:shd w:val="clear" w:color="auto" w:fill="F0FFFF"/>
          </w:tcPr>
          <w:p>
            <w:pPr>
              <w:jc w:val="center"/>
              <w:ind w:right="17"/>
              <w:spacing w:after="0"/>
              <w:rPr>
                <w:sz w:val="20"/>
                <w:szCs w:val="20"/>
                <w:color w:val="auto"/>
              </w:rPr>
            </w:pPr>
            <w:r>
              <w:rPr>
                <w:rFonts w:ascii="Times New Roman" w:cs="Times New Roman" w:eastAsia="Times New Roman" w:hAnsi="Times New Roman"/>
                <w:sz w:val="5"/>
                <w:szCs w:val="5"/>
                <w:color w:val="auto"/>
                <w:w w:val="78"/>
              </w:rPr>
              <w:t> </w:t>
            </w:r>
          </w:p>
        </w:tc>
        <w:tc>
          <w:tcPr>
            <w:tcW w:w="166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color w:val="auto"/>
                <w:w w:val="95"/>
              </w:rPr>
              <w:t>Payment.</w:t>
            </w:r>
          </w:p>
        </w:tc>
      </w:tr>
      <w:tr>
        <w:trPr>
          <w:trHeight w:val="176"/>
        </w:trPr>
        <w:tc>
          <w:tcPr>
            <w:tcW w:w="1360" w:type="dxa"/>
            <w:vAlign w:val="bottom"/>
            <w:tcBorders>
              <w:left w:val="single" w:sz="8" w:color="auto"/>
              <w:right w:val="single" w:sz="8" w:color="auto"/>
            </w:tcBorders>
            <w:shd w:val="clear" w:color="auto" w:fill="F0FFFF"/>
          </w:tcPr>
          <w:p>
            <w:pPr>
              <w:spacing w:after="0"/>
              <w:rPr>
                <w:sz w:val="15"/>
                <w:szCs w:val="15"/>
                <w:color w:val="auto"/>
              </w:rPr>
            </w:pPr>
          </w:p>
        </w:tc>
        <w:tc>
          <w:tcPr>
            <w:tcW w:w="1720" w:type="dxa"/>
            <w:vAlign w:val="bottom"/>
            <w:tcBorders>
              <w:right w:val="single" w:sz="8" w:color="auto"/>
            </w:tcBorders>
            <w:shd w:val="clear" w:color="auto" w:fill="F0FFFF"/>
          </w:tcPr>
          <w:p>
            <w:pPr>
              <w:spacing w:after="0"/>
              <w:rPr>
                <w:sz w:val="15"/>
                <w:szCs w:val="15"/>
                <w:color w:val="auto"/>
              </w:rPr>
            </w:pPr>
          </w:p>
        </w:tc>
        <w:tc>
          <w:tcPr>
            <w:tcW w:w="174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color w:val="auto"/>
                <w:w w:val="97"/>
              </w:rPr>
              <w:t>If you choose to receive the</w:t>
            </w:r>
          </w:p>
        </w:tc>
        <w:tc>
          <w:tcPr>
            <w:tcW w:w="1660" w:type="dxa"/>
            <w:vAlign w:val="bottom"/>
            <w:tcBorders>
              <w:right w:val="single" w:sz="8" w:color="auto"/>
            </w:tcBorders>
            <w:shd w:val="clear" w:color="auto" w:fill="F0FFFF"/>
          </w:tcPr>
          <w:p>
            <w:pPr>
              <w:spacing w:after="0"/>
              <w:rPr>
                <w:sz w:val="15"/>
                <w:szCs w:val="15"/>
                <w:color w:val="auto"/>
              </w:rPr>
            </w:pPr>
          </w:p>
        </w:tc>
      </w:tr>
      <w:tr>
        <w:trPr>
          <w:trHeight w:val="184"/>
        </w:trPr>
        <w:tc>
          <w:tcPr>
            <w:tcW w:w="1360" w:type="dxa"/>
            <w:vAlign w:val="bottom"/>
            <w:tcBorders>
              <w:left w:val="single" w:sz="8" w:color="auto"/>
              <w:right w:val="single" w:sz="8" w:color="auto"/>
            </w:tcBorders>
            <w:shd w:val="clear" w:color="auto" w:fill="F0FFFF"/>
          </w:tcPr>
          <w:p>
            <w:pPr>
              <w:spacing w:after="0"/>
              <w:rPr>
                <w:sz w:val="15"/>
                <w:szCs w:val="15"/>
                <w:color w:val="auto"/>
              </w:rPr>
            </w:pPr>
          </w:p>
        </w:tc>
        <w:tc>
          <w:tcPr>
            <w:tcW w:w="1720" w:type="dxa"/>
            <w:vAlign w:val="bottom"/>
            <w:tcBorders>
              <w:right w:val="single" w:sz="8" w:color="auto"/>
            </w:tcBorders>
            <w:shd w:val="clear" w:color="auto" w:fill="F0FFFF"/>
          </w:tcPr>
          <w:p>
            <w:pPr>
              <w:spacing w:after="0"/>
              <w:rPr>
                <w:sz w:val="15"/>
                <w:szCs w:val="15"/>
                <w:color w:val="auto"/>
              </w:rPr>
            </w:pPr>
          </w:p>
        </w:tc>
        <w:tc>
          <w:tcPr>
            <w:tcW w:w="174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color w:val="auto"/>
                <w:w w:val="97"/>
              </w:rPr>
              <w:t>Maximum Distribution</w:t>
            </w:r>
          </w:p>
        </w:tc>
        <w:tc>
          <w:tcPr>
            <w:tcW w:w="1660" w:type="dxa"/>
            <w:vAlign w:val="bottom"/>
            <w:tcBorders>
              <w:right w:val="single" w:sz="8" w:color="auto"/>
            </w:tcBorders>
            <w:shd w:val="clear" w:color="auto" w:fill="F0FFFF"/>
          </w:tcPr>
          <w:p>
            <w:pPr>
              <w:spacing w:after="0"/>
              <w:rPr>
                <w:sz w:val="15"/>
                <w:szCs w:val="15"/>
                <w:color w:val="auto"/>
              </w:rPr>
            </w:pPr>
          </w:p>
        </w:tc>
      </w:tr>
      <w:tr>
        <w:trPr>
          <w:trHeight w:val="175"/>
        </w:trPr>
        <w:tc>
          <w:tcPr>
            <w:tcW w:w="1360" w:type="dxa"/>
            <w:vAlign w:val="bottom"/>
            <w:tcBorders>
              <w:left w:val="single" w:sz="8" w:color="auto"/>
              <w:right w:val="single" w:sz="8" w:color="auto"/>
            </w:tcBorders>
            <w:shd w:val="clear" w:color="auto" w:fill="F0FFFF"/>
          </w:tcPr>
          <w:p>
            <w:pPr>
              <w:spacing w:after="0"/>
              <w:rPr>
                <w:sz w:val="15"/>
                <w:szCs w:val="15"/>
                <w:color w:val="auto"/>
              </w:rPr>
            </w:pPr>
          </w:p>
        </w:tc>
        <w:tc>
          <w:tcPr>
            <w:tcW w:w="1720" w:type="dxa"/>
            <w:vAlign w:val="bottom"/>
            <w:tcBorders>
              <w:right w:val="single" w:sz="8" w:color="auto"/>
            </w:tcBorders>
            <w:shd w:val="clear" w:color="auto" w:fill="F0FFFF"/>
          </w:tcPr>
          <w:p>
            <w:pPr>
              <w:spacing w:after="0"/>
              <w:rPr>
                <w:sz w:val="15"/>
                <w:szCs w:val="15"/>
                <w:color w:val="auto"/>
              </w:rPr>
            </w:pPr>
          </w:p>
        </w:tc>
        <w:tc>
          <w:tcPr>
            <w:tcW w:w="174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color w:val="auto"/>
                <w:w w:val="98"/>
              </w:rPr>
              <w:t>Payment, Distribution</w:t>
            </w:r>
          </w:p>
        </w:tc>
        <w:tc>
          <w:tcPr>
            <w:tcW w:w="1660" w:type="dxa"/>
            <w:vAlign w:val="bottom"/>
            <w:tcBorders>
              <w:right w:val="single" w:sz="8" w:color="auto"/>
            </w:tcBorders>
            <w:shd w:val="clear" w:color="auto" w:fill="F0FFFF"/>
          </w:tcPr>
          <w:p>
            <w:pPr>
              <w:spacing w:after="0"/>
              <w:rPr>
                <w:sz w:val="15"/>
                <w:szCs w:val="15"/>
                <w:color w:val="auto"/>
              </w:rPr>
            </w:pPr>
          </w:p>
        </w:tc>
      </w:tr>
      <w:tr>
        <w:trPr>
          <w:trHeight w:val="176"/>
        </w:trPr>
        <w:tc>
          <w:tcPr>
            <w:tcW w:w="1360" w:type="dxa"/>
            <w:vAlign w:val="bottom"/>
            <w:tcBorders>
              <w:left w:val="single" w:sz="8" w:color="auto"/>
              <w:right w:val="single" w:sz="8" w:color="auto"/>
            </w:tcBorders>
            <w:shd w:val="clear" w:color="auto" w:fill="F0FFFF"/>
          </w:tcPr>
          <w:p>
            <w:pPr>
              <w:spacing w:after="0"/>
              <w:rPr>
                <w:sz w:val="15"/>
                <w:szCs w:val="15"/>
                <w:color w:val="auto"/>
              </w:rPr>
            </w:pPr>
          </w:p>
        </w:tc>
        <w:tc>
          <w:tcPr>
            <w:tcW w:w="1720" w:type="dxa"/>
            <w:vAlign w:val="bottom"/>
            <w:tcBorders>
              <w:right w:val="single" w:sz="8" w:color="auto"/>
            </w:tcBorders>
            <w:shd w:val="clear" w:color="auto" w:fill="F0FFFF"/>
          </w:tcPr>
          <w:p>
            <w:pPr>
              <w:spacing w:after="0"/>
              <w:rPr>
                <w:sz w:val="15"/>
                <w:szCs w:val="15"/>
                <w:color w:val="auto"/>
              </w:rPr>
            </w:pPr>
          </w:p>
        </w:tc>
        <w:tc>
          <w:tcPr>
            <w:tcW w:w="174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color w:val="auto"/>
                <w:w w:val="97"/>
              </w:rPr>
              <w:t>Payments will be made for</w:t>
            </w:r>
          </w:p>
        </w:tc>
        <w:tc>
          <w:tcPr>
            <w:tcW w:w="1660" w:type="dxa"/>
            <w:vAlign w:val="bottom"/>
            <w:tcBorders>
              <w:right w:val="single" w:sz="8" w:color="auto"/>
            </w:tcBorders>
            <w:shd w:val="clear" w:color="auto" w:fill="F0FFFF"/>
          </w:tcPr>
          <w:p>
            <w:pPr>
              <w:spacing w:after="0"/>
              <w:rPr>
                <w:sz w:val="15"/>
                <w:szCs w:val="15"/>
                <w:color w:val="auto"/>
              </w:rPr>
            </w:pPr>
          </w:p>
        </w:tc>
      </w:tr>
      <w:tr>
        <w:trPr>
          <w:trHeight w:val="184"/>
        </w:trPr>
        <w:tc>
          <w:tcPr>
            <w:tcW w:w="1360" w:type="dxa"/>
            <w:vAlign w:val="bottom"/>
            <w:tcBorders>
              <w:left w:val="single" w:sz="8" w:color="auto"/>
              <w:right w:val="single" w:sz="8" w:color="auto"/>
            </w:tcBorders>
            <w:shd w:val="clear" w:color="auto" w:fill="F0FFFF"/>
          </w:tcPr>
          <w:p>
            <w:pPr>
              <w:spacing w:after="0"/>
              <w:rPr>
                <w:sz w:val="15"/>
                <w:szCs w:val="15"/>
                <w:color w:val="auto"/>
              </w:rPr>
            </w:pPr>
          </w:p>
        </w:tc>
        <w:tc>
          <w:tcPr>
            <w:tcW w:w="1720" w:type="dxa"/>
            <w:vAlign w:val="bottom"/>
            <w:tcBorders>
              <w:right w:val="single" w:sz="8" w:color="auto"/>
            </w:tcBorders>
            <w:shd w:val="clear" w:color="auto" w:fill="F0FFFF"/>
          </w:tcPr>
          <w:p>
            <w:pPr>
              <w:spacing w:after="0"/>
              <w:rPr>
                <w:sz w:val="15"/>
                <w:szCs w:val="15"/>
                <w:color w:val="auto"/>
              </w:rPr>
            </w:pPr>
          </w:p>
        </w:tc>
        <w:tc>
          <w:tcPr>
            <w:tcW w:w="174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color w:val="auto"/>
                <w:w w:val="98"/>
              </w:rPr>
              <w:t>the length of the</w:t>
            </w:r>
          </w:p>
        </w:tc>
        <w:tc>
          <w:tcPr>
            <w:tcW w:w="1660" w:type="dxa"/>
            <w:vAlign w:val="bottom"/>
            <w:tcBorders>
              <w:right w:val="single" w:sz="8" w:color="auto"/>
            </w:tcBorders>
            <w:shd w:val="clear" w:color="auto" w:fill="F0FFFF"/>
          </w:tcPr>
          <w:p>
            <w:pPr>
              <w:spacing w:after="0"/>
              <w:rPr>
                <w:sz w:val="15"/>
                <w:szCs w:val="15"/>
                <w:color w:val="auto"/>
              </w:rPr>
            </w:pPr>
          </w:p>
        </w:tc>
      </w:tr>
      <w:tr>
        <w:trPr>
          <w:trHeight w:val="175"/>
        </w:trPr>
        <w:tc>
          <w:tcPr>
            <w:tcW w:w="1360" w:type="dxa"/>
            <w:vAlign w:val="bottom"/>
            <w:tcBorders>
              <w:left w:val="single" w:sz="8" w:color="auto"/>
              <w:right w:val="single" w:sz="8" w:color="auto"/>
            </w:tcBorders>
            <w:shd w:val="clear" w:color="auto" w:fill="F0FFFF"/>
          </w:tcPr>
          <w:p>
            <w:pPr>
              <w:spacing w:after="0"/>
              <w:rPr>
                <w:sz w:val="15"/>
                <w:szCs w:val="15"/>
                <w:color w:val="auto"/>
              </w:rPr>
            </w:pPr>
          </w:p>
        </w:tc>
        <w:tc>
          <w:tcPr>
            <w:tcW w:w="1720" w:type="dxa"/>
            <w:vAlign w:val="bottom"/>
            <w:tcBorders>
              <w:right w:val="single" w:sz="8" w:color="auto"/>
            </w:tcBorders>
            <w:shd w:val="clear" w:color="auto" w:fill="F0FFFF"/>
          </w:tcPr>
          <w:p>
            <w:pPr>
              <w:spacing w:after="0"/>
              <w:rPr>
                <w:sz w:val="15"/>
                <w:szCs w:val="15"/>
                <w:color w:val="auto"/>
              </w:rPr>
            </w:pPr>
          </w:p>
        </w:tc>
        <w:tc>
          <w:tcPr>
            <w:tcW w:w="174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color w:val="auto"/>
                <w:w w:val="98"/>
              </w:rPr>
              <w:t>Distribution Payment</w:t>
            </w:r>
          </w:p>
        </w:tc>
        <w:tc>
          <w:tcPr>
            <w:tcW w:w="1660" w:type="dxa"/>
            <w:vAlign w:val="bottom"/>
            <w:tcBorders>
              <w:right w:val="single" w:sz="8" w:color="auto"/>
            </w:tcBorders>
            <w:shd w:val="clear" w:color="auto" w:fill="F0FFFF"/>
          </w:tcPr>
          <w:p>
            <w:pPr>
              <w:spacing w:after="0"/>
              <w:rPr>
                <w:sz w:val="15"/>
                <w:szCs w:val="15"/>
                <w:color w:val="auto"/>
              </w:rPr>
            </w:pPr>
          </w:p>
        </w:tc>
      </w:tr>
      <w:tr>
        <w:trPr>
          <w:trHeight w:val="176"/>
        </w:trPr>
        <w:tc>
          <w:tcPr>
            <w:tcW w:w="1360" w:type="dxa"/>
            <w:vAlign w:val="bottom"/>
            <w:tcBorders>
              <w:left w:val="single" w:sz="8" w:color="auto"/>
              <w:right w:val="single" w:sz="8" w:color="auto"/>
            </w:tcBorders>
            <w:shd w:val="clear" w:color="auto" w:fill="F0FFFF"/>
          </w:tcPr>
          <w:p>
            <w:pPr>
              <w:spacing w:after="0"/>
              <w:rPr>
                <w:sz w:val="15"/>
                <w:szCs w:val="15"/>
                <w:color w:val="auto"/>
              </w:rPr>
            </w:pPr>
          </w:p>
        </w:tc>
        <w:tc>
          <w:tcPr>
            <w:tcW w:w="1720" w:type="dxa"/>
            <w:vAlign w:val="bottom"/>
            <w:tcBorders>
              <w:right w:val="single" w:sz="8" w:color="auto"/>
            </w:tcBorders>
            <w:shd w:val="clear" w:color="auto" w:fill="F0FFFF"/>
          </w:tcPr>
          <w:p>
            <w:pPr>
              <w:spacing w:after="0"/>
              <w:rPr>
                <w:sz w:val="15"/>
                <w:szCs w:val="15"/>
                <w:color w:val="auto"/>
              </w:rPr>
            </w:pPr>
          </w:p>
        </w:tc>
        <w:tc>
          <w:tcPr>
            <w:tcW w:w="174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color w:val="auto"/>
                <w:w w:val="99"/>
              </w:rPr>
              <w:t>Duration associated with</w:t>
            </w:r>
          </w:p>
        </w:tc>
        <w:tc>
          <w:tcPr>
            <w:tcW w:w="1660" w:type="dxa"/>
            <w:vAlign w:val="bottom"/>
            <w:tcBorders>
              <w:right w:val="single" w:sz="8" w:color="auto"/>
            </w:tcBorders>
            <w:shd w:val="clear" w:color="auto" w:fill="F0FFFF"/>
          </w:tcPr>
          <w:p>
            <w:pPr>
              <w:spacing w:after="0"/>
              <w:rPr>
                <w:sz w:val="15"/>
                <w:szCs w:val="15"/>
                <w:color w:val="auto"/>
              </w:rPr>
            </w:pPr>
          </w:p>
        </w:tc>
      </w:tr>
      <w:tr>
        <w:trPr>
          <w:trHeight w:val="184"/>
        </w:trPr>
        <w:tc>
          <w:tcPr>
            <w:tcW w:w="1360" w:type="dxa"/>
            <w:vAlign w:val="bottom"/>
            <w:tcBorders>
              <w:left w:val="single" w:sz="8" w:color="auto"/>
              <w:right w:val="single" w:sz="8" w:color="auto"/>
            </w:tcBorders>
            <w:shd w:val="clear" w:color="auto" w:fill="F0FFFF"/>
          </w:tcPr>
          <w:p>
            <w:pPr>
              <w:spacing w:after="0"/>
              <w:rPr>
                <w:sz w:val="15"/>
                <w:szCs w:val="15"/>
                <w:color w:val="auto"/>
              </w:rPr>
            </w:pPr>
          </w:p>
        </w:tc>
        <w:tc>
          <w:tcPr>
            <w:tcW w:w="1720" w:type="dxa"/>
            <w:vAlign w:val="bottom"/>
            <w:tcBorders>
              <w:right w:val="single" w:sz="8" w:color="auto"/>
            </w:tcBorders>
            <w:shd w:val="clear" w:color="auto" w:fill="F0FFFF"/>
          </w:tcPr>
          <w:p>
            <w:pPr>
              <w:spacing w:after="0"/>
              <w:rPr>
                <w:sz w:val="15"/>
                <w:szCs w:val="15"/>
                <w:color w:val="auto"/>
              </w:rPr>
            </w:pPr>
          </w:p>
        </w:tc>
        <w:tc>
          <w:tcPr>
            <w:tcW w:w="174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color w:val="auto"/>
                <w:w w:val="98"/>
              </w:rPr>
              <w:t>the applicable Maximum</w:t>
            </w:r>
          </w:p>
        </w:tc>
        <w:tc>
          <w:tcPr>
            <w:tcW w:w="1660" w:type="dxa"/>
            <w:vAlign w:val="bottom"/>
            <w:tcBorders>
              <w:right w:val="single" w:sz="8" w:color="auto"/>
            </w:tcBorders>
            <w:shd w:val="clear" w:color="auto" w:fill="F0FFFF"/>
          </w:tcPr>
          <w:p>
            <w:pPr>
              <w:spacing w:after="0"/>
              <w:rPr>
                <w:sz w:val="15"/>
                <w:szCs w:val="15"/>
                <w:color w:val="auto"/>
              </w:rPr>
            </w:pPr>
          </w:p>
        </w:tc>
      </w:tr>
      <w:tr>
        <w:trPr>
          <w:trHeight w:val="165"/>
        </w:trPr>
        <w:tc>
          <w:tcPr>
            <w:tcW w:w="1360" w:type="dxa"/>
            <w:vAlign w:val="bottom"/>
            <w:tcBorders>
              <w:left w:val="single" w:sz="8" w:color="auto"/>
              <w:right w:val="single" w:sz="8" w:color="auto"/>
            </w:tcBorders>
            <w:shd w:val="clear" w:color="auto" w:fill="F0FFFF"/>
          </w:tcPr>
          <w:p>
            <w:pPr>
              <w:spacing w:after="0"/>
              <w:rPr>
                <w:sz w:val="14"/>
                <w:szCs w:val="14"/>
                <w:color w:val="auto"/>
              </w:rPr>
            </w:pPr>
          </w:p>
        </w:tc>
        <w:tc>
          <w:tcPr>
            <w:tcW w:w="1720" w:type="dxa"/>
            <w:vAlign w:val="bottom"/>
            <w:tcBorders>
              <w:right w:val="single" w:sz="8" w:color="auto"/>
            </w:tcBorders>
            <w:shd w:val="clear" w:color="auto" w:fill="F0FFFF"/>
          </w:tcPr>
          <w:p>
            <w:pPr>
              <w:spacing w:after="0"/>
              <w:rPr>
                <w:sz w:val="14"/>
                <w:szCs w:val="14"/>
                <w:color w:val="auto"/>
              </w:rPr>
            </w:pPr>
          </w:p>
        </w:tc>
        <w:tc>
          <w:tcPr>
            <w:tcW w:w="174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color w:val="auto"/>
                <w:w w:val="98"/>
              </w:rPr>
              <w:t>Distribution Payment.</w:t>
            </w:r>
          </w:p>
        </w:tc>
        <w:tc>
          <w:tcPr>
            <w:tcW w:w="1660" w:type="dxa"/>
            <w:vAlign w:val="bottom"/>
            <w:tcBorders>
              <w:right w:val="single" w:sz="8" w:color="auto"/>
            </w:tcBorders>
            <w:shd w:val="clear" w:color="auto" w:fill="F0FFFF"/>
          </w:tcPr>
          <w:p>
            <w:pPr>
              <w:spacing w:after="0"/>
              <w:rPr>
                <w:sz w:val="14"/>
                <w:szCs w:val="14"/>
                <w:color w:val="auto"/>
              </w:rPr>
            </w:pPr>
          </w:p>
        </w:tc>
      </w:tr>
      <w:tr>
        <w:trPr>
          <w:trHeight w:val="175"/>
        </w:trPr>
        <w:tc>
          <w:tcPr>
            <w:tcW w:w="1360" w:type="dxa"/>
            <w:vAlign w:val="bottom"/>
            <w:tcBorders>
              <w:left w:val="single" w:sz="8" w:color="auto"/>
              <w:right w:val="single" w:sz="8" w:color="auto"/>
            </w:tcBorders>
            <w:shd w:val="clear" w:color="auto" w:fill="F0FFFF"/>
          </w:tcPr>
          <w:p>
            <w:pPr>
              <w:spacing w:after="0"/>
              <w:rPr>
                <w:sz w:val="15"/>
                <w:szCs w:val="15"/>
                <w:color w:val="auto"/>
              </w:rPr>
            </w:pPr>
          </w:p>
        </w:tc>
        <w:tc>
          <w:tcPr>
            <w:tcW w:w="1720" w:type="dxa"/>
            <w:vAlign w:val="bottom"/>
            <w:tcBorders>
              <w:right w:val="single" w:sz="8" w:color="auto"/>
            </w:tcBorders>
            <w:shd w:val="clear" w:color="auto" w:fill="F0FFFF"/>
          </w:tcPr>
          <w:p>
            <w:pPr>
              <w:spacing w:after="0"/>
              <w:rPr>
                <w:sz w:val="15"/>
                <w:szCs w:val="15"/>
                <w:color w:val="auto"/>
              </w:rPr>
            </w:pPr>
          </w:p>
        </w:tc>
        <w:tc>
          <w:tcPr>
            <w:tcW w:w="1740" w:type="dxa"/>
            <w:vAlign w:val="bottom"/>
            <w:tcBorders>
              <w:right w:val="single" w:sz="8" w:color="auto"/>
            </w:tcBorders>
            <w:shd w:val="clear" w:color="auto" w:fill="F0FFFF"/>
          </w:tcPr>
          <w:p>
            <w:pPr>
              <w:jc w:val="center"/>
              <w:ind w:right="17"/>
              <w:spacing w:after="0"/>
              <w:rPr>
                <w:sz w:val="20"/>
                <w:szCs w:val="20"/>
                <w:color w:val="auto"/>
              </w:rPr>
            </w:pPr>
            <w:r>
              <w:rPr>
                <w:rFonts w:ascii="Times New Roman" w:cs="Times New Roman" w:eastAsia="Times New Roman" w:hAnsi="Times New Roman"/>
                <w:sz w:val="5"/>
                <w:szCs w:val="5"/>
                <w:color w:val="auto"/>
                <w:w w:val="78"/>
              </w:rPr>
              <w:t> </w:t>
            </w:r>
          </w:p>
        </w:tc>
        <w:tc>
          <w:tcPr>
            <w:tcW w:w="1660" w:type="dxa"/>
            <w:vAlign w:val="bottom"/>
            <w:tcBorders>
              <w:right w:val="single" w:sz="8" w:color="auto"/>
            </w:tcBorders>
            <w:shd w:val="clear" w:color="auto" w:fill="F0FFFF"/>
          </w:tcPr>
          <w:p>
            <w:pPr>
              <w:spacing w:after="0"/>
              <w:rPr>
                <w:sz w:val="15"/>
                <w:szCs w:val="15"/>
                <w:color w:val="auto"/>
              </w:rPr>
            </w:pPr>
          </w:p>
        </w:tc>
      </w:tr>
      <w:tr>
        <w:trPr>
          <w:trHeight w:val="176"/>
        </w:trPr>
        <w:tc>
          <w:tcPr>
            <w:tcW w:w="1360" w:type="dxa"/>
            <w:vAlign w:val="bottom"/>
            <w:tcBorders>
              <w:left w:val="single" w:sz="8" w:color="auto"/>
              <w:right w:val="single" w:sz="8" w:color="auto"/>
            </w:tcBorders>
            <w:shd w:val="clear" w:color="auto" w:fill="F0FFFF"/>
          </w:tcPr>
          <w:p>
            <w:pPr>
              <w:spacing w:after="0"/>
              <w:rPr>
                <w:sz w:val="15"/>
                <w:szCs w:val="15"/>
                <w:color w:val="auto"/>
              </w:rPr>
            </w:pPr>
          </w:p>
        </w:tc>
        <w:tc>
          <w:tcPr>
            <w:tcW w:w="1720" w:type="dxa"/>
            <w:vAlign w:val="bottom"/>
            <w:tcBorders>
              <w:right w:val="single" w:sz="8" w:color="auto"/>
            </w:tcBorders>
            <w:shd w:val="clear" w:color="auto" w:fill="F0FFFF"/>
          </w:tcPr>
          <w:p>
            <w:pPr>
              <w:spacing w:after="0"/>
              <w:rPr>
                <w:sz w:val="15"/>
                <w:szCs w:val="15"/>
                <w:color w:val="auto"/>
              </w:rPr>
            </w:pPr>
          </w:p>
        </w:tc>
        <w:tc>
          <w:tcPr>
            <w:tcW w:w="174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color w:val="auto"/>
                <w:w w:val="96"/>
              </w:rPr>
              <w:t>If you do not select a</w:t>
            </w:r>
          </w:p>
        </w:tc>
        <w:tc>
          <w:tcPr>
            <w:tcW w:w="1660" w:type="dxa"/>
            <w:vAlign w:val="bottom"/>
            <w:tcBorders>
              <w:right w:val="single" w:sz="8" w:color="auto"/>
            </w:tcBorders>
            <w:shd w:val="clear" w:color="auto" w:fill="F0FFFF"/>
          </w:tcPr>
          <w:p>
            <w:pPr>
              <w:spacing w:after="0"/>
              <w:rPr>
                <w:sz w:val="15"/>
                <w:szCs w:val="15"/>
                <w:color w:val="auto"/>
              </w:rPr>
            </w:pPr>
          </w:p>
        </w:tc>
      </w:tr>
      <w:tr>
        <w:trPr>
          <w:trHeight w:val="184"/>
        </w:trPr>
        <w:tc>
          <w:tcPr>
            <w:tcW w:w="1360" w:type="dxa"/>
            <w:vAlign w:val="bottom"/>
            <w:tcBorders>
              <w:left w:val="single" w:sz="8" w:color="auto"/>
              <w:right w:val="single" w:sz="8" w:color="auto"/>
            </w:tcBorders>
            <w:shd w:val="clear" w:color="auto" w:fill="F0FFFF"/>
          </w:tcPr>
          <w:p>
            <w:pPr>
              <w:spacing w:after="0"/>
              <w:rPr>
                <w:sz w:val="15"/>
                <w:szCs w:val="15"/>
                <w:color w:val="auto"/>
              </w:rPr>
            </w:pPr>
          </w:p>
        </w:tc>
        <w:tc>
          <w:tcPr>
            <w:tcW w:w="1720" w:type="dxa"/>
            <w:vAlign w:val="bottom"/>
            <w:tcBorders>
              <w:right w:val="single" w:sz="8" w:color="auto"/>
            </w:tcBorders>
            <w:shd w:val="clear" w:color="auto" w:fill="F0FFFF"/>
          </w:tcPr>
          <w:p>
            <w:pPr>
              <w:spacing w:after="0"/>
              <w:rPr>
                <w:sz w:val="15"/>
                <w:szCs w:val="15"/>
                <w:color w:val="auto"/>
              </w:rPr>
            </w:pPr>
          </w:p>
        </w:tc>
        <w:tc>
          <w:tcPr>
            <w:tcW w:w="174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color w:val="auto"/>
                <w:w w:val="98"/>
              </w:rPr>
              <w:t>duration, we will not issue</w:t>
            </w:r>
          </w:p>
        </w:tc>
        <w:tc>
          <w:tcPr>
            <w:tcW w:w="1660" w:type="dxa"/>
            <w:vAlign w:val="bottom"/>
            <w:tcBorders>
              <w:right w:val="single" w:sz="8" w:color="auto"/>
            </w:tcBorders>
            <w:shd w:val="clear" w:color="auto" w:fill="F0FFFF"/>
          </w:tcPr>
          <w:p>
            <w:pPr>
              <w:spacing w:after="0"/>
              <w:rPr>
                <w:sz w:val="15"/>
                <w:szCs w:val="15"/>
                <w:color w:val="auto"/>
              </w:rPr>
            </w:pPr>
          </w:p>
        </w:tc>
      </w:tr>
      <w:tr>
        <w:trPr>
          <w:trHeight w:val="203"/>
        </w:trPr>
        <w:tc>
          <w:tcPr>
            <w:tcW w:w="1360" w:type="dxa"/>
            <w:vAlign w:val="bottom"/>
            <w:tcBorders>
              <w:left w:val="single" w:sz="8" w:color="auto"/>
              <w:bottom w:val="single" w:sz="8" w:color="F0FFFF"/>
              <w:right w:val="single" w:sz="8" w:color="auto"/>
            </w:tcBorders>
            <w:shd w:val="clear" w:color="auto" w:fill="F0FFFF"/>
          </w:tcPr>
          <w:p>
            <w:pPr>
              <w:spacing w:after="0"/>
              <w:rPr>
                <w:sz w:val="17"/>
                <w:szCs w:val="17"/>
                <w:color w:val="auto"/>
              </w:rPr>
            </w:pPr>
          </w:p>
        </w:tc>
        <w:tc>
          <w:tcPr>
            <w:tcW w:w="1720" w:type="dxa"/>
            <w:vAlign w:val="bottom"/>
            <w:tcBorders>
              <w:bottom w:val="single" w:sz="8" w:color="F0FFFF"/>
              <w:right w:val="single" w:sz="8" w:color="auto"/>
            </w:tcBorders>
            <w:shd w:val="clear" w:color="auto" w:fill="F0FFFF"/>
          </w:tcPr>
          <w:p>
            <w:pPr>
              <w:spacing w:after="0"/>
              <w:rPr>
                <w:sz w:val="17"/>
                <w:szCs w:val="17"/>
                <w:color w:val="auto"/>
              </w:rPr>
            </w:pPr>
          </w:p>
        </w:tc>
        <w:tc>
          <w:tcPr>
            <w:tcW w:w="174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color w:val="auto"/>
                <w:w w:val="96"/>
              </w:rPr>
              <w:t>the Policy.</w:t>
            </w:r>
          </w:p>
        </w:tc>
        <w:tc>
          <w:tcPr>
            <w:tcW w:w="1660" w:type="dxa"/>
            <w:vAlign w:val="bottom"/>
            <w:tcBorders>
              <w:bottom w:val="single" w:sz="8" w:color="F0FFFF"/>
              <w:right w:val="single" w:sz="8" w:color="auto"/>
            </w:tcBorders>
            <w:shd w:val="clear" w:color="auto" w:fill="F0FFFF"/>
          </w:tcPr>
          <w:p>
            <w:pPr>
              <w:spacing w:after="0"/>
              <w:rPr>
                <w:sz w:val="17"/>
                <w:szCs w:val="17"/>
                <w:color w:val="auto"/>
              </w:rPr>
            </w:pPr>
          </w:p>
        </w:tc>
      </w:tr>
      <w:tr>
        <w:trPr>
          <w:trHeight w:val="163"/>
        </w:trPr>
        <w:tc>
          <w:tcPr>
            <w:tcW w:w="136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Distribution Payment</w:t>
            </w:r>
          </w:p>
        </w:tc>
        <w:tc>
          <w:tcPr>
            <w:tcW w:w="17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At the time you purchase</w:t>
            </w:r>
          </w:p>
        </w:tc>
        <w:tc>
          <w:tcPr>
            <w:tcW w:w="17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The available frequencies</w:t>
            </w:r>
          </w:p>
        </w:tc>
        <w:tc>
          <w:tcPr>
            <w:tcW w:w="16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If you choose to receive</w:t>
            </w:r>
          </w:p>
        </w:tc>
      </w:tr>
      <w:tr>
        <w:trPr>
          <w:trHeight w:val="165"/>
        </w:trPr>
        <w:tc>
          <w:tcPr>
            <w:tcW w:w="13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Frequency</w:t>
            </w:r>
          </w:p>
        </w:tc>
        <w:tc>
          <w:tcPr>
            <w:tcW w:w="1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the Policy, although you can</w:t>
            </w: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are annual, semi- annual,</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Distribution Payments on a</w:t>
            </w:r>
          </w:p>
        </w:tc>
      </w:tr>
      <w:tr>
        <w:trPr>
          <w:trHeight w:val="165"/>
        </w:trPr>
        <w:tc>
          <w:tcPr>
            <w:tcW w:w="1360" w:type="dxa"/>
            <w:vAlign w:val="bottom"/>
            <w:tcBorders>
              <w:left w:val="single" w:sz="8" w:color="auto"/>
              <w:right w:val="single" w:sz="8" w:color="auto"/>
            </w:tcBorders>
          </w:tcPr>
          <w:p>
            <w:pPr>
              <w:spacing w:after="0"/>
              <w:rPr>
                <w:sz w:val="14"/>
                <w:szCs w:val="14"/>
                <w:color w:val="auto"/>
              </w:rPr>
            </w:pPr>
          </w:p>
        </w:tc>
        <w:tc>
          <w:tcPr>
            <w:tcW w:w="1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make a change when you</w:t>
            </w: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quarterly, or monthly basis.</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basis other than annual, the</w:t>
            </w:r>
          </w:p>
        </w:tc>
      </w:tr>
      <w:tr>
        <w:trPr>
          <w:trHeight w:val="165"/>
        </w:trPr>
        <w:tc>
          <w:tcPr>
            <w:tcW w:w="1360" w:type="dxa"/>
            <w:vAlign w:val="bottom"/>
            <w:tcBorders>
              <w:left w:val="single" w:sz="8" w:color="auto"/>
              <w:right w:val="single" w:sz="8" w:color="auto"/>
            </w:tcBorders>
          </w:tcPr>
          <w:p>
            <w:pPr>
              <w:spacing w:after="0"/>
              <w:rPr>
                <w:sz w:val="14"/>
                <w:szCs w:val="14"/>
                <w:color w:val="auto"/>
              </w:rPr>
            </w:pPr>
          </w:p>
        </w:tc>
        <w:tc>
          <w:tcPr>
            <w:tcW w:w="1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send us Notice to start</w:t>
            </w:r>
          </w:p>
        </w:tc>
        <w:tc>
          <w:tcPr>
            <w:tcW w:w="1740" w:type="dxa"/>
            <w:vAlign w:val="bottom"/>
            <w:tcBorders>
              <w:right w:val="single" w:sz="8" w:color="auto"/>
            </w:tcBorders>
          </w:tcPr>
          <w:p>
            <w:pPr>
              <w:jc w:val="center"/>
              <w:ind w:right="17"/>
              <w:spacing w:after="0"/>
              <w:rPr>
                <w:sz w:val="20"/>
                <w:szCs w:val="20"/>
                <w:color w:val="auto"/>
              </w:rPr>
            </w:pPr>
            <w:r>
              <w:rPr>
                <w:rFonts w:ascii="Times New Roman" w:cs="Times New Roman" w:eastAsia="Times New Roman" w:hAnsi="Times New Roman"/>
                <w:sz w:val="5"/>
                <w:szCs w:val="5"/>
                <w:color w:val="auto"/>
                <w:w w:val="78"/>
              </w:rPr>
              <w:t> </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cumulative Distribution</w:t>
            </w:r>
          </w:p>
        </w:tc>
      </w:tr>
      <w:tr>
        <w:trPr>
          <w:trHeight w:val="165"/>
        </w:trPr>
        <w:tc>
          <w:tcPr>
            <w:tcW w:w="1360" w:type="dxa"/>
            <w:vAlign w:val="bottom"/>
            <w:tcBorders>
              <w:left w:val="single" w:sz="8" w:color="auto"/>
              <w:right w:val="single" w:sz="8" w:color="auto"/>
            </w:tcBorders>
          </w:tcPr>
          <w:p>
            <w:pPr>
              <w:spacing w:after="0"/>
              <w:rPr>
                <w:sz w:val="14"/>
                <w:szCs w:val="14"/>
                <w:color w:val="auto"/>
              </w:rPr>
            </w:pPr>
          </w:p>
        </w:tc>
        <w:tc>
          <w:tcPr>
            <w:tcW w:w="1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Distribution Payments</w:t>
            </w: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If you do not select a</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Payments for each year</w:t>
            </w:r>
          </w:p>
        </w:tc>
      </w:tr>
      <w:tr>
        <w:trPr>
          <w:trHeight w:val="165"/>
        </w:trPr>
        <w:tc>
          <w:tcPr>
            <w:tcW w:w="1360" w:type="dxa"/>
            <w:vAlign w:val="bottom"/>
            <w:tcBorders>
              <w:left w:val="single" w:sz="8" w:color="auto"/>
              <w:right w:val="single" w:sz="8" w:color="auto"/>
            </w:tcBorders>
          </w:tcPr>
          <w:p>
            <w:pPr>
              <w:spacing w:after="0"/>
              <w:rPr>
                <w:sz w:val="14"/>
                <w:szCs w:val="14"/>
                <w:color w:val="auto"/>
              </w:rPr>
            </w:pPr>
          </w:p>
        </w:tc>
        <w:tc>
          <w:tcPr>
            <w:tcW w:w="1720" w:type="dxa"/>
            <w:vAlign w:val="bottom"/>
            <w:tcBorders>
              <w:right w:val="single" w:sz="8" w:color="auto"/>
            </w:tcBorders>
          </w:tcPr>
          <w:p>
            <w:pPr>
              <w:spacing w:after="0"/>
              <w:rPr>
                <w:sz w:val="14"/>
                <w:szCs w:val="14"/>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frequency, we will not issue</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may be higher than if you</w:t>
            </w:r>
          </w:p>
        </w:tc>
      </w:tr>
      <w:tr>
        <w:trPr>
          <w:trHeight w:val="165"/>
        </w:trPr>
        <w:tc>
          <w:tcPr>
            <w:tcW w:w="1360" w:type="dxa"/>
            <w:vAlign w:val="bottom"/>
            <w:tcBorders>
              <w:left w:val="single" w:sz="8" w:color="auto"/>
              <w:right w:val="single" w:sz="8" w:color="auto"/>
            </w:tcBorders>
          </w:tcPr>
          <w:p>
            <w:pPr>
              <w:spacing w:after="0"/>
              <w:rPr>
                <w:sz w:val="14"/>
                <w:szCs w:val="14"/>
                <w:color w:val="auto"/>
              </w:rPr>
            </w:pPr>
          </w:p>
        </w:tc>
        <w:tc>
          <w:tcPr>
            <w:tcW w:w="1720" w:type="dxa"/>
            <w:vAlign w:val="bottom"/>
            <w:tcBorders>
              <w:right w:val="single" w:sz="8" w:color="auto"/>
            </w:tcBorders>
          </w:tcPr>
          <w:p>
            <w:pPr>
              <w:spacing w:after="0"/>
              <w:rPr>
                <w:sz w:val="14"/>
                <w:szCs w:val="14"/>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the Policy.</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chose an annual</w:t>
            </w:r>
          </w:p>
        </w:tc>
      </w:tr>
      <w:tr>
        <w:trPr>
          <w:trHeight w:val="165"/>
        </w:trPr>
        <w:tc>
          <w:tcPr>
            <w:tcW w:w="1360" w:type="dxa"/>
            <w:vAlign w:val="bottom"/>
            <w:tcBorders>
              <w:left w:val="single" w:sz="8" w:color="auto"/>
              <w:right w:val="single" w:sz="8" w:color="auto"/>
            </w:tcBorders>
          </w:tcPr>
          <w:p>
            <w:pPr>
              <w:spacing w:after="0"/>
              <w:rPr>
                <w:sz w:val="14"/>
                <w:szCs w:val="14"/>
                <w:color w:val="auto"/>
              </w:rPr>
            </w:pPr>
          </w:p>
        </w:tc>
        <w:tc>
          <w:tcPr>
            <w:tcW w:w="1720" w:type="dxa"/>
            <w:vAlign w:val="bottom"/>
            <w:tcBorders>
              <w:right w:val="single" w:sz="8" w:color="auto"/>
            </w:tcBorders>
          </w:tcPr>
          <w:p>
            <w:pPr>
              <w:spacing w:after="0"/>
              <w:rPr>
                <w:sz w:val="14"/>
                <w:szCs w:val="14"/>
                <w:color w:val="auto"/>
              </w:rPr>
            </w:pPr>
          </w:p>
        </w:tc>
        <w:tc>
          <w:tcPr>
            <w:tcW w:w="1740" w:type="dxa"/>
            <w:vAlign w:val="bottom"/>
            <w:tcBorders>
              <w:right w:val="single" w:sz="8" w:color="auto"/>
            </w:tcBorders>
          </w:tcPr>
          <w:p>
            <w:pPr>
              <w:spacing w:after="0"/>
              <w:rPr>
                <w:sz w:val="14"/>
                <w:szCs w:val="14"/>
                <w:color w:val="auto"/>
              </w:rPr>
            </w:pP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Distribution Payment</w:t>
            </w:r>
          </w:p>
        </w:tc>
      </w:tr>
      <w:tr>
        <w:trPr>
          <w:trHeight w:val="165"/>
        </w:trPr>
        <w:tc>
          <w:tcPr>
            <w:tcW w:w="1360" w:type="dxa"/>
            <w:vAlign w:val="bottom"/>
            <w:tcBorders>
              <w:left w:val="single" w:sz="8" w:color="auto"/>
              <w:right w:val="single" w:sz="8" w:color="auto"/>
            </w:tcBorders>
          </w:tcPr>
          <w:p>
            <w:pPr>
              <w:spacing w:after="0"/>
              <w:rPr>
                <w:sz w:val="14"/>
                <w:szCs w:val="14"/>
                <w:color w:val="auto"/>
              </w:rPr>
            </w:pPr>
          </w:p>
        </w:tc>
        <w:tc>
          <w:tcPr>
            <w:tcW w:w="1720" w:type="dxa"/>
            <w:vAlign w:val="bottom"/>
            <w:tcBorders>
              <w:right w:val="single" w:sz="8" w:color="auto"/>
            </w:tcBorders>
          </w:tcPr>
          <w:p>
            <w:pPr>
              <w:spacing w:after="0"/>
              <w:rPr>
                <w:sz w:val="14"/>
                <w:szCs w:val="14"/>
                <w:color w:val="auto"/>
              </w:rPr>
            </w:pPr>
          </w:p>
        </w:tc>
        <w:tc>
          <w:tcPr>
            <w:tcW w:w="1740" w:type="dxa"/>
            <w:vAlign w:val="bottom"/>
            <w:tcBorders>
              <w:right w:val="single" w:sz="8" w:color="auto"/>
            </w:tcBorders>
          </w:tcPr>
          <w:p>
            <w:pPr>
              <w:spacing w:after="0"/>
              <w:rPr>
                <w:sz w:val="14"/>
                <w:szCs w:val="14"/>
                <w:color w:val="auto"/>
              </w:rPr>
            </w:pP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because of the Distribution</w:t>
            </w:r>
          </w:p>
        </w:tc>
      </w:tr>
      <w:tr>
        <w:trPr>
          <w:trHeight w:val="165"/>
        </w:trPr>
        <w:tc>
          <w:tcPr>
            <w:tcW w:w="1360" w:type="dxa"/>
            <w:vAlign w:val="bottom"/>
            <w:tcBorders>
              <w:left w:val="single" w:sz="8" w:color="auto"/>
              <w:right w:val="single" w:sz="8" w:color="auto"/>
            </w:tcBorders>
          </w:tcPr>
          <w:p>
            <w:pPr>
              <w:spacing w:after="0"/>
              <w:rPr>
                <w:sz w:val="14"/>
                <w:szCs w:val="14"/>
                <w:color w:val="auto"/>
              </w:rPr>
            </w:pPr>
          </w:p>
        </w:tc>
        <w:tc>
          <w:tcPr>
            <w:tcW w:w="1720" w:type="dxa"/>
            <w:vAlign w:val="bottom"/>
            <w:tcBorders>
              <w:right w:val="single" w:sz="8" w:color="auto"/>
            </w:tcBorders>
          </w:tcPr>
          <w:p>
            <w:pPr>
              <w:spacing w:after="0"/>
              <w:rPr>
                <w:sz w:val="14"/>
                <w:szCs w:val="14"/>
                <w:color w:val="auto"/>
              </w:rPr>
            </w:pPr>
          </w:p>
        </w:tc>
        <w:tc>
          <w:tcPr>
            <w:tcW w:w="1740" w:type="dxa"/>
            <w:vAlign w:val="bottom"/>
            <w:tcBorders>
              <w:right w:val="single" w:sz="8" w:color="auto"/>
            </w:tcBorders>
          </w:tcPr>
          <w:p>
            <w:pPr>
              <w:spacing w:after="0"/>
              <w:rPr>
                <w:sz w:val="14"/>
                <w:szCs w:val="14"/>
                <w:color w:val="auto"/>
              </w:rPr>
            </w:pP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Frequency Factor. See the</w:t>
            </w:r>
          </w:p>
        </w:tc>
      </w:tr>
      <w:tr>
        <w:trPr>
          <w:trHeight w:val="165"/>
        </w:trPr>
        <w:tc>
          <w:tcPr>
            <w:tcW w:w="1360" w:type="dxa"/>
            <w:vAlign w:val="bottom"/>
            <w:tcBorders>
              <w:left w:val="single" w:sz="8" w:color="auto"/>
              <w:right w:val="single" w:sz="8" w:color="auto"/>
            </w:tcBorders>
          </w:tcPr>
          <w:p>
            <w:pPr>
              <w:spacing w:after="0"/>
              <w:rPr>
                <w:sz w:val="14"/>
                <w:szCs w:val="14"/>
                <w:color w:val="auto"/>
              </w:rPr>
            </w:pPr>
          </w:p>
        </w:tc>
        <w:tc>
          <w:tcPr>
            <w:tcW w:w="1720" w:type="dxa"/>
            <w:vAlign w:val="bottom"/>
            <w:tcBorders>
              <w:right w:val="single" w:sz="8" w:color="auto"/>
            </w:tcBorders>
          </w:tcPr>
          <w:p>
            <w:pPr>
              <w:spacing w:after="0"/>
              <w:rPr>
                <w:sz w:val="14"/>
                <w:szCs w:val="14"/>
                <w:color w:val="auto"/>
              </w:rPr>
            </w:pPr>
          </w:p>
        </w:tc>
        <w:tc>
          <w:tcPr>
            <w:tcW w:w="1740" w:type="dxa"/>
            <w:vAlign w:val="bottom"/>
            <w:tcBorders>
              <w:right w:val="single" w:sz="8" w:color="auto"/>
            </w:tcBorders>
          </w:tcPr>
          <w:p>
            <w:pPr>
              <w:spacing w:after="0"/>
              <w:rPr>
                <w:sz w:val="14"/>
                <w:szCs w:val="14"/>
                <w:color w:val="auto"/>
              </w:rPr>
            </w:pP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table under “Distribution</w:t>
            </w:r>
          </w:p>
        </w:tc>
      </w:tr>
      <w:tr>
        <w:trPr>
          <w:trHeight w:val="165"/>
        </w:trPr>
        <w:tc>
          <w:tcPr>
            <w:tcW w:w="1360" w:type="dxa"/>
            <w:vAlign w:val="bottom"/>
            <w:tcBorders>
              <w:left w:val="single" w:sz="8" w:color="auto"/>
              <w:right w:val="single" w:sz="8" w:color="auto"/>
            </w:tcBorders>
          </w:tcPr>
          <w:p>
            <w:pPr>
              <w:spacing w:after="0"/>
              <w:rPr>
                <w:sz w:val="14"/>
                <w:szCs w:val="14"/>
                <w:color w:val="auto"/>
              </w:rPr>
            </w:pPr>
          </w:p>
        </w:tc>
        <w:tc>
          <w:tcPr>
            <w:tcW w:w="1720" w:type="dxa"/>
            <w:vAlign w:val="bottom"/>
            <w:tcBorders>
              <w:right w:val="single" w:sz="8" w:color="auto"/>
            </w:tcBorders>
          </w:tcPr>
          <w:p>
            <w:pPr>
              <w:spacing w:after="0"/>
              <w:rPr>
                <w:sz w:val="14"/>
                <w:szCs w:val="14"/>
                <w:color w:val="auto"/>
              </w:rPr>
            </w:pPr>
          </w:p>
        </w:tc>
        <w:tc>
          <w:tcPr>
            <w:tcW w:w="1740" w:type="dxa"/>
            <w:vAlign w:val="bottom"/>
            <w:tcBorders>
              <w:right w:val="single" w:sz="8" w:color="auto"/>
            </w:tcBorders>
          </w:tcPr>
          <w:p>
            <w:pPr>
              <w:spacing w:after="0"/>
              <w:rPr>
                <w:sz w:val="14"/>
                <w:szCs w:val="14"/>
                <w:color w:val="auto"/>
              </w:rPr>
            </w:pP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Payment Frequency” to see</w:t>
            </w:r>
          </w:p>
        </w:tc>
      </w:tr>
      <w:tr>
        <w:trPr>
          <w:trHeight w:val="165"/>
        </w:trPr>
        <w:tc>
          <w:tcPr>
            <w:tcW w:w="1360" w:type="dxa"/>
            <w:vAlign w:val="bottom"/>
            <w:tcBorders>
              <w:left w:val="single" w:sz="8" w:color="auto"/>
              <w:right w:val="single" w:sz="8" w:color="auto"/>
            </w:tcBorders>
          </w:tcPr>
          <w:p>
            <w:pPr>
              <w:spacing w:after="0"/>
              <w:rPr>
                <w:sz w:val="14"/>
                <w:szCs w:val="14"/>
                <w:color w:val="auto"/>
              </w:rPr>
            </w:pPr>
          </w:p>
        </w:tc>
        <w:tc>
          <w:tcPr>
            <w:tcW w:w="1720" w:type="dxa"/>
            <w:vAlign w:val="bottom"/>
            <w:tcBorders>
              <w:right w:val="single" w:sz="8" w:color="auto"/>
            </w:tcBorders>
          </w:tcPr>
          <w:p>
            <w:pPr>
              <w:spacing w:after="0"/>
              <w:rPr>
                <w:sz w:val="14"/>
                <w:szCs w:val="14"/>
                <w:color w:val="auto"/>
              </w:rPr>
            </w:pPr>
          </w:p>
        </w:tc>
        <w:tc>
          <w:tcPr>
            <w:tcW w:w="1740" w:type="dxa"/>
            <w:vAlign w:val="bottom"/>
            <w:tcBorders>
              <w:right w:val="single" w:sz="8" w:color="auto"/>
            </w:tcBorders>
          </w:tcPr>
          <w:p>
            <w:pPr>
              <w:spacing w:after="0"/>
              <w:rPr>
                <w:sz w:val="14"/>
                <w:szCs w:val="14"/>
                <w:color w:val="auto"/>
              </w:rPr>
            </w:pP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how the Distribution</w:t>
            </w:r>
          </w:p>
        </w:tc>
      </w:tr>
      <w:tr>
        <w:trPr>
          <w:trHeight w:val="165"/>
        </w:trPr>
        <w:tc>
          <w:tcPr>
            <w:tcW w:w="1360" w:type="dxa"/>
            <w:vAlign w:val="bottom"/>
            <w:tcBorders>
              <w:left w:val="single" w:sz="8" w:color="auto"/>
              <w:right w:val="single" w:sz="8" w:color="auto"/>
            </w:tcBorders>
          </w:tcPr>
          <w:p>
            <w:pPr>
              <w:spacing w:after="0"/>
              <w:rPr>
                <w:sz w:val="14"/>
                <w:szCs w:val="14"/>
                <w:color w:val="auto"/>
              </w:rPr>
            </w:pPr>
          </w:p>
        </w:tc>
        <w:tc>
          <w:tcPr>
            <w:tcW w:w="1720" w:type="dxa"/>
            <w:vAlign w:val="bottom"/>
            <w:tcBorders>
              <w:right w:val="single" w:sz="8" w:color="auto"/>
            </w:tcBorders>
          </w:tcPr>
          <w:p>
            <w:pPr>
              <w:spacing w:after="0"/>
              <w:rPr>
                <w:sz w:val="14"/>
                <w:szCs w:val="14"/>
                <w:color w:val="auto"/>
              </w:rPr>
            </w:pPr>
          </w:p>
        </w:tc>
        <w:tc>
          <w:tcPr>
            <w:tcW w:w="1740" w:type="dxa"/>
            <w:vAlign w:val="bottom"/>
            <w:tcBorders>
              <w:right w:val="single" w:sz="8" w:color="auto"/>
            </w:tcBorders>
          </w:tcPr>
          <w:p>
            <w:pPr>
              <w:spacing w:after="0"/>
              <w:rPr>
                <w:sz w:val="14"/>
                <w:szCs w:val="14"/>
                <w:color w:val="auto"/>
              </w:rPr>
            </w:pP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Frequency Factor impacts</w:t>
            </w:r>
          </w:p>
        </w:tc>
      </w:tr>
      <w:tr>
        <w:trPr>
          <w:trHeight w:val="165"/>
        </w:trPr>
        <w:tc>
          <w:tcPr>
            <w:tcW w:w="1360" w:type="dxa"/>
            <w:vAlign w:val="bottom"/>
            <w:tcBorders>
              <w:left w:val="single" w:sz="8" w:color="auto"/>
              <w:right w:val="single" w:sz="8" w:color="auto"/>
            </w:tcBorders>
          </w:tcPr>
          <w:p>
            <w:pPr>
              <w:spacing w:after="0"/>
              <w:rPr>
                <w:sz w:val="14"/>
                <w:szCs w:val="14"/>
                <w:color w:val="auto"/>
              </w:rPr>
            </w:pPr>
          </w:p>
        </w:tc>
        <w:tc>
          <w:tcPr>
            <w:tcW w:w="1720" w:type="dxa"/>
            <w:vAlign w:val="bottom"/>
            <w:tcBorders>
              <w:right w:val="single" w:sz="8" w:color="auto"/>
            </w:tcBorders>
          </w:tcPr>
          <w:p>
            <w:pPr>
              <w:spacing w:after="0"/>
              <w:rPr>
                <w:sz w:val="14"/>
                <w:szCs w:val="14"/>
                <w:color w:val="auto"/>
              </w:rPr>
            </w:pPr>
          </w:p>
        </w:tc>
        <w:tc>
          <w:tcPr>
            <w:tcW w:w="1740" w:type="dxa"/>
            <w:vAlign w:val="bottom"/>
            <w:tcBorders>
              <w:right w:val="single" w:sz="8" w:color="auto"/>
            </w:tcBorders>
          </w:tcPr>
          <w:p>
            <w:pPr>
              <w:spacing w:after="0"/>
              <w:rPr>
                <w:sz w:val="14"/>
                <w:szCs w:val="14"/>
                <w:color w:val="auto"/>
              </w:rPr>
            </w:pP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the Maximum Distribution</w:t>
            </w:r>
          </w:p>
        </w:tc>
      </w:tr>
      <w:tr>
        <w:trPr>
          <w:trHeight w:val="193"/>
        </w:trPr>
        <w:tc>
          <w:tcPr>
            <w:tcW w:w="1360" w:type="dxa"/>
            <w:vAlign w:val="bottom"/>
            <w:tcBorders>
              <w:left w:val="single" w:sz="8" w:color="auto"/>
              <w:bottom w:val="single" w:sz="8" w:color="auto"/>
              <w:right w:val="single" w:sz="8" w:color="auto"/>
            </w:tcBorders>
          </w:tcPr>
          <w:p>
            <w:pPr>
              <w:spacing w:after="0"/>
              <w:rPr>
                <w:sz w:val="16"/>
                <w:szCs w:val="16"/>
                <w:color w:val="auto"/>
              </w:rPr>
            </w:pPr>
          </w:p>
        </w:tc>
        <w:tc>
          <w:tcPr>
            <w:tcW w:w="1720" w:type="dxa"/>
            <w:vAlign w:val="bottom"/>
            <w:tcBorders>
              <w:bottom w:val="single" w:sz="8" w:color="auto"/>
              <w:right w:val="single" w:sz="8" w:color="auto"/>
            </w:tcBorders>
          </w:tcPr>
          <w:p>
            <w:pPr>
              <w:spacing w:after="0"/>
              <w:rPr>
                <w:sz w:val="16"/>
                <w:szCs w:val="16"/>
                <w:color w:val="auto"/>
              </w:rPr>
            </w:pPr>
          </w:p>
        </w:tc>
        <w:tc>
          <w:tcPr>
            <w:tcW w:w="1740" w:type="dxa"/>
            <w:vAlign w:val="bottom"/>
            <w:tcBorders>
              <w:bottom w:val="single" w:sz="8" w:color="auto"/>
              <w:right w:val="single" w:sz="8" w:color="auto"/>
            </w:tcBorders>
          </w:tcPr>
          <w:p>
            <w:pPr>
              <w:spacing w:after="0"/>
              <w:rPr>
                <w:sz w:val="16"/>
                <w:szCs w:val="16"/>
                <w:color w:val="auto"/>
              </w:rPr>
            </w:pP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5"/>
              </w:rPr>
              <w:t>Payment.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179070</wp:posOffset>
            </wp:positionH>
            <wp:positionV relativeFrom="page">
              <wp:posOffset>422275</wp:posOffset>
            </wp:positionV>
            <wp:extent cx="719010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90105" cy="3873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-3966845</wp:posOffset>
            </wp:positionV>
            <wp:extent cx="4095115" cy="2089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095115" cy="20891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-1706880</wp:posOffset>
            </wp:positionV>
            <wp:extent cx="4095115" cy="16979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095115" cy="1697990"/>
                    </a:xfrm>
                    <a:prstGeom prst="rect">
                      <a:avLst/>
                    </a:prstGeom>
                    <a:noFill/>
                  </pic:spPr>
                </pic:pic>
              </a:graphicData>
            </a:graphic>
          </wp:anchor>
        </w:drawing>
      </w:r>
    </w:p>
    <w:p>
      <w:pPr>
        <w:spacing w:after="0" w:line="123" w:lineRule="exact"/>
        <w:rPr>
          <w:sz w:val="20"/>
          <w:szCs w:val="20"/>
          <w:color w:val="auto"/>
        </w:rPr>
      </w:pPr>
    </w:p>
    <w:p>
      <w:pPr>
        <w:jc w:val="both"/>
        <w:ind w:right="2939" w:firstLine="274"/>
        <w:spacing w:after="0" w:line="252" w:lineRule="auto"/>
        <w:rPr>
          <w:sz w:val="20"/>
          <w:szCs w:val="20"/>
          <w:color w:val="auto"/>
        </w:rPr>
      </w:pPr>
      <w:r>
        <w:rPr>
          <w:rFonts w:ascii="Times New Roman" w:cs="Times New Roman" w:eastAsia="Times New Roman" w:hAnsi="Times New Roman"/>
          <w:sz w:val="14"/>
          <w:szCs w:val="14"/>
          <w:b w:val="1"/>
          <w:bCs w:val="1"/>
          <w:color w:val="auto"/>
        </w:rPr>
        <w:t xml:space="preserve">Distribution Start Date. </w:t>
      </w:r>
      <w:r>
        <w:rPr>
          <w:rFonts w:ascii="Times New Roman" w:cs="Times New Roman" w:eastAsia="Times New Roman" w:hAnsi="Times New Roman"/>
          <w:sz w:val="14"/>
          <w:szCs w:val="14"/>
          <w:color w:val="auto"/>
        </w:rPr>
        <w:t>The Distribution Start Date is the date you start taking Distribution Payments as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provided by the GDR. In order to begin taking Distribution Payments under the GDR, the Policy needs to be in force for at least 10 years, you cannot have any outstanding Policy Loan Balance, and your Policy cannot be a MEC as defined under Section 7702A of the Code. Distribution Payments must begin before Attained Age 121; however, Distribution Payments will terminate once the Insured reaches Attained Age 121.</w:t>
      </w:r>
    </w:p>
    <w:p>
      <w:pPr>
        <w:spacing w:after="0" w:line="64" w:lineRule="exact"/>
        <w:rPr>
          <w:sz w:val="20"/>
          <w:szCs w:val="20"/>
          <w:color w:val="auto"/>
        </w:rPr>
      </w:pPr>
    </w:p>
    <w:p>
      <w:pPr>
        <w:jc w:val="both"/>
        <w:ind w:right="2939" w:firstLine="274"/>
        <w:spacing w:after="0" w:line="249" w:lineRule="auto"/>
        <w:rPr>
          <w:sz w:val="20"/>
          <w:szCs w:val="20"/>
          <w:color w:val="auto"/>
        </w:rPr>
      </w:pPr>
      <w:r>
        <w:rPr>
          <w:rFonts w:ascii="Times New Roman" w:cs="Times New Roman" w:eastAsia="Times New Roman" w:hAnsi="Times New Roman"/>
          <w:sz w:val="14"/>
          <w:szCs w:val="14"/>
          <w:color w:val="auto"/>
        </w:rPr>
        <w:t>The Distribution Payment amount you select must be provided in a Notice to us, along with any changes to the Distribution Payment Duration or Distribution Payment Frequency. Once we receive your Notice to begin Distribution Payments, we will set your Distribution Start Date as the next monthly anniversary, that is at least 15 calendar days after we receive your notification. The Distribution Start Date is the date the first Distribution Payment will be made. On the Distribution Start Date, the Maximum Distribution Payment, the Distribution Payment Frequency, and the Distribution Payment Duration are locked in and will not change with respect to your specific Policy.</w:t>
      </w:r>
    </w:p>
    <w:p>
      <w:pPr>
        <w:spacing w:after="0" w:line="65" w:lineRule="exact"/>
        <w:rPr>
          <w:sz w:val="20"/>
          <w:szCs w:val="20"/>
          <w:color w:val="auto"/>
        </w:rPr>
      </w:pPr>
    </w:p>
    <w:p>
      <w:pPr>
        <w:jc w:val="both"/>
        <w:ind w:right="2939" w:firstLine="274"/>
        <w:spacing w:after="0" w:line="249" w:lineRule="auto"/>
        <w:rPr>
          <w:sz w:val="20"/>
          <w:szCs w:val="20"/>
          <w:color w:val="auto"/>
        </w:rPr>
      </w:pPr>
      <w:r>
        <w:rPr>
          <w:rFonts w:ascii="Times New Roman" w:cs="Times New Roman" w:eastAsia="Times New Roman" w:hAnsi="Times New Roman"/>
          <w:sz w:val="14"/>
          <w:szCs w:val="14"/>
          <w:color w:val="auto"/>
        </w:rPr>
        <w:t>On your Distribution Start Date, we will transfer any Cash Value in the Indexed Accounts and Holding Accounts to the Fixed Account. If your Distribution Start Date is any date other than a Segment Maturity Date, we will calculate the Interim Segment Value of each Segment to determine the Indexed Account Cash Value that will be transferred to the Fixed Account. See “INTERIM SEGMENT VALUE.” While you are receiving Distribution Payments, you cannot transfer or allocate Cash Value to the Indexed Accounts. This means you will not have the opportunity to participate in any market investment performance.</w:t>
      </w:r>
    </w:p>
    <w:p>
      <w:pPr>
        <w:spacing w:after="0" w:line="68" w:lineRule="exact"/>
        <w:rPr>
          <w:sz w:val="20"/>
          <w:szCs w:val="20"/>
          <w:color w:val="auto"/>
        </w:rPr>
      </w:pPr>
    </w:p>
    <w:p>
      <w:pPr>
        <w:jc w:val="both"/>
        <w:ind w:right="2939" w:firstLine="274"/>
        <w:spacing w:after="0" w:line="267" w:lineRule="auto"/>
        <w:rPr>
          <w:sz w:val="20"/>
          <w:szCs w:val="20"/>
          <w:color w:val="auto"/>
        </w:rPr>
      </w:pPr>
      <w:r>
        <w:rPr>
          <w:rFonts w:ascii="Times New Roman" w:cs="Times New Roman" w:eastAsia="Times New Roman" w:hAnsi="Times New Roman"/>
          <w:sz w:val="14"/>
          <w:szCs w:val="14"/>
          <w:color w:val="auto"/>
        </w:rPr>
        <w:t>You will not receive a refund of a portion of the Annual Indexed Account Charge when we transfer the Cash Value to the Fixed Account.</w:t>
      </w:r>
    </w:p>
    <w:p>
      <w:pPr>
        <w:spacing w:after="0" w:line="197"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4"/>
          <w:szCs w:val="14"/>
          <w:color w:val="auto"/>
        </w:rPr>
        <w:t>55</w:t>
      </w:r>
    </w:p>
    <w:p>
      <w:pPr>
        <w:sectPr>
          <w:pgSz w:w="11900" w:h="16838" w:orient="portrait"/>
          <w:cols w:equalWidth="0" w:num="1">
            <w:col w:w="9219"/>
          </w:cols>
          <w:pgMar w:left="1240" w:top="1071" w:right="1440" w:bottom="1440" w:gutter="0" w:footer="0" w:header="0"/>
        </w:sectPr>
      </w:pPr>
    </w:p>
    <w:bookmarkStart w:id="58" w:name="page59"/>
    <w:bookmarkEnd w:id="58"/>
    <w:p>
      <w:pPr>
        <w:jc w:val="both"/>
        <w:ind w:right="2939" w:firstLine="274"/>
        <w:spacing w:after="0" w:line="256"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422275</wp:posOffset>
            </wp:positionV>
            <wp:extent cx="719010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90105" cy="38735"/>
                    </a:xfrm>
                    <a:prstGeom prst="rect">
                      <a:avLst/>
                    </a:prstGeom>
                    <a:noFill/>
                  </pic:spPr>
                </pic:pic>
              </a:graphicData>
            </a:graphic>
          </wp:anchor>
        </w:drawing>
        <w:t>We will not accept additional premium payments on and after the Distribution Start Date, unless the GDR terminates. See “Termination of the GDR” below. If the GDR terminates, we may accept additional premium payments subject to the premium limits described in the “PREMIUMS” section.</w:t>
      </w:r>
    </w:p>
    <w:p>
      <w:pPr>
        <w:spacing w:after="0" w:line="67" w:lineRule="exact"/>
        <w:rPr>
          <w:sz w:val="20"/>
          <w:szCs w:val="20"/>
          <w:color w:val="auto"/>
        </w:rPr>
      </w:pPr>
    </w:p>
    <w:p>
      <w:pPr>
        <w:jc w:val="both"/>
        <w:ind w:right="2939" w:firstLine="274"/>
        <w:spacing w:after="0" w:line="254" w:lineRule="auto"/>
        <w:rPr>
          <w:sz w:val="20"/>
          <w:szCs w:val="20"/>
          <w:color w:val="auto"/>
        </w:rPr>
      </w:pPr>
      <w:r>
        <w:rPr>
          <w:rFonts w:ascii="Times New Roman" w:cs="Times New Roman" w:eastAsia="Times New Roman" w:hAnsi="Times New Roman"/>
          <w:sz w:val="14"/>
          <w:szCs w:val="14"/>
          <w:b w:val="1"/>
          <w:bCs w:val="1"/>
          <w:color w:val="auto"/>
        </w:rPr>
        <w:t xml:space="preserve">Minimum and Maximum Limits for Distribution Payments. </w:t>
      </w:r>
      <w:r>
        <w:rPr>
          <w:rFonts w:ascii="Times New Roman" w:cs="Times New Roman" w:eastAsia="Times New Roman" w:hAnsi="Times New Roman"/>
          <w:sz w:val="14"/>
          <w:szCs w:val="14"/>
          <w:color w:val="auto"/>
        </w:rPr>
        <w:t>The GDR has certain minimum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maximum amounts related to the Distribution Payments: (i)The Guaranteed Minimum Distribution Payment, (ii) the Distribution Payment minimum, and (iii) the Maximum Distribution Payment. See Appendix D for examples showing Guaranteed Minimum Distribution Payment and Maximum Distribution Payment.</w:t>
      </w:r>
    </w:p>
    <w:p>
      <w:pPr>
        <w:spacing w:after="0" w:line="63" w:lineRule="exact"/>
        <w:rPr>
          <w:sz w:val="20"/>
          <w:szCs w:val="20"/>
          <w:color w:val="auto"/>
        </w:rPr>
      </w:pPr>
    </w:p>
    <w:p>
      <w:pPr>
        <w:jc w:val="both"/>
        <w:ind w:left="440" w:right="2999" w:hanging="171"/>
        <w:spacing w:after="0" w:line="247" w:lineRule="auto"/>
        <w:tabs>
          <w:tab w:leader="none" w:pos="44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Guaranteed Minimum Distribution Payment is the minimum amount that we guarantee will be available to you as an annual Distribution Payment. The Guaranteed Minimum Distribution Payment varies by Attained Age. The Guaranteed Minimum Distribution Payments that apply to your Policy are shown on your Rider specifications page, and the amounts are guaranteed at issue. For a distribution frequency other than annual, the Guaranteed Minimum Distribution Payment is multiplied by the applicable distribution frequency factor (shown below in the “Distribution Payment Frequency” subsection). You may take less than Guaranteed Minimum Distribution Payment when you start Distribution Payments. The annual Guaranteed Minimum Distribution Payments for a Representative Insured (male, age 50, in the nonsmoker risk class, under a Policy with a Face Amount of $200,000) would be as follows:</w:t>
      </w:r>
    </w:p>
    <w:p>
      <w:pPr>
        <w:spacing w:after="0" w:line="69" w:lineRule="exact"/>
        <w:rPr>
          <w:sz w:val="20"/>
          <w:szCs w:val="20"/>
          <w:color w:val="auto"/>
        </w:rPr>
      </w:pPr>
    </w:p>
    <w:tbl>
      <w:tblPr>
        <w:tblLayout w:type="fixed"/>
        <w:tblInd w:w="1410" w:type="dxa"/>
        <w:tblCellMar>
          <w:top w:w="0" w:type="dxa"/>
          <w:left w:w="0" w:type="dxa"/>
          <w:bottom w:w="0" w:type="dxa"/>
          <w:right w:w="0" w:type="dxa"/>
        </w:tblCellMar>
      </w:tblPr>
      <w:tr>
        <w:trPr>
          <w:trHeight w:val="161"/>
        </w:trPr>
        <w:tc>
          <w:tcPr>
            <w:tcW w:w="1760" w:type="dxa"/>
            <w:vAlign w:val="bottom"/>
            <w:tcBorders>
              <w:top w:val="single" w:sz="8" w:color="auto"/>
              <w:left w:val="single" w:sz="8" w:color="auto"/>
              <w:right w:val="single" w:sz="8" w:color="auto"/>
            </w:tcBorders>
          </w:tcPr>
          <w:p>
            <w:pPr>
              <w:spacing w:after="0"/>
              <w:rPr>
                <w:sz w:val="13"/>
                <w:szCs w:val="13"/>
                <w:color w:val="auto"/>
              </w:rPr>
            </w:pPr>
          </w:p>
        </w:tc>
        <w:tc>
          <w:tcPr>
            <w:tcW w:w="17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Annual Guaranteed Minimum</w:t>
            </w:r>
          </w:p>
        </w:tc>
      </w:tr>
      <w:tr>
        <w:trPr>
          <w:trHeight w:val="164"/>
        </w:trPr>
        <w:tc>
          <w:tcPr>
            <w:tcW w:w="17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1"/>
                <w:szCs w:val="11"/>
                <w:b w:val="1"/>
                <w:bCs w:val="1"/>
                <w:color w:val="auto"/>
              </w:rPr>
              <w:t>Distribution Payments Start Age</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Distribution Payment</w:t>
            </w:r>
          </w:p>
        </w:tc>
      </w:tr>
      <w:tr>
        <w:trPr>
          <w:trHeight w:val="211"/>
        </w:trPr>
        <w:tc>
          <w:tcPr>
            <w:tcW w:w="1760" w:type="dxa"/>
            <w:vAlign w:val="bottom"/>
            <w:tcBorders>
              <w:left w:val="single" w:sz="8" w:color="auto"/>
              <w:bottom w:val="single" w:sz="8" w:color="F0FFFF"/>
              <w:right w:val="single" w:sz="8" w:color="auto"/>
            </w:tcBorders>
            <w:shd w:val="clear" w:color="auto" w:fill="F0FFFF"/>
          </w:tcPr>
          <w:p>
            <w:pPr>
              <w:jc w:val="center"/>
              <w:ind w:right="15"/>
              <w:spacing w:after="0"/>
              <w:rPr>
                <w:sz w:val="20"/>
                <w:szCs w:val="20"/>
                <w:color w:val="auto"/>
              </w:rPr>
            </w:pPr>
            <w:r>
              <w:rPr>
                <w:rFonts w:ascii="Times New Roman" w:cs="Times New Roman" w:eastAsia="Times New Roman" w:hAnsi="Times New Roman"/>
                <w:sz w:val="14"/>
                <w:szCs w:val="14"/>
                <w:color w:val="auto"/>
              </w:rPr>
              <w:t>60 - 64</w:t>
            </w:r>
          </w:p>
        </w:tc>
        <w:tc>
          <w:tcPr>
            <w:tcW w:w="172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color w:val="auto"/>
                <w:w w:val="98"/>
              </w:rPr>
              <w:t>$9,980</w:t>
            </w:r>
          </w:p>
        </w:tc>
      </w:tr>
      <w:tr>
        <w:trPr>
          <w:trHeight w:val="174"/>
        </w:trPr>
        <w:tc>
          <w:tcPr>
            <w:tcW w:w="1760" w:type="dxa"/>
            <w:vAlign w:val="bottom"/>
            <w:tcBorders>
              <w:top w:val="single" w:sz="8" w:color="auto"/>
              <w:left w:val="single" w:sz="8" w:color="auto"/>
              <w:right w:val="single" w:sz="8" w:color="auto"/>
            </w:tcBorders>
          </w:tcPr>
          <w:p>
            <w:pPr>
              <w:jc w:val="center"/>
              <w:ind w:right="15"/>
              <w:spacing w:after="0"/>
              <w:rPr>
                <w:sz w:val="20"/>
                <w:szCs w:val="20"/>
                <w:color w:val="auto"/>
              </w:rPr>
            </w:pPr>
            <w:r>
              <w:rPr>
                <w:rFonts w:ascii="Times New Roman" w:cs="Times New Roman" w:eastAsia="Times New Roman" w:hAnsi="Times New Roman"/>
                <w:sz w:val="14"/>
                <w:szCs w:val="14"/>
                <w:color w:val="auto"/>
              </w:rPr>
              <w:t>65 - 69</w:t>
            </w:r>
          </w:p>
        </w:tc>
        <w:tc>
          <w:tcPr>
            <w:tcW w:w="17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$14,640</w:t>
            </w:r>
          </w:p>
        </w:tc>
      </w:tr>
      <w:tr>
        <w:trPr>
          <w:trHeight w:val="22"/>
        </w:trPr>
        <w:tc>
          <w:tcPr>
            <w:tcW w:w="17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720" w:type="dxa"/>
            <w:vAlign w:val="bottom"/>
            <w:tcBorders>
              <w:bottom w:val="single" w:sz="8" w:color="auto"/>
              <w:right w:val="single" w:sz="8" w:color="auto"/>
            </w:tcBorders>
          </w:tcPr>
          <w:p>
            <w:pPr>
              <w:spacing w:after="0" w:line="20" w:lineRule="exact"/>
              <w:rPr>
                <w:sz w:val="1"/>
                <w:szCs w:val="1"/>
                <w:color w:val="auto"/>
              </w:rPr>
            </w:pPr>
          </w:p>
        </w:tc>
      </w:tr>
      <w:tr>
        <w:trPr>
          <w:trHeight w:val="181"/>
        </w:trPr>
        <w:tc>
          <w:tcPr>
            <w:tcW w:w="1760" w:type="dxa"/>
            <w:vAlign w:val="bottom"/>
            <w:tcBorders>
              <w:left w:val="single" w:sz="8" w:color="auto"/>
              <w:bottom w:val="single" w:sz="8" w:color="auto"/>
              <w:right w:val="single" w:sz="8" w:color="auto"/>
            </w:tcBorders>
            <w:shd w:val="clear" w:color="auto" w:fill="F0FFFF"/>
          </w:tcPr>
          <w:p>
            <w:pPr>
              <w:jc w:val="center"/>
              <w:ind w:right="35"/>
              <w:spacing w:after="0"/>
              <w:rPr>
                <w:sz w:val="20"/>
                <w:szCs w:val="20"/>
                <w:color w:val="auto"/>
              </w:rPr>
            </w:pPr>
            <w:r>
              <w:rPr>
                <w:rFonts w:ascii="Times New Roman" w:cs="Times New Roman" w:eastAsia="Times New Roman" w:hAnsi="Times New Roman"/>
                <w:sz w:val="14"/>
                <w:szCs w:val="14"/>
                <w:color w:val="auto"/>
                <w:w w:val="97"/>
              </w:rPr>
              <w:t>70 -120</w:t>
            </w:r>
          </w:p>
        </w:tc>
        <w:tc>
          <w:tcPr>
            <w:tcW w:w="172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color w:val="auto"/>
                <w:w w:val="96"/>
              </w:rPr>
              <w:t>$16,100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900430</wp:posOffset>
            </wp:positionH>
            <wp:positionV relativeFrom="paragraph">
              <wp:posOffset>-616585</wp:posOffset>
            </wp:positionV>
            <wp:extent cx="2188210" cy="2089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188210" cy="208915"/>
                    </a:xfrm>
                    <a:prstGeom prst="rect">
                      <a:avLst/>
                    </a:prstGeom>
                    <a:noFill/>
                  </pic:spPr>
                </pic:pic>
              </a:graphicData>
            </a:graphic>
          </wp:anchor>
        </w:drawing>
        <w:drawing>
          <wp:anchor simplePos="0" relativeHeight="251657728" behindDoc="1" locked="0" layoutInCell="0" allowOverlap="1">
            <wp:simplePos x="0" y="0"/>
            <wp:positionH relativeFrom="column">
              <wp:posOffset>900430</wp:posOffset>
            </wp:positionH>
            <wp:positionV relativeFrom="paragraph">
              <wp:posOffset>-270510</wp:posOffset>
            </wp:positionV>
            <wp:extent cx="2188210" cy="13716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188210" cy="137160"/>
                    </a:xfrm>
                    <a:prstGeom prst="rect">
                      <a:avLst/>
                    </a:prstGeom>
                    <a:noFill/>
                  </pic:spPr>
                </pic:pic>
              </a:graphicData>
            </a:graphic>
          </wp:anchor>
        </w:drawing>
      </w:r>
    </w:p>
    <w:p>
      <w:pPr>
        <w:spacing w:after="0" w:line="45" w:lineRule="exact"/>
        <w:rPr>
          <w:sz w:val="20"/>
          <w:szCs w:val="20"/>
          <w:color w:val="auto"/>
        </w:rPr>
      </w:pPr>
    </w:p>
    <w:p>
      <w:pPr>
        <w:ind w:left="440" w:right="3219" w:hanging="171"/>
        <w:spacing w:after="0" w:line="267" w:lineRule="auto"/>
        <w:tabs>
          <w:tab w:leader="none" w:pos="44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Distribution Payment minimum ($250) is the minimum amount you can receive as a Distribution Payment.</w:t>
      </w:r>
    </w:p>
    <w:p>
      <w:pPr>
        <w:spacing w:after="0" w:line="53" w:lineRule="exact"/>
        <w:rPr>
          <w:rFonts w:ascii="Times New Roman" w:cs="Times New Roman" w:eastAsia="Times New Roman" w:hAnsi="Times New Roman"/>
          <w:sz w:val="14"/>
          <w:szCs w:val="14"/>
          <w:color w:val="auto"/>
        </w:rPr>
      </w:pPr>
    </w:p>
    <w:p>
      <w:pPr>
        <w:jc w:val="both"/>
        <w:ind w:left="440" w:right="2999" w:hanging="171"/>
        <w:spacing w:after="0" w:line="246" w:lineRule="auto"/>
        <w:tabs>
          <w:tab w:leader="none" w:pos="44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Maximum Distribution Payment is the maximum amount available to you for each Distribution Payment, if you were to start Distribution Payments that Policy Year. The Maximum Distribution Payment is calculated at each Policy Anniversary prior to the Distribution Start Date and is equal to the Policy’s Cash Value on that date multiplied by the Distribution Payment rate. The Distribution Payment rate varies based on individual characteristics, including the Insured’s Issue Age, (except for unisex Policies) sex, Policy duration, and Distribution Payment Duration (including any changes in Distribution Payment Duration). The Distribution Payment rates that apply to your Policy can be found in the GDR, and the rates are guaranteed at issue. If you select an annual Distribution Payment Frequency, the Maximum Distribution Payment is an annual amount and is the maximum that you may receive as a Distribution Payment on the Distribution Start Date and on each Distribution Start Date anniversary. If you select a Distribution Payment Frequency other than annual (monthly, quarterly, or semi-annual), the Maximum Distribution Payment is not an annual amount but is the maximum amount you can receive for each Distribution Payment based on your selected frequency. For a frequency other than annual, the Maximum Distribution Payment is multiplied by the applicable distribution frequency factor (shown below in the “Distribution Payment Frequency” subsection).</w:t>
      </w:r>
    </w:p>
    <w:p>
      <w:pPr>
        <w:spacing w:after="0" w:line="158" w:lineRule="exact"/>
        <w:rPr>
          <w:sz w:val="20"/>
          <w:szCs w:val="20"/>
          <w:color w:val="auto"/>
        </w:rPr>
      </w:pPr>
    </w:p>
    <w:p>
      <w:pPr>
        <w:jc w:val="both"/>
        <w:ind w:right="2939" w:firstLine="274"/>
        <w:spacing w:after="0" w:line="256" w:lineRule="auto"/>
        <w:rPr>
          <w:sz w:val="20"/>
          <w:szCs w:val="20"/>
          <w:color w:val="auto"/>
        </w:rPr>
      </w:pPr>
      <w:r>
        <w:rPr>
          <w:rFonts w:ascii="Times New Roman" w:cs="Times New Roman" w:eastAsia="Times New Roman" w:hAnsi="Times New Roman"/>
          <w:sz w:val="14"/>
          <w:szCs w:val="14"/>
          <w:color w:val="auto"/>
        </w:rPr>
        <w:t>The Maximum Distribution Payment will never be less than the Guaranteed Minimum Distribution Payment effective on that Policy Anniversary. The Maximum Distribution Payment takes effect on the Distribution Start Date and cannot be changed.</w:t>
      </w:r>
    </w:p>
    <w:p>
      <w:pPr>
        <w:spacing w:after="0" w:line="57" w:lineRule="exact"/>
        <w:rPr>
          <w:sz w:val="20"/>
          <w:szCs w:val="20"/>
          <w:color w:val="auto"/>
        </w:rPr>
      </w:pPr>
    </w:p>
    <w:p>
      <w:pPr>
        <w:jc w:val="both"/>
        <w:ind w:right="2939" w:firstLine="274"/>
        <w:spacing w:after="0" w:line="247" w:lineRule="auto"/>
        <w:rPr>
          <w:sz w:val="20"/>
          <w:szCs w:val="20"/>
          <w:color w:val="auto"/>
        </w:rPr>
      </w:pPr>
      <w:r>
        <w:rPr>
          <w:rFonts w:ascii="Times New Roman" w:cs="Times New Roman" w:eastAsia="Times New Roman" w:hAnsi="Times New Roman"/>
          <w:sz w:val="14"/>
          <w:szCs w:val="14"/>
          <w:b w:val="1"/>
          <w:bCs w:val="1"/>
          <w:color w:val="auto"/>
        </w:rPr>
        <w:t xml:space="preserve">Distribution Payment Duration. </w:t>
      </w:r>
      <w:r>
        <w:rPr>
          <w:rFonts w:ascii="Times New Roman" w:cs="Times New Roman" w:eastAsia="Times New Roman" w:hAnsi="Times New Roman"/>
          <w:sz w:val="14"/>
          <w:szCs w:val="14"/>
          <w:color w:val="auto"/>
        </w:rPr>
        <w:t>You choose how long to receive Distribution Payments. The available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durations are 10-year, 20-year, and lifetime (up to Attained Age 121). If you choose to receive the Maximum Distribution Payment, Distribution Payments will be made for the length of the Distribution Payment Duration associated with the applicable Maximum Distribution Payment. Provided Distribution Payments have not been terminated, Distribution Payments may be paid past your chosen Distribution Payment Duration if you chose a Distribution Payment amount that was less than the Maximum Distribution Payment, and the cumulative Distribution Payments you have received are less than the cumulative Maximum Distribution Payment amounts available to you. You have the option to continue receiving Distribution Payments beyond the Distribution Payment Duration period, as long as you have not exhausted the cumulative Maximum Distribution Payment amounts available to you. See Appendix D for an example showing when you could receive Distribution Payments beyond your chosen Distribution Payment Duration. However, if Distribution Payments are terminated or you have received the entire amount of Distribution Payments provided by the GDR, Distribution Payments will cease and no further Distribution Payments will be paid to you. See “Termination of Distribution Payments” below.</w:t>
      </w:r>
    </w:p>
    <w:p>
      <w:pPr>
        <w:spacing w:after="0" w:line="71" w:lineRule="exact"/>
        <w:rPr>
          <w:sz w:val="20"/>
          <w:szCs w:val="20"/>
          <w:color w:val="auto"/>
        </w:rPr>
      </w:pPr>
    </w:p>
    <w:p>
      <w:pPr>
        <w:jc w:val="both"/>
        <w:ind w:right="2939" w:firstLine="274"/>
        <w:spacing w:after="0" w:line="249" w:lineRule="auto"/>
        <w:rPr>
          <w:sz w:val="20"/>
          <w:szCs w:val="20"/>
          <w:color w:val="auto"/>
        </w:rPr>
      </w:pPr>
      <w:r>
        <w:rPr>
          <w:rFonts w:ascii="Times New Roman" w:cs="Times New Roman" w:eastAsia="Times New Roman" w:hAnsi="Times New Roman"/>
          <w:sz w:val="14"/>
          <w:szCs w:val="14"/>
          <w:color w:val="auto"/>
        </w:rPr>
        <w:t>You select your Distribution Payment Duration at the time your purchase the Policy. A change to your Distribution Payment Duration, which is only available before you start payments, will affect your Guaranteed Minimum Distribution Payment, Maximum Distribution Payment, and Distribution Payment rate. If you change your Distribution Payment Duration, we will recalculate the Guaranteed Minimum Distribution Payment and Maximum Distribution Payment. We will use the Face Amount to recalculate the Guaranteed Minimum Distribution Payment, and the Cash Value on your most recent Policy Anniversary to</w:t>
      </w:r>
    </w:p>
    <w:p>
      <w:pPr>
        <w:spacing w:after="0" w:line="201"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4"/>
          <w:szCs w:val="14"/>
          <w:color w:val="auto"/>
        </w:rPr>
        <w:t>56</w:t>
      </w:r>
    </w:p>
    <w:p>
      <w:pPr>
        <w:sectPr>
          <w:pgSz w:w="11900" w:h="16838" w:orient="portrait"/>
          <w:cols w:equalWidth="0" w:num="1">
            <w:col w:w="9219"/>
          </w:cols>
          <w:pgMar w:left="1240" w:top="1083" w:right="1440" w:bottom="1440" w:gutter="0" w:footer="0" w:header="0"/>
        </w:sectPr>
      </w:pPr>
    </w:p>
    <w:bookmarkStart w:id="59" w:name="page60"/>
    <w:bookmarkEnd w:id="59"/>
    <w:p>
      <w:pPr>
        <w:jc w:val="both"/>
        <w:ind w:right="2939"/>
        <w:spacing w:after="0" w:line="249"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422275</wp:posOffset>
            </wp:positionV>
            <wp:extent cx="719010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90105" cy="38735"/>
                    </a:xfrm>
                    <a:prstGeom prst="rect">
                      <a:avLst/>
                    </a:prstGeom>
                    <a:noFill/>
                  </pic:spPr>
                </pic:pic>
              </a:graphicData>
            </a:graphic>
          </wp:anchor>
        </w:drawing>
        <w:t>recalculate the Maximum Distribution Payment. These payments and this rate may be less than they would have been if you had chosen the new Distribution Payment Duration on the date we issued the Policy. If you decide to change your Distribution Payment Duration from what was chosen at the time of purchase, you must provide Notice to us. The change to the Distribution Payment Duration must be included in the Notice you provide in order to start your Distribution Payments. Your Distribution Payment Duration cannot be changed after the Distribution Start Date.</w:t>
      </w:r>
    </w:p>
    <w:p>
      <w:pPr>
        <w:spacing w:after="0" w:line="64" w:lineRule="exact"/>
        <w:rPr>
          <w:sz w:val="20"/>
          <w:szCs w:val="20"/>
          <w:color w:val="auto"/>
        </w:rPr>
      </w:pPr>
    </w:p>
    <w:p>
      <w:pPr>
        <w:jc w:val="both"/>
        <w:ind w:right="2939" w:firstLine="274"/>
        <w:spacing w:after="0" w:line="252" w:lineRule="auto"/>
        <w:rPr>
          <w:sz w:val="20"/>
          <w:szCs w:val="20"/>
          <w:color w:val="auto"/>
        </w:rPr>
      </w:pPr>
      <w:r>
        <w:rPr>
          <w:rFonts w:ascii="Times New Roman" w:cs="Times New Roman" w:eastAsia="Times New Roman" w:hAnsi="Times New Roman"/>
          <w:sz w:val="14"/>
          <w:szCs w:val="14"/>
          <w:b w:val="1"/>
          <w:bCs w:val="1"/>
          <w:color w:val="auto"/>
        </w:rPr>
        <w:t xml:space="preserve">Distribution Payment Frequency. </w:t>
      </w:r>
      <w:r>
        <w:rPr>
          <w:rFonts w:ascii="Times New Roman" w:cs="Times New Roman" w:eastAsia="Times New Roman" w:hAnsi="Times New Roman"/>
          <w:sz w:val="14"/>
          <w:szCs w:val="14"/>
          <w:color w:val="auto"/>
        </w:rPr>
        <w:t>You can receive Distribution Payments on an annual, semi- annual,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quarterly, or monthly basis. A distribution frequency factor is applied to determine your Guaranteed Minimum Distribution Payment and Maximum Distribution Payment for any frequency other than annual. If you choose to receive Distribution Payments on a basis other than annual, the cumulative Distribution Payments for each year may be higher than if you chose an annual Distribution Payment.</w:t>
      </w:r>
    </w:p>
    <w:p>
      <w:pPr>
        <w:spacing w:after="0" w:line="64" w:lineRule="exact"/>
        <w:rPr>
          <w:sz w:val="20"/>
          <w:szCs w:val="20"/>
          <w:color w:val="auto"/>
        </w:rPr>
      </w:pPr>
    </w:p>
    <w:p>
      <w:pPr>
        <w:jc w:val="both"/>
        <w:ind w:right="2939" w:firstLine="274"/>
        <w:spacing w:after="0" w:line="278" w:lineRule="auto"/>
        <w:rPr>
          <w:sz w:val="20"/>
          <w:szCs w:val="20"/>
          <w:color w:val="auto"/>
        </w:rPr>
      </w:pPr>
      <w:r>
        <w:rPr>
          <w:rFonts w:ascii="Times New Roman" w:cs="Times New Roman" w:eastAsia="Times New Roman" w:hAnsi="Times New Roman"/>
          <w:sz w:val="13"/>
          <w:szCs w:val="13"/>
          <w:color w:val="auto"/>
        </w:rPr>
        <w:t>You select your Distribution Payment Duration at the time your purchase the Policy. If you decide to change your Distribution Payment Frequency from what was chosen at Policy issue, you must provide Notice to us. The change to the Distribution Payment Frequency must be included in the Notice you provide in order to start your Distribution Payments. Your Distribution Payment Frequency cannot be changed after the Distribution Start Date.</w:t>
      </w:r>
    </w:p>
    <w:p>
      <w:pPr>
        <w:spacing w:after="0" w:line="48" w:lineRule="exact"/>
        <w:rPr>
          <w:sz w:val="20"/>
          <w:szCs w:val="20"/>
          <w:color w:val="auto"/>
        </w:rPr>
      </w:pPr>
    </w:p>
    <w:p>
      <w:pPr>
        <w:jc w:val="both"/>
        <w:ind w:right="2939" w:firstLine="274"/>
        <w:spacing w:after="0" w:line="251" w:lineRule="auto"/>
        <w:rPr>
          <w:sz w:val="20"/>
          <w:szCs w:val="20"/>
          <w:color w:val="auto"/>
        </w:rPr>
      </w:pPr>
      <w:r>
        <w:rPr>
          <w:rFonts w:ascii="Times New Roman" w:cs="Times New Roman" w:eastAsia="Times New Roman" w:hAnsi="Times New Roman"/>
          <w:sz w:val="14"/>
          <w:szCs w:val="14"/>
          <w:color w:val="auto"/>
        </w:rPr>
        <w:t>The Distribution Frequency Factor is always applied to the annual Guaranteed Minimum Distribution Payment and annual Maximum Distribution Payment amount to determine the semiannual, quarterly, or monthly payments. In this example, you can see how the Distribution Frequency Factor impacts the amount of each Guaranteed Minimum Distribution Payment and Maximum Distribution Payment and also the total amount of all Distribution Payments received in a year.</w:t>
      </w:r>
    </w:p>
    <w:p>
      <w:pPr>
        <w:spacing w:after="0" w:line="92" w:lineRule="exact"/>
        <w:rPr>
          <w:sz w:val="20"/>
          <w:szCs w:val="20"/>
          <w:color w:val="auto"/>
        </w:rPr>
      </w:pPr>
    </w:p>
    <w:tbl>
      <w:tblPr>
        <w:tblLayout w:type="fixed"/>
        <w:tblInd w:w="10" w:type="dxa"/>
        <w:tblCellMar>
          <w:top w:w="0" w:type="dxa"/>
          <w:left w:w="0" w:type="dxa"/>
          <w:bottom w:w="0" w:type="dxa"/>
          <w:right w:w="0" w:type="dxa"/>
        </w:tblCellMar>
      </w:tblPr>
      <w:tr>
        <w:trPr>
          <w:trHeight w:val="180"/>
        </w:trPr>
        <w:tc>
          <w:tcPr>
            <w:tcW w:w="1380" w:type="dxa"/>
            <w:vAlign w:val="bottom"/>
            <w:tcBorders>
              <w:top w:val="single" w:sz="8" w:color="auto"/>
              <w:left w:val="single" w:sz="8" w:color="auto"/>
              <w:bottom w:val="single" w:sz="8" w:color="auto"/>
              <w:right w:val="single" w:sz="8" w:color="auto"/>
            </w:tcBorders>
          </w:tcPr>
          <w:p>
            <w:pPr>
              <w:spacing w:after="0"/>
              <w:rPr>
                <w:sz w:val="15"/>
                <w:szCs w:val="15"/>
                <w:color w:val="auto"/>
              </w:rPr>
            </w:pPr>
          </w:p>
        </w:tc>
        <w:tc>
          <w:tcPr>
            <w:tcW w:w="11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Annual</w:t>
            </w:r>
          </w:p>
        </w:tc>
        <w:tc>
          <w:tcPr>
            <w:tcW w:w="12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Semi-Annual</w:t>
            </w:r>
          </w:p>
        </w:tc>
        <w:tc>
          <w:tcPr>
            <w:tcW w:w="12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Quarterly</w:t>
            </w:r>
          </w:p>
        </w:tc>
        <w:tc>
          <w:tcPr>
            <w:tcW w:w="12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Monthly</w:t>
            </w:r>
          </w:p>
        </w:tc>
      </w:tr>
      <w:tr>
        <w:trPr>
          <w:trHeight w:val="189"/>
        </w:trPr>
        <w:tc>
          <w:tcPr>
            <w:tcW w:w="1380" w:type="dxa"/>
            <w:vAlign w:val="bottom"/>
            <w:tcBorders>
              <w:left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Distribution</w:t>
            </w:r>
          </w:p>
        </w:tc>
        <w:tc>
          <w:tcPr>
            <w:tcW w:w="112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128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color w:val="auto"/>
                <w:w w:val="98"/>
              </w:rPr>
              <w:t>0.5066</w:t>
            </w:r>
          </w:p>
        </w:tc>
        <w:tc>
          <w:tcPr>
            <w:tcW w:w="126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color w:val="auto"/>
                <w:w w:val="98"/>
              </w:rPr>
              <w:t>0.2550</w:t>
            </w:r>
          </w:p>
        </w:tc>
        <w:tc>
          <w:tcPr>
            <w:tcW w:w="126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color w:val="auto"/>
                <w:w w:val="98"/>
              </w:rPr>
              <w:t>0.0854</w:t>
            </w:r>
          </w:p>
        </w:tc>
      </w:tr>
      <w:tr>
        <w:trPr>
          <w:trHeight w:val="217"/>
        </w:trPr>
        <w:tc>
          <w:tcPr>
            <w:tcW w:w="1380" w:type="dxa"/>
            <w:vAlign w:val="bottom"/>
            <w:tcBorders>
              <w:left w:val="single" w:sz="8" w:color="auto"/>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Frequency Factor</w:t>
            </w:r>
          </w:p>
        </w:tc>
        <w:tc>
          <w:tcPr>
            <w:tcW w:w="1120" w:type="dxa"/>
            <w:vAlign w:val="bottom"/>
            <w:tcBorders>
              <w:bottom w:val="single" w:sz="8" w:color="F0FFFF"/>
              <w:right w:val="single" w:sz="8" w:color="auto"/>
            </w:tcBorders>
            <w:shd w:val="clear" w:color="auto" w:fill="F0FFFF"/>
          </w:tcPr>
          <w:p>
            <w:pPr>
              <w:spacing w:after="0"/>
              <w:rPr>
                <w:sz w:val="18"/>
                <w:szCs w:val="18"/>
                <w:color w:val="auto"/>
              </w:rPr>
            </w:pPr>
          </w:p>
        </w:tc>
        <w:tc>
          <w:tcPr>
            <w:tcW w:w="1280" w:type="dxa"/>
            <w:vAlign w:val="bottom"/>
            <w:tcBorders>
              <w:bottom w:val="single" w:sz="8" w:color="F0FFFF"/>
              <w:right w:val="single" w:sz="8" w:color="auto"/>
            </w:tcBorders>
            <w:shd w:val="clear" w:color="auto" w:fill="F0FFFF"/>
          </w:tcPr>
          <w:p>
            <w:pPr>
              <w:spacing w:after="0"/>
              <w:rPr>
                <w:sz w:val="18"/>
                <w:szCs w:val="18"/>
                <w:color w:val="auto"/>
              </w:rPr>
            </w:pPr>
          </w:p>
        </w:tc>
        <w:tc>
          <w:tcPr>
            <w:tcW w:w="1260" w:type="dxa"/>
            <w:vAlign w:val="bottom"/>
            <w:tcBorders>
              <w:bottom w:val="single" w:sz="8" w:color="F0FFFF"/>
              <w:right w:val="single" w:sz="8" w:color="auto"/>
            </w:tcBorders>
            <w:shd w:val="clear" w:color="auto" w:fill="F0FFFF"/>
          </w:tcPr>
          <w:p>
            <w:pPr>
              <w:spacing w:after="0"/>
              <w:rPr>
                <w:sz w:val="18"/>
                <w:szCs w:val="18"/>
                <w:color w:val="auto"/>
              </w:rPr>
            </w:pPr>
          </w:p>
        </w:tc>
        <w:tc>
          <w:tcPr>
            <w:tcW w:w="1260" w:type="dxa"/>
            <w:vAlign w:val="bottom"/>
            <w:tcBorders>
              <w:bottom w:val="single" w:sz="8" w:color="F0FFFF"/>
              <w:right w:val="single" w:sz="8" w:color="auto"/>
            </w:tcBorders>
            <w:shd w:val="clear" w:color="auto" w:fill="F0FFFF"/>
          </w:tcPr>
          <w:p>
            <w:pPr>
              <w:spacing w:after="0"/>
              <w:rPr>
                <w:sz w:val="18"/>
                <w:szCs w:val="18"/>
                <w:color w:val="auto"/>
              </w:rPr>
            </w:pPr>
          </w:p>
        </w:tc>
      </w:tr>
      <w:tr>
        <w:trPr>
          <w:trHeight w:val="179"/>
        </w:trPr>
        <w:tc>
          <w:tcPr>
            <w:tcW w:w="138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Guaranteed</w:t>
            </w:r>
          </w:p>
        </w:tc>
        <w:tc>
          <w:tcPr>
            <w:tcW w:w="11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$15,000</w:t>
            </w:r>
          </w:p>
        </w:tc>
        <w:tc>
          <w:tcPr>
            <w:tcW w:w="12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$7,599</w:t>
            </w:r>
          </w:p>
        </w:tc>
        <w:tc>
          <w:tcPr>
            <w:tcW w:w="12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$3,825</w:t>
            </w:r>
          </w:p>
        </w:tc>
        <w:tc>
          <w:tcPr>
            <w:tcW w:w="12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$1,281</w:t>
            </w:r>
          </w:p>
        </w:tc>
      </w:tr>
      <w:tr>
        <w:trPr>
          <w:trHeight w:val="180"/>
        </w:trPr>
        <w:tc>
          <w:tcPr>
            <w:tcW w:w="13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Minimum</w:t>
            </w:r>
          </w:p>
        </w:tc>
        <w:tc>
          <w:tcPr>
            <w:tcW w:w="1120" w:type="dxa"/>
            <w:vAlign w:val="bottom"/>
            <w:tcBorders>
              <w:right w:val="single" w:sz="8" w:color="auto"/>
            </w:tcBorders>
          </w:tcPr>
          <w:p>
            <w:pPr>
              <w:spacing w:after="0"/>
              <w:rPr>
                <w:sz w:val="15"/>
                <w:szCs w:val="15"/>
                <w:color w:val="auto"/>
              </w:rPr>
            </w:pPr>
          </w:p>
        </w:tc>
        <w:tc>
          <w:tcPr>
            <w:tcW w:w="1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($15,000 x 0.5066)</w:t>
            </w: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($15,000 x 0.2550)</w:t>
            </w: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($15,000 x 0.0854)</w:t>
            </w:r>
          </w:p>
        </w:tc>
      </w:tr>
      <w:tr>
        <w:trPr>
          <w:trHeight w:val="180"/>
        </w:trPr>
        <w:tc>
          <w:tcPr>
            <w:tcW w:w="13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Distribution</w:t>
            </w:r>
          </w:p>
        </w:tc>
        <w:tc>
          <w:tcPr>
            <w:tcW w:w="1120" w:type="dxa"/>
            <w:vAlign w:val="bottom"/>
            <w:tcBorders>
              <w:right w:val="single" w:sz="8" w:color="auto"/>
            </w:tcBorders>
          </w:tcPr>
          <w:p>
            <w:pPr>
              <w:spacing w:after="0"/>
              <w:rPr>
                <w:sz w:val="15"/>
                <w:szCs w:val="15"/>
                <w:color w:val="auto"/>
              </w:rPr>
            </w:pPr>
          </w:p>
        </w:tc>
        <w:tc>
          <w:tcPr>
            <w:tcW w:w="1280" w:type="dxa"/>
            <w:vAlign w:val="bottom"/>
            <w:tcBorders>
              <w:right w:val="single" w:sz="8" w:color="auto"/>
            </w:tcBorders>
          </w:tcPr>
          <w:p>
            <w:pPr>
              <w:spacing w:after="0"/>
              <w:rPr>
                <w:sz w:val="15"/>
                <w:szCs w:val="15"/>
                <w:color w:val="auto"/>
              </w:rPr>
            </w:pPr>
          </w:p>
        </w:tc>
        <w:tc>
          <w:tcPr>
            <w:tcW w:w="1260" w:type="dxa"/>
            <w:vAlign w:val="bottom"/>
            <w:tcBorders>
              <w:right w:val="single" w:sz="8" w:color="auto"/>
            </w:tcBorders>
          </w:tcPr>
          <w:p>
            <w:pPr>
              <w:spacing w:after="0"/>
              <w:rPr>
                <w:sz w:val="15"/>
                <w:szCs w:val="15"/>
                <w:color w:val="auto"/>
              </w:rPr>
            </w:pPr>
          </w:p>
        </w:tc>
        <w:tc>
          <w:tcPr>
            <w:tcW w:w="1260" w:type="dxa"/>
            <w:vAlign w:val="bottom"/>
            <w:tcBorders>
              <w:right w:val="single" w:sz="8" w:color="auto"/>
            </w:tcBorders>
          </w:tcPr>
          <w:p>
            <w:pPr>
              <w:spacing w:after="0"/>
              <w:rPr>
                <w:sz w:val="15"/>
                <w:szCs w:val="15"/>
                <w:color w:val="auto"/>
              </w:rPr>
            </w:pPr>
          </w:p>
        </w:tc>
      </w:tr>
      <w:tr>
        <w:trPr>
          <w:trHeight w:val="180"/>
        </w:trPr>
        <w:tc>
          <w:tcPr>
            <w:tcW w:w="13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Payment</w:t>
            </w:r>
          </w:p>
        </w:tc>
        <w:tc>
          <w:tcPr>
            <w:tcW w:w="1120" w:type="dxa"/>
            <w:vAlign w:val="bottom"/>
            <w:tcBorders>
              <w:right w:val="single" w:sz="8" w:color="auto"/>
            </w:tcBorders>
          </w:tcPr>
          <w:p>
            <w:pPr>
              <w:spacing w:after="0"/>
              <w:rPr>
                <w:sz w:val="15"/>
                <w:szCs w:val="15"/>
                <w:color w:val="auto"/>
              </w:rPr>
            </w:pPr>
          </w:p>
        </w:tc>
        <w:tc>
          <w:tcPr>
            <w:tcW w:w="1280" w:type="dxa"/>
            <w:vAlign w:val="bottom"/>
            <w:tcBorders>
              <w:right w:val="single" w:sz="8" w:color="auto"/>
            </w:tcBorders>
          </w:tcPr>
          <w:p>
            <w:pPr>
              <w:spacing w:after="0"/>
              <w:rPr>
                <w:sz w:val="15"/>
                <w:szCs w:val="15"/>
                <w:color w:val="auto"/>
              </w:rPr>
            </w:pPr>
          </w:p>
        </w:tc>
        <w:tc>
          <w:tcPr>
            <w:tcW w:w="1260" w:type="dxa"/>
            <w:vAlign w:val="bottom"/>
            <w:tcBorders>
              <w:right w:val="single" w:sz="8" w:color="auto"/>
            </w:tcBorders>
          </w:tcPr>
          <w:p>
            <w:pPr>
              <w:spacing w:after="0"/>
              <w:rPr>
                <w:sz w:val="15"/>
                <w:szCs w:val="15"/>
                <w:color w:val="auto"/>
              </w:rPr>
            </w:pPr>
          </w:p>
        </w:tc>
        <w:tc>
          <w:tcPr>
            <w:tcW w:w="1260" w:type="dxa"/>
            <w:vAlign w:val="bottom"/>
            <w:tcBorders>
              <w:right w:val="single" w:sz="8" w:color="auto"/>
            </w:tcBorders>
          </w:tcPr>
          <w:p>
            <w:pPr>
              <w:spacing w:after="0"/>
              <w:rPr>
                <w:sz w:val="15"/>
                <w:szCs w:val="15"/>
                <w:color w:val="auto"/>
              </w:rPr>
            </w:pP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12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r>
      <w:tr>
        <w:trPr>
          <w:trHeight w:val="179"/>
        </w:trPr>
        <w:tc>
          <w:tcPr>
            <w:tcW w:w="1380" w:type="dxa"/>
            <w:vAlign w:val="bottom"/>
            <w:tcBorders>
              <w:left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Maximum</w:t>
            </w:r>
          </w:p>
        </w:tc>
        <w:tc>
          <w:tcPr>
            <w:tcW w:w="112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color w:val="auto"/>
                <w:w w:val="96"/>
              </w:rPr>
              <w:t>$20,000</w:t>
            </w:r>
          </w:p>
        </w:tc>
        <w:tc>
          <w:tcPr>
            <w:tcW w:w="128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color w:val="auto"/>
                <w:w w:val="96"/>
              </w:rPr>
              <w:t>$10,132</w:t>
            </w:r>
          </w:p>
        </w:tc>
        <w:tc>
          <w:tcPr>
            <w:tcW w:w="126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color w:val="auto"/>
                <w:w w:val="98"/>
              </w:rPr>
              <w:t>$5,100</w:t>
            </w:r>
          </w:p>
        </w:tc>
        <w:tc>
          <w:tcPr>
            <w:tcW w:w="126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color w:val="auto"/>
                <w:w w:val="98"/>
              </w:rPr>
              <w:t>$1,708</w:t>
            </w:r>
          </w:p>
        </w:tc>
      </w:tr>
      <w:tr>
        <w:trPr>
          <w:trHeight w:val="180"/>
        </w:trPr>
        <w:tc>
          <w:tcPr>
            <w:tcW w:w="1380" w:type="dxa"/>
            <w:vAlign w:val="bottom"/>
            <w:tcBorders>
              <w:left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Distribution</w:t>
            </w:r>
          </w:p>
        </w:tc>
        <w:tc>
          <w:tcPr>
            <w:tcW w:w="1120" w:type="dxa"/>
            <w:vAlign w:val="bottom"/>
            <w:tcBorders>
              <w:right w:val="single" w:sz="8" w:color="auto"/>
            </w:tcBorders>
            <w:shd w:val="clear" w:color="auto" w:fill="F0FFFF"/>
          </w:tcPr>
          <w:p>
            <w:pPr>
              <w:spacing w:after="0"/>
              <w:rPr>
                <w:sz w:val="15"/>
                <w:szCs w:val="15"/>
                <w:color w:val="auto"/>
              </w:rPr>
            </w:pPr>
          </w:p>
        </w:tc>
        <w:tc>
          <w:tcPr>
            <w:tcW w:w="128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color w:val="auto"/>
                <w:w w:val="96"/>
              </w:rPr>
              <w:t>($20,000 x 0.5066)</w:t>
            </w:r>
          </w:p>
        </w:tc>
        <w:tc>
          <w:tcPr>
            <w:tcW w:w="126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color w:val="auto"/>
                <w:w w:val="98"/>
              </w:rPr>
              <w:t>($20,000 x 0.2550)</w:t>
            </w:r>
          </w:p>
        </w:tc>
        <w:tc>
          <w:tcPr>
            <w:tcW w:w="126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color w:val="auto"/>
                <w:w w:val="96"/>
              </w:rPr>
              <w:t>($20,000 x 0.0854)</w:t>
            </w:r>
          </w:p>
        </w:tc>
      </w:tr>
      <w:tr>
        <w:trPr>
          <w:trHeight w:val="212"/>
        </w:trPr>
        <w:tc>
          <w:tcPr>
            <w:tcW w:w="1380" w:type="dxa"/>
            <w:vAlign w:val="bottom"/>
            <w:tcBorders>
              <w:left w:val="single" w:sz="8" w:color="auto"/>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Payment</w:t>
            </w:r>
          </w:p>
        </w:tc>
        <w:tc>
          <w:tcPr>
            <w:tcW w:w="1120" w:type="dxa"/>
            <w:vAlign w:val="bottom"/>
            <w:tcBorders>
              <w:bottom w:val="single" w:sz="8" w:color="F0FFFF"/>
              <w:right w:val="single" w:sz="8" w:color="auto"/>
            </w:tcBorders>
            <w:shd w:val="clear" w:color="auto" w:fill="F0FFFF"/>
          </w:tcPr>
          <w:p>
            <w:pPr>
              <w:spacing w:after="0"/>
              <w:rPr>
                <w:sz w:val="17"/>
                <w:szCs w:val="17"/>
                <w:color w:val="auto"/>
              </w:rPr>
            </w:pPr>
          </w:p>
        </w:tc>
        <w:tc>
          <w:tcPr>
            <w:tcW w:w="1280" w:type="dxa"/>
            <w:vAlign w:val="bottom"/>
            <w:tcBorders>
              <w:bottom w:val="single" w:sz="8" w:color="F0FFFF"/>
              <w:right w:val="single" w:sz="8" w:color="auto"/>
            </w:tcBorders>
            <w:shd w:val="clear" w:color="auto" w:fill="F0FFFF"/>
          </w:tcPr>
          <w:p>
            <w:pPr>
              <w:spacing w:after="0"/>
              <w:rPr>
                <w:sz w:val="17"/>
                <w:szCs w:val="17"/>
                <w:color w:val="auto"/>
              </w:rPr>
            </w:pPr>
          </w:p>
        </w:tc>
        <w:tc>
          <w:tcPr>
            <w:tcW w:w="1260" w:type="dxa"/>
            <w:vAlign w:val="bottom"/>
            <w:tcBorders>
              <w:bottom w:val="single" w:sz="8" w:color="F0FFFF"/>
              <w:right w:val="single" w:sz="8" w:color="auto"/>
            </w:tcBorders>
            <w:shd w:val="clear" w:color="auto" w:fill="F0FFFF"/>
          </w:tcPr>
          <w:p>
            <w:pPr>
              <w:spacing w:after="0"/>
              <w:rPr>
                <w:sz w:val="17"/>
                <w:szCs w:val="17"/>
                <w:color w:val="auto"/>
              </w:rPr>
            </w:pPr>
          </w:p>
        </w:tc>
        <w:tc>
          <w:tcPr>
            <w:tcW w:w="1260" w:type="dxa"/>
            <w:vAlign w:val="bottom"/>
            <w:tcBorders>
              <w:bottom w:val="single" w:sz="8" w:color="F0FFFF"/>
              <w:right w:val="single" w:sz="8" w:color="auto"/>
            </w:tcBorders>
            <w:shd w:val="clear" w:color="auto" w:fill="F0FFFF"/>
          </w:tcPr>
          <w:p>
            <w:pPr>
              <w:spacing w:after="0"/>
              <w:rPr>
                <w:sz w:val="17"/>
                <w:szCs w:val="17"/>
                <w:color w:val="auto"/>
              </w:rPr>
            </w:pPr>
          </w:p>
        </w:tc>
      </w:tr>
      <w:tr>
        <w:trPr>
          <w:trHeight w:val="179"/>
        </w:trPr>
        <w:tc>
          <w:tcPr>
            <w:tcW w:w="138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11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w:t>
            </w:r>
          </w:p>
        </w:tc>
        <w:tc>
          <w:tcPr>
            <w:tcW w:w="12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w:t>
            </w:r>
          </w:p>
        </w:tc>
        <w:tc>
          <w:tcPr>
            <w:tcW w:w="12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5"/>
              </w:rPr>
              <w:t>4</w:t>
            </w:r>
          </w:p>
        </w:tc>
        <w:tc>
          <w:tcPr>
            <w:tcW w:w="12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12</w:t>
            </w:r>
          </w:p>
        </w:tc>
      </w:tr>
      <w:tr>
        <w:trPr>
          <w:trHeight w:val="180"/>
        </w:trPr>
        <w:tc>
          <w:tcPr>
            <w:tcW w:w="13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Distribution</w:t>
            </w:r>
          </w:p>
        </w:tc>
        <w:tc>
          <w:tcPr>
            <w:tcW w:w="1120" w:type="dxa"/>
            <w:vAlign w:val="bottom"/>
            <w:tcBorders>
              <w:right w:val="single" w:sz="8" w:color="auto"/>
            </w:tcBorders>
          </w:tcPr>
          <w:p>
            <w:pPr>
              <w:spacing w:after="0"/>
              <w:rPr>
                <w:sz w:val="15"/>
                <w:szCs w:val="15"/>
                <w:color w:val="auto"/>
              </w:rPr>
            </w:pPr>
          </w:p>
        </w:tc>
        <w:tc>
          <w:tcPr>
            <w:tcW w:w="1280" w:type="dxa"/>
            <w:vAlign w:val="bottom"/>
            <w:tcBorders>
              <w:right w:val="single" w:sz="8" w:color="auto"/>
            </w:tcBorders>
          </w:tcPr>
          <w:p>
            <w:pPr>
              <w:spacing w:after="0"/>
              <w:rPr>
                <w:sz w:val="15"/>
                <w:szCs w:val="15"/>
                <w:color w:val="auto"/>
              </w:rPr>
            </w:pPr>
          </w:p>
        </w:tc>
        <w:tc>
          <w:tcPr>
            <w:tcW w:w="1260" w:type="dxa"/>
            <w:vAlign w:val="bottom"/>
            <w:tcBorders>
              <w:right w:val="single" w:sz="8" w:color="auto"/>
            </w:tcBorders>
          </w:tcPr>
          <w:p>
            <w:pPr>
              <w:spacing w:after="0"/>
              <w:rPr>
                <w:sz w:val="15"/>
                <w:szCs w:val="15"/>
                <w:color w:val="auto"/>
              </w:rPr>
            </w:pPr>
          </w:p>
        </w:tc>
        <w:tc>
          <w:tcPr>
            <w:tcW w:w="1260" w:type="dxa"/>
            <w:vAlign w:val="bottom"/>
            <w:tcBorders>
              <w:right w:val="single" w:sz="8" w:color="auto"/>
            </w:tcBorders>
          </w:tcPr>
          <w:p>
            <w:pPr>
              <w:spacing w:after="0"/>
              <w:rPr>
                <w:sz w:val="15"/>
                <w:szCs w:val="15"/>
                <w:color w:val="auto"/>
              </w:rPr>
            </w:pPr>
          </w:p>
        </w:tc>
      </w:tr>
      <w:tr>
        <w:trPr>
          <w:trHeight w:val="185"/>
        </w:trPr>
        <w:tc>
          <w:tcPr>
            <w:tcW w:w="13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Payments in 1 Year</w:t>
            </w:r>
          </w:p>
        </w:tc>
        <w:tc>
          <w:tcPr>
            <w:tcW w:w="1120" w:type="dxa"/>
            <w:vAlign w:val="bottom"/>
            <w:tcBorders>
              <w:right w:val="single" w:sz="8" w:color="auto"/>
            </w:tcBorders>
          </w:tcPr>
          <w:p>
            <w:pPr>
              <w:spacing w:after="0"/>
              <w:rPr>
                <w:sz w:val="16"/>
                <w:szCs w:val="16"/>
                <w:color w:val="auto"/>
              </w:rPr>
            </w:pPr>
          </w:p>
        </w:tc>
        <w:tc>
          <w:tcPr>
            <w:tcW w:w="128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12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r>
      <w:tr>
        <w:trPr>
          <w:trHeight w:val="179"/>
        </w:trPr>
        <w:tc>
          <w:tcPr>
            <w:tcW w:w="1380" w:type="dxa"/>
            <w:vAlign w:val="bottom"/>
            <w:tcBorders>
              <w:left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Total of Distribution</w:t>
            </w:r>
          </w:p>
        </w:tc>
        <w:tc>
          <w:tcPr>
            <w:tcW w:w="112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color w:val="auto"/>
                <w:w w:val="96"/>
              </w:rPr>
              <w:t>$15,000</w:t>
            </w:r>
          </w:p>
        </w:tc>
        <w:tc>
          <w:tcPr>
            <w:tcW w:w="128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color w:val="auto"/>
                <w:w w:val="96"/>
              </w:rPr>
              <w:t>$15,198</w:t>
            </w:r>
          </w:p>
        </w:tc>
        <w:tc>
          <w:tcPr>
            <w:tcW w:w="126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color w:val="auto"/>
                <w:w w:val="96"/>
              </w:rPr>
              <w:t>$15,300</w:t>
            </w:r>
          </w:p>
        </w:tc>
        <w:tc>
          <w:tcPr>
            <w:tcW w:w="126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color w:val="auto"/>
                <w:w w:val="96"/>
              </w:rPr>
              <w:t>$15,372</w:t>
            </w:r>
          </w:p>
        </w:tc>
      </w:tr>
      <w:tr>
        <w:trPr>
          <w:trHeight w:val="180"/>
        </w:trPr>
        <w:tc>
          <w:tcPr>
            <w:tcW w:w="1380" w:type="dxa"/>
            <w:vAlign w:val="bottom"/>
            <w:tcBorders>
              <w:left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Payments Received</w:t>
            </w:r>
          </w:p>
        </w:tc>
        <w:tc>
          <w:tcPr>
            <w:tcW w:w="1120" w:type="dxa"/>
            <w:vAlign w:val="bottom"/>
            <w:tcBorders>
              <w:right w:val="single" w:sz="8" w:color="auto"/>
            </w:tcBorders>
            <w:shd w:val="clear" w:color="auto" w:fill="F0FFFF"/>
          </w:tcPr>
          <w:p>
            <w:pPr>
              <w:spacing w:after="0"/>
              <w:rPr>
                <w:sz w:val="15"/>
                <w:szCs w:val="15"/>
                <w:color w:val="auto"/>
              </w:rPr>
            </w:pPr>
          </w:p>
        </w:tc>
        <w:tc>
          <w:tcPr>
            <w:tcW w:w="128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color w:val="auto"/>
                <w:w w:val="98"/>
              </w:rPr>
              <w:t>($7,599 x 2)</w:t>
            </w:r>
          </w:p>
        </w:tc>
        <w:tc>
          <w:tcPr>
            <w:tcW w:w="126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color w:val="auto"/>
                <w:w w:val="98"/>
              </w:rPr>
              <w:t>($3,825 x 4)</w:t>
            </w:r>
          </w:p>
        </w:tc>
        <w:tc>
          <w:tcPr>
            <w:tcW w:w="126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color w:val="auto"/>
                <w:w w:val="97"/>
              </w:rPr>
              <w:t>($1,281 x 12)</w:t>
            </w:r>
          </w:p>
        </w:tc>
      </w:tr>
      <w:tr>
        <w:trPr>
          <w:trHeight w:val="180"/>
        </w:trPr>
        <w:tc>
          <w:tcPr>
            <w:tcW w:w="1380" w:type="dxa"/>
            <w:vAlign w:val="bottom"/>
            <w:tcBorders>
              <w:left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in 1 Year (if</w:t>
            </w:r>
          </w:p>
        </w:tc>
        <w:tc>
          <w:tcPr>
            <w:tcW w:w="1120" w:type="dxa"/>
            <w:vAlign w:val="bottom"/>
            <w:tcBorders>
              <w:right w:val="single" w:sz="8" w:color="auto"/>
            </w:tcBorders>
            <w:shd w:val="clear" w:color="auto" w:fill="F0FFFF"/>
          </w:tcPr>
          <w:p>
            <w:pPr>
              <w:spacing w:after="0"/>
              <w:rPr>
                <w:sz w:val="15"/>
                <w:szCs w:val="15"/>
                <w:color w:val="auto"/>
              </w:rPr>
            </w:pPr>
          </w:p>
        </w:tc>
        <w:tc>
          <w:tcPr>
            <w:tcW w:w="1280" w:type="dxa"/>
            <w:vAlign w:val="bottom"/>
            <w:tcBorders>
              <w:right w:val="single" w:sz="8" w:color="auto"/>
            </w:tcBorders>
            <w:shd w:val="clear" w:color="auto" w:fill="F0FFFF"/>
          </w:tcPr>
          <w:p>
            <w:pPr>
              <w:spacing w:after="0"/>
              <w:rPr>
                <w:sz w:val="15"/>
                <w:szCs w:val="15"/>
                <w:color w:val="auto"/>
              </w:rPr>
            </w:pPr>
          </w:p>
        </w:tc>
        <w:tc>
          <w:tcPr>
            <w:tcW w:w="1260" w:type="dxa"/>
            <w:vAlign w:val="bottom"/>
            <w:tcBorders>
              <w:right w:val="single" w:sz="8" w:color="auto"/>
            </w:tcBorders>
            <w:shd w:val="clear" w:color="auto" w:fill="F0FFFF"/>
          </w:tcPr>
          <w:p>
            <w:pPr>
              <w:spacing w:after="0"/>
              <w:rPr>
                <w:sz w:val="15"/>
                <w:szCs w:val="15"/>
                <w:color w:val="auto"/>
              </w:rPr>
            </w:pPr>
          </w:p>
        </w:tc>
        <w:tc>
          <w:tcPr>
            <w:tcW w:w="1260" w:type="dxa"/>
            <w:vAlign w:val="bottom"/>
            <w:tcBorders>
              <w:right w:val="single" w:sz="8" w:color="auto"/>
            </w:tcBorders>
            <w:shd w:val="clear" w:color="auto" w:fill="F0FFFF"/>
          </w:tcPr>
          <w:p>
            <w:pPr>
              <w:spacing w:after="0"/>
              <w:rPr>
                <w:sz w:val="15"/>
                <w:szCs w:val="15"/>
                <w:color w:val="auto"/>
              </w:rPr>
            </w:pPr>
          </w:p>
        </w:tc>
      </w:tr>
      <w:tr>
        <w:trPr>
          <w:trHeight w:val="175"/>
        </w:trPr>
        <w:tc>
          <w:tcPr>
            <w:tcW w:w="1380" w:type="dxa"/>
            <w:vAlign w:val="bottom"/>
            <w:tcBorders>
              <w:left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receiving</w:t>
            </w:r>
          </w:p>
        </w:tc>
        <w:tc>
          <w:tcPr>
            <w:tcW w:w="1120" w:type="dxa"/>
            <w:vAlign w:val="bottom"/>
            <w:tcBorders>
              <w:right w:val="single" w:sz="8" w:color="auto"/>
            </w:tcBorders>
            <w:shd w:val="clear" w:color="auto" w:fill="F0FFFF"/>
          </w:tcPr>
          <w:p>
            <w:pPr>
              <w:spacing w:after="0"/>
              <w:rPr>
                <w:sz w:val="15"/>
                <w:szCs w:val="15"/>
                <w:color w:val="auto"/>
              </w:rPr>
            </w:pPr>
          </w:p>
        </w:tc>
        <w:tc>
          <w:tcPr>
            <w:tcW w:w="1280" w:type="dxa"/>
            <w:vAlign w:val="bottom"/>
            <w:tcBorders>
              <w:right w:val="single" w:sz="8" w:color="auto"/>
            </w:tcBorders>
            <w:shd w:val="clear" w:color="auto" w:fill="F0FFFF"/>
          </w:tcPr>
          <w:p>
            <w:pPr>
              <w:spacing w:after="0"/>
              <w:rPr>
                <w:sz w:val="15"/>
                <w:szCs w:val="15"/>
                <w:color w:val="auto"/>
              </w:rPr>
            </w:pPr>
          </w:p>
        </w:tc>
        <w:tc>
          <w:tcPr>
            <w:tcW w:w="1260" w:type="dxa"/>
            <w:vAlign w:val="bottom"/>
            <w:tcBorders>
              <w:right w:val="single" w:sz="8" w:color="auto"/>
            </w:tcBorders>
            <w:shd w:val="clear" w:color="auto" w:fill="F0FFFF"/>
          </w:tcPr>
          <w:p>
            <w:pPr>
              <w:spacing w:after="0"/>
              <w:rPr>
                <w:sz w:val="15"/>
                <w:szCs w:val="15"/>
                <w:color w:val="auto"/>
              </w:rPr>
            </w:pPr>
          </w:p>
        </w:tc>
        <w:tc>
          <w:tcPr>
            <w:tcW w:w="1260" w:type="dxa"/>
            <w:vAlign w:val="bottom"/>
            <w:tcBorders>
              <w:right w:val="single" w:sz="8" w:color="auto"/>
            </w:tcBorders>
            <w:shd w:val="clear" w:color="auto" w:fill="F0FFFF"/>
          </w:tcPr>
          <w:p>
            <w:pPr>
              <w:spacing w:after="0"/>
              <w:rPr>
                <w:sz w:val="15"/>
                <w:szCs w:val="15"/>
                <w:color w:val="auto"/>
              </w:rPr>
            </w:pPr>
          </w:p>
        </w:tc>
      </w:tr>
      <w:tr>
        <w:trPr>
          <w:trHeight w:val="180"/>
        </w:trPr>
        <w:tc>
          <w:tcPr>
            <w:tcW w:w="1380" w:type="dxa"/>
            <w:vAlign w:val="bottom"/>
            <w:tcBorders>
              <w:left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Guaranteed</w:t>
            </w:r>
          </w:p>
        </w:tc>
        <w:tc>
          <w:tcPr>
            <w:tcW w:w="1120" w:type="dxa"/>
            <w:vAlign w:val="bottom"/>
            <w:tcBorders>
              <w:right w:val="single" w:sz="8" w:color="auto"/>
            </w:tcBorders>
            <w:shd w:val="clear" w:color="auto" w:fill="F0FFFF"/>
          </w:tcPr>
          <w:p>
            <w:pPr>
              <w:spacing w:after="0"/>
              <w:rPr>
                <w:sz w:val="15"/>
                <w:szCs w:val="15"/>
                <w:color w:val="auto"/>
              </w:rPr>
            </w:pPr>
          </w:p>
        </w:tc>
        <w:tc>
          <w:tcPr>
            <w:tcW w:w="1280" w:type="dxa"/>
            <w:vAlign w:val="bottom"/>
            <w:tcBorders>
              <w:right w:val="single" w:sz="8" w:color="auto"/>
            </w:tcBorders>
            <w:shd w:val="clear" w:color="auto" w:fill="F0FFFF"/>
          </w:tcPr>
          <w:p>
            <w:pPr>
              <w:spacing w:after="0"/>
              <w:rPr>
                <w:sz w:val="15"/>
                <w:szCs w:val="15"/>
                <w:color w:val="auto"/>
              </w:rPr>
            </w:pPr>
          </w:p>
        </w:tc>
        <w:tc>
          <w:tcPr>
            <w:tcW w:w="1260" w:type="dxa"/>
            <w:vAlign w:val="bottom"/>
            <w:tcBorders>
              <w:right w:val="single" w:sz="8" w:color="auto"/>
            </w:tcBorders>
            <w:shd w:val="clear" w:color="auto" w:fill="F0FFFF"/>
          </w:tcPr>
          <w:p>
            <w:pPr>
              <w:spacing w:after="0"/>
              <w:rPr>
                <w:sz w:val="15"/>
                <w:szCs w:val="15"/>
                <w:color w:val="auto"/>
              </w:rPr>
            </w:pPr>
          </w:p>
        </w:tc>
        <w:tc>
          <w:tcPr>
            <w:tcW w:w="1260" w:type="dxa"/>
            <w:vAlign w:val="bottom"/>
            <w:tcBorders>
              <w:right w:val="single" w:sz="8" w:color="auto"/>
            </w:tcBorders>
            <w:shd w:val="clear" w:color="auto" w:fill="F0FFFF"/>
          </w:tcPr>
          <w:p>
            <w:pPr>
              <w:spacing w:after="0"/>
              <w:rPr>
                <w:sz w:val="15"/>
                <w:szCs w:val="15"/>
                <w:color w:val="auto"/>
              </w:rPr>
            </w:pPr>
          </w:p>
        </w:tc>
      </w:tr>
      <w:tr>
        <w:trPr>
          <w:trHeight w:val="180"/>
        </w:trPr>
        <w:tc>
          <w:tcPr>
            <w:tcW w:w="1380" w:type="dxa"/>
            <w:vAlign w:val="bottom"/>
            <w:tcBorders>
              <w:left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Minimum</w:t>
            </w:r>
          </w:p>
        </w:tc>
        <w:tc>
          <w:tcPr>
            <w:tcW w:w="1120" w:type="dxa"/>
            <w:vAlign w:val="bottom"/>
            <w:tcBorders>
              <w:right w:val="single" w:sz="8" w:color="auto"/>
            </w:tcBorders>
            <w:shd w:val="clear" w:color="auto" w:fill="F0FFFF"/>
          </w:tcPr>
          <w:p>
            <w:pPr>
              <w:spacing w:after="0"/>
              <w:rPr>
                <w:sz w:val="15"/>
                <w:szCs w:val="15"/>
                <w:color w:val="auto"/>
              </w:rPr>
            </w:pPr>
          </w:p>
        </w:tc>
        <w:tc>
          <w:tcPr>
            <w:tcW w:w="1280" w:type="dxa"/>
            <w:vAlign w:val="bottom"/>
            <w:tcBorders>
              <w:right w:val="single" w:sz="8" w:color="auto"/>
            </w:tcBorders>
            <w:shd w:val="clear" w:color="auto" w:fill="F0FFFF"/>
          </w:tcPr>
          <w:p>
            <w:pPr>
              <w:spacing w:after="0"/>
              <w:rPr>
                <w:sz w:val="15"/>
                <w:szCs w:val="15"/>
                <w:color w:val="auto"/>
              </w:rPr>
            </w:pPr>
          </w:p>
        </w:tc>
        <w:tc>
          <w:tcPr>
            <w:tcW w:w="1260" w:type="dxa"/>
            <w:vAlign w:val="bottom"/>
            <w:tcBorders>
              <w:right w:val="single" w:sz="8" w:color="auto"/>
            </w:tcBorders>
            <w:shd w:val="clear" w:color="auto" w:fill="F0FFFF"/>
          </w:tcPr>
          <w:p>
            <w:pPr>
              <w:spacing w:after="0"/>
              <w:rPr>
                <w:sz w:val="15"/>
                <w:szCs w:val="15"/>
                <w:color w:val="auto"/>
              </w:rPr>
            </w:pPr>
          </w:p>
        </w:tc>
        <w:tc>
          <w:tcPr>
            <w:tcW w:w="1260" w:type="dxa"/>
            <w:vAlign w:val="bottom"/>
            <w:tcBorders>
              <w:right w:val="single" w:sz="8" w:color="auto"/>
            </w:tcBorders>
            <w:shd w:val="clear" w:color="auto" w:fill="F0FFFF"/>
          </w:tcPr>
          <w:p>
            <w:pPr>
              <w:spacing w:after="0"/>
              <w:rPr>
                <w:sz w:val="15"/>
                <w:szCs w:val="15"/>
                <w:color w:val="auto"/>
              </w:rPr>
            </w:pPr>
          </w:p>
        </w:tc>
      </w:tr>
      <w:tr>
        <w:trPr>
          <w:trHeight w:val="175"/>
        </w:trPr>
        <w:tc>
          <w:tcPr>
            <w:tcW w:w="1380" w:type="dxa"/>
            <w:vAlign w:val="bottom"/>
            <w:tcBorders>
              <w:left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Distribution</w:t>
            </w:r>
          </w:p>
        </w:tc>
        <w:tc>
          <w:tcPr>
            <w:tcW w:w="1120" w:type="dxa"/>
            <w:vAlign w:val="bottom"/>
            <w:tcBorders>
              <w:right w:val="single" w:sz="8" w:color="auto"/>
            </w:tcBorders>
            <w:shd w:val="clear" w:color="auto" w:fill="F0FFFF"/>
          </w:tcPr>
          <w:p>
            <w:pPr>
              <w:spacing w:after="0"/>
              <w:rPr>
                <w:sz w:val="15"/>
                <w:szCs w:val="15"/>
                <w:color w:val="auto"/>
              </w:rPr>
            </w:pPr>
          </w:p>
        </w:tc>
        <w:tc>
          <w:tcPr>
            <w:tcW w:w="1280" w:type="dxa"/>
            <w:vAlign w:val="bottom"/>
            <w:tcBorders>
              <w:right w:val="single" w:sz="8" w:color="auto"/>
            </w:tcBorders>
            <w:shd w:val="clear" w:color="auto" w:fill="F0FFFF"/>
          </w:tcPr>
          <w:p>
            <w:pPr>
              <w:spacing w:after="0"/>
              <w:rPr>
                <w:sz w:val="15"/>
                <w:szCs w:val="15"/>
                <w:color w:val="auto"/>
              </w:rPr>
            </w:pPr>
          </w:p>
        </w:tc>
        <w:tc>
          <w:tcPr>
            <w:tcW w:w="1260" w:type="dxa"/>
            <w:vAlign w:val="bottom"/>
            <w:tcBorders>
              <w:right w:val="single" w:sz="8" w:color="auto"/>
            </w:tcBorders>
            <w:shd w:val="clear" w:color="auto" w:fill="F0FFFF"/>
          </w:tcPr>
          <w:p>
            <w:pPr>
              <w:spacing w:after="0"/>
              <w:rPr>
                <w:sz w:val="15"/>
                <w:szCs w:val="15"/>
                <w:color w:val="auto"/>
              </w:rPr>
            </w:pPr>
          </w:p>
        </w:tc>
        <w:tc>
          <w:tcPr>
            <w:tcW w:w="1260" w:type="dxa"/>
            <w:vAlign w:val="bottom"/>
            <w:tcBorders>
              <w:right w:val="single" w:sz="8" w:color="auto"/>
            </w:tcBorders>
            <w:shd w:val="clear" w:color="auto" w:fill="F0FFFF"/>
          </w:tcPr>
          <w:p>
            <w:pPr>
              <w:spacing w:after="0"/>
              <w:rPr>
                <w:sz w:val="15"/>
                <w:szCs w:val="15"/>
                <w:color w:val="auto"/>
              </w:rPr>
            </w:pPr>
          </w:p>
        </w:tc>
      </w:tr>
      <w:tr>
        <w:trPr>
          <w:trHeight w:val="217"/>
        </w:trPr>
        <w:tc>
          <w:tcPr>
            <w:tcW w:w="1380" w:type="dxa"/>
            <w:vAlign w:val="bottom"/>
            <w:tcBorders>
              <w:left w:val="single" w:sz="8" w:color="auto"/>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Payment)</w:t>
            </w:r>
          </w:p>
        </w:tc>
        <w:tc>
          <w:tcPr>
            <w:tcW w:w="1120" w:type="dxa"/>
            <w:vAlign w:val="bottom"/>
            <w:tcBorders>
              <w:bottom w:val="single" w:sz="8" w:color="F0FFFF"/>
              <w:right w:val="single" w:sz="8" w:color="auto"/>
            </w:tcBorders>
            <w:shd w:val="clear" w:color="auto" w:fill="F0FFFF"/>
          </w:tcPr>
          <w:p>
            <w:pPr>
              <w:spacing w:after="0"/>
              <w:rPr>
                <w:sz w:val="18"/>
                <w:szCs w:val="18"/>
                <w:color w:val="auto"/>
              </w:rPr>
            </w:pPr>
          </w:p>
        </w:tc>
        <w:tc>
          <w:tcPr>
            <w:tcW w:w="1280" w:type="dxa"/>
            <w:vAlign w:val="bottom"/>
            <w:tcBorders>
              <w:bottom w:val="single" w:sz="8" w:color="F0FFFF"/>
              <w:right w:val="single" w:sz="8" w:color="auto"/>
            </w:tcBorders>
            <w:shd w:val="clear" w:color="auto" w:fill="F0FFFF"/>
          </w:tcPr>
          <w:p>
            <w:pPr>
              <w:spacing w:after="0"/>
              <w:rPr>
                <w:sz w:val="18"/>
                <w:szCs w:val="18"/>
                <w:color w:val="auto"/>
              </w:rPr>
            </w:pPr>
          </w:p>
        </w:tc>
        <w:tc>
          <w:tcPr>
            <w:tcW w:w="1260" w:type="dxa"/>
            <w:vAlign w:val="bottom"/>
            <w:tcBorders>
              <w:bottom w:val="single" w:sz="8" w:color="F0FFFF"/>
              <w:right w:val="single" w:sz="8" w:color="auto"/>
            </w:tcBorders>
            <w:shd w:val="clear" w:color="auto" w:fill="F0FFFF"/>
          </w:tcPr>
          <w:p>
            <w:pPr>
              <w:spacing w:after="0"/>
              <w:rPr>
                <w:sz w:val="18"/>
                <w:szCs w:val="18"/>
                <w:color w:val="auto"/>
              </w:rPr>
            </w:pPr>
          </w:p>
        </w:tc>
        <w:tc>
          <w:tcPr>
            <w:tcW w:w="1260" w:type="dxa"/>
            <w:vAlign w:val="bottom"/>
            <w:tcBorders>
              <w:bottom w:val="single" w:sz="8" w:color="F0FFFF"/>
              <w:right w:val="single" w:sz="8" w:color="auto"/>
            </w:tcBorders>
            <w:shd w:val="clear" w:color="auto" w:fill="F0FFFF"/>
          </w:tcPr>
          <w:p>
            <w:pPr>
              <w:spacing w:after="0"/>
              <w:rPr>
                <w:sz w:val="18"/>
                <w:szCs w:val="18"/>
                <w:color w:val="auto"/>
              </w:rPr>
            </w:pPr>
          </w:p>
        </w:tc>
      </w:tr>
      <w:tr>
        <w:trPr>
          <w:trHeight w:val="159"/>
        </w:trPr>
        <w:tc>
          <w:tcPr>
            <w:tcW w:w="1380" w:type="dxa"/>
            <w:vAlign w:val="bottom"/>
            <w:tcBorders>
              <w:top w:val="single" w:sz="8" w:color="auto"/>
              <w:left w:val="single" w:sz="8" w:color="auto"/>
              <w:right w:val="single" w:sz="8" w:color="auto"/>
            </w:tcBorders>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w w:val="96"/>
              </w:rPr>
              <w:t>Total of Distribution</w:t>
            </w:r>
          </w:p>
        </w:tc>
        <w:tc>
          <w:tcPr>
            <w:tcW w:w="1120" w:type="dxa"/>
            <w:vAlign w:val="bottom"/>
            <w:tcBorders>
              <w:top w:val="single" w:sz="8" w:color="auto"/>
              <w:right w:val="single" w:sz="8" w:color="auto"/>
            </w:tcBorders>
          </w:tcPr>
          <w:p>
            <w:pPr>
              <w:jc w:val="center"/>
              <w:spacing w:after="0" w:line="159" w:lineRule="exact"/>
              <w:rPr>
                <w:sz w:val="20"/>
                <w:szCs w:val="20"/>
                <w:color w:val="auto"/>
              </w:rPr>
            </w:pPr>
            <w:r>
              <w:rPr>
                <w:rFonts w:ascii="Times New Roman" w:cs="Times New Roman" w:eastAsia="Times New Roman" w:hAnsi="Times New Roman"/>
                <w:sz w:val="14"/>
                <w:szCs w:val="14"/>
                <w:color w:val="auto"/>
                <w:w w:val="96"/>
              </w:rPr>
              <w:t>$20,000</w:t>
            </w:r>
          </w:p>
        </w:tc>
        <w:tc>
          <w:tcPr>
            <w:tcW w:w="1280" w:type="dxa"/>
            <w:vAlign w:val="bottom"/>
            <w:tcBorders>
              <w:top w:val="single" w:sz="8" w:color="auto"/>
              <w:right w:val="single" w:sz="8" w:color="auto"/>
            </w:tcBorders>
          </w:tcPr>
          <w:p>
            <w:pPr>
              <w:jc w:val="center"/>
              <w:spacing w:after="0" w:line="159" w:lineRule="exact"/>
              <w:rPr>
                <w:sz w:val="20"/>
                <w:szCs w:val="20"/>
                <w:color w:val="auto"/>
              </w:rPr>
            </w:pPr>
            <w:r>
              <w:rPr>
                <w:rFonts w:ascii="Times New Roman" w:cs="Times New Roman" w:eastAsia="Times New Roman" w:hAnsi="Times New Roman"/>
                <w:sz w:val="14"/>
                <w:szCs w:val="14"/>
                <w:color w:val="auto"/>
                <w:w w:val="96"/>
              </w:rPr>
              <w:t>$20,264</w:t>
            </w:r>
          </w:p>
        </w:tc>
        <w:tc>
          <w:tcPr>
            <w:tcW w:w="1260" w:type="dxa"/>
            <w:vAlign w:val="bottom"/>
            <w:tcBorders>
              <w:top w:val="single" w:sz="8" w:color="auto"/>
              <w:right w:val="single" w:sz="8" w:color="auto"/>
            </w:tcBorders>
          </w:tcPr>
          <w:p>
            <w:pPr>
              <w:jc w:val="center"/>
              <w:spacing w:after="0" w:line="159" w:lineRule="exact"/>
              <w:rPr>
                <w:sz w:val="20"/>
                <w:szCs w:val="20"/>
                <w:color w:val="auto"/>
              </w:rPr>
            </w:pPr>
            <w:r>
              <w:rPr>
                <w:rFonts w:ascii="Times New Roman" w:cs="Times New Roman" w:eastAsia="Times New Roman" w:hAnsi="Times New Roman"/>
                <w:sz w:val="14"/>
                <w:szCs w:val="14"/>
                <w:color w:val="auto"/>
                <w:w w:val="96"/>
              </w:rPr>
              <w:t>$20,400</w:t>
            </w:r>
          </w:p>
        </w:tc>
        <w:tc>
          <w:tcPr>
            <w:tcW w:w="1260" w:type="dxa"/>
            <w:vAlign w:val="bottom"/>
            <w:tcBorders>
              <w:top w:val="single" w:sz="8" w:color="auto"/>
              <w:right w:val="single" w:sz="8" w:color="auto"/>
            </w:tcBorders>
          </w:tcPr>
          <w:p>
            <w:pPr>
              <w:jc w:val="center"/>
              <w:spacing w:after="0" w:line="159" w:lineRule="exact"/>
              <w:rPr>
                <w:sz w:val="20"/>
                <w:szCs w:val="20"/>
                <w:color w:val="auto"/>
              </w:rPr>
            </w:pPr>
            <w:r>
              <w:rPr>
                <w:rFonts w:ascii="Times New Roman" w:cs="Times New Roman" w:eastAsia="Times New Roman" w:hAnsi="Times New Roman"/>
                <w:sz w:val="14"/>
                <w:szCs w:val="14"/>
                <w:color w:val="auto"/>
                <w:w w:val="96"/>
              </w:rPr>
              <w:t>$20,496</w:t>
            </w:r>
          </w:p>
        </w:tc>
      </w:tr>
      <w:tr>
        <w:trPr>
          <w:trHeight w:val="165"/>
        </w:trPr>
        <w:tc>
          <w:tcPr>
            <w:tcW w:w="13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Payments Received</w:t>
            </w:r>
          </w:p>
        </w:tc>
        <w:tc>
          <w:tcPr>
            <w:tcW w:w="1120" w:type="dxa"/>
            <w:vAlign w:val="bottom"/>
            <w:tcBorders>
              <w:right w:val="single" w:sz="8" w:color="auto"/>
            </w:tcBorders>
          </w:tcPr>
          <w:p>
            <w:pPr>
              <w:spacing w:after="0"/>
              <w:rPr>
                <w:sz w:val="14"/>
                <w:szCs w:val="14"/>
                <w:color w:val="auto"/>
              </w:rPr>
            </w:pPr>
          </w:p>
        </w:tc>
        <w:tc>
          <w:tcPr>
            <w:tcW w:w="1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($10,132 x 2)</w:t>
            </w: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($5,100 x 4)</w:t>
            </w: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($1,708 x 12)</w:t>
            </w:r>
          </w:p>
        </w:tc>
      </w:tr>
      <w:tr>
        <w:trPr>
          <w:trHeight w:val="165"/>
        </w:trPr>
        <w:tc>
          <w:tcPr>
            <w:tcW w:w="13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in 1 Year (if</w:t>
            </w:r>
          </w:p>
        </w:tc>
        <w:tc>
          <w:tcPr>
            <w:tcW w:w="1120" w:type="dxa"/>
            <w:vAlign w:val="bottom"/>
            <w:tcBorders>
              <w:right w:val="single" w:sz="8" w:color="auto"/>
            </w:tcBorders>
          </w:tcPr>
          <w:p>
            <w:pPr>
              <w:spacing w:after="0"/>
              <w:rPr>
                <w:sz w:val="14"/>
                <w:szCs w:val="14"/>
                <w:color w:val="auto"/>
              </w:rPr>
            </w:pPr>
          </w:p>
        </w:tc>
        <w:tc>
          <w:tcPr>
            <w:tcW w:w="1280" w:type="dxa"/>
            <w:vAlign w:val="bottom"/>
            <w:tcBorders>
              <w:right w:val="single" w:sz="8" w:color="auto"/>
            </w:tcBorders>
          </w:tcPr>
          <w:p>
            <w:pPr>
              <w:spacing w:after="0"/>
              <w:rPr>
                <w:sz w:val="14"/>
                <w:szCs w:val="14"/>
                <w:color w:val="auto"/>
              </w:rPr>
            </w:pPr>
          </w:p>
        </w:tc>
        <w:tc>
          <w:tcPr>
            <w:tcW w:w="1260" w:type="dxa"/>
            <w:vAlign w:val="bottom"/>
            <w:tcBorders>
              <w:right w:val="single" w:sz="8" w:color="auto"/>
            </w:tcBorders>
          </w:tcPr>
          <w:p>
            <w:pPr>
              <w:spacing w:after="0"/>
              <w:rPr>
                <w:sz w:val="14"/>
                <w:szCs w:val="14"/>
                <w:color w:val="auto"/>
              </w:rPr>
            </w:pPr>
          </w:p>
        </w:tc>
        <w:tc>
          <w:tcPr>
            <w:tcW w:w="1260" w:type="dxa"/>
            <w:vAlign w:val="bottom"/>
            <w:tcBorders>
              <w:right w:val="single" w:sz="8" w:color="auto"/>
            </w:tcBorders>
          </w:tcPr>
          <w:p>
            <w:pPr>
              <w:spacing w:after="0"/>
              <w:rPr>
                <w:sz w:val="14"/>
                <w:szCs w:val="14"/>
                <w:color w:val="auto"/>
              </w:rPr>
            </w:pPr>
          </w:p>
        </w:tc>
      </w:tr>
      <w:tr>
        <w:trPr>
          <w:trHeight w:val="165"/>
        </w:trPr>
        <w:tc>
          <w:tcPr>
            <w:tcW w:w="13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receiving Maximum</w:t>
            </w:r>
          </w:p>
        </w:tc>
        <w:tc>
          <w:tcPr>
            <w:tcW w:w="1120" w:type="dxa"/>
            <w:vAlign w:val="bottom"/>
            <w:tcBorders>
              <w:right w:val="single" w:sz="8" w:color="auto"/>
            </w:tcBorders>
          </w:tcPr>
          <w:p>
            <w:pPr>
              <w:spacing w:after="0"/>
              <w:rPr>
                <w:sz w:val="14"/>
                <w:szCs w:val="14"/>
                <w:color w:val="auto"/>
              </w:rPr>
            </w:pPr>
          </w:p>
        </w:tc>
        <w:tc>
          <w:tcPr>
            <w:tcW w:w="1280" w:type="dxa"/>
            <w:vAlign w:val="bottom"/>
            <w:tcBorders>
              <w:right w:val="single" w:sz="8" w:color="auto"/>
            </w:tcBorders>
          </w:tcPr>
          <w:p>
            <w:pPr>
              <w:spacing w:after="0"/>
              <w:rPr>
                <w:sz w:val="14"/>
                <w:szCs w:val="14"/>
                <w:color w:val="auto"/>
              </w:rPr>
            </w:pPr>
          </w:p>
        </w:tc>
        <w:tc>
          <w:tcPr>
            <w:tcW w:w="1260" w:type="dxa"/>
            <w:vAlign w:val="bottom"/>
            <w:tcBorders>
              <w:right w:val="single" w:sz="8" w:color="auto"/>
            </w:tcBorders>
          </w:tcPr>
          <w:p>
            <w:pPr>
              <w:spacing w:after="0"/>
              <w:rPr>
                <w:sz w:val="14"/>
                <w:szCs w:val="14"/>
                <w:color w:val="auto"/>
              </w:rPr>
            </w:pPr>
          </w:p>
        </w:tc>
        <w:tc>
          <w:tcPr>
            <w:tcW w:w="1260" w:type="dxa"/>
            <w:vAlign w:val="bottom"/>
            <w:tcBorders>
              <w:right w:val="single" w:sz="8" w:color="auto"/>
            </w:tcBorders>
          </w:tcPr>
          <w:p>
            <w:pPr>
              <w:spacing w:after="0"/>
              <w:rPr>
                <w:sz w:val="14"/>
                <w:szCs w:val="14"/>
                <w:color w:val="auto"/>
              </w:rPr>
            </w:pPr>
          </w:p>
        </w:tc>
      </w:tr>
      <w:tr>
        <w:trPr>
          <w:trHeight w:val="165"/>
        </w:trPr>
        <w:tc>
          <w:tcPr>
            <w:tcW w:w="13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Distribution</w:t>
            </w:r>
          </w:p>
        </w:tc>
        <w:tc>
          <w:tcPr>
            <w:tcW w:w="1120" w:type="dxa"/>
            <w:vAlign w:val="bottom"/>
            <w:tcBorders>
              <w:right w:val="single" w:sz="8" w:color="auto"/>
            </w:tcBorders>
          </w:tcPr>
          <w:p>
            <w:pPr>
              <w:spacing w:after="0"/>
              <w:rPr>
                <w:sz w:val="14"/>
                <w:szCs w:val="14"/>
                <w:color w:val="auto"/>
              </w:rPr>
            </w:pPr>
          </w:p>
        </w:tc>
        <w:tc>
          <w:tcPr>
            <w:tcW w:w="1280" w:type="dxa"/>
            <w:vAlign w:val="bottom"/>
            <w:tcBorders>
              <w:right w:val="single" w:sz="8" w:color="auto"/>
            </w:tcBorders>
          </w:tcPr>
          <w:p>
            <w:pPr>
              <w:spacing w:after="0"/>
              <w:rPr>
                <w:sz w:val="14"/>
                <w:szCs w:val="14"/>
                <w:color w:val="auto"/>
              </w:rPr>
            </w:pPr>
          </w:p>
        </w:tc>
        <w:tc>
          <w:tcPr>
            <w:tcW w:w="1260" w:type="dxa"/>
            <w:vAlign w:val="bottom"/>
            <w:tcBorders>
              <w:right w:val="single" w:sz="8" w:color="auto"/>
            </w:tcBorders>
          </w:tcPr>
          <w:p>
            <w:pPr>
              <w:spacing w:after="0"/>
              <w:rPr>
                <w:sz w:val="14"/>
                <w:szCs w:val="14"/>
                <w:color w:val="auto"/>
              </w:rPr>
            </w:pPr>
          </w:p>
        </w:tc>
        <w:tc>
          <w:tcPr>
            <w:tcW w:w="1260" w:type="dxa"/>
            <w:vAlign w:val="bottom"/>
            <w:tcBorders>
              <w:right w:val="single" w:sz="8" w:color="auto"/>
            </w:tcBorders>
          </w:tcPr>
          <w:p>
            <w:pPr>
              <w:spacing w:after="0"/>
              <w:rPr>
                <w:sz w:val="14"/>
                <w:szCs w:val="14"/>
                <w:color w:val="auto"/>
              </w:rPr>
            </w:pPr>
          </w:p>
        </w:tc>
      </w:tr>
      <w:tr>
        <w:trPr>
          <w:trHeight w:val="197"/>
        </w:trPr>
        <w:tc>
          <w:tcPr>
            <w:tcW w:w="13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Payment)</w:t>
            </w:r>
          </w:p>
        </w:tc>
        <w:tc>
          <w:tcPr>
            <w:tcW w:w="1120" w:type="dxa"/>
            <w:vAlign w:val="bottom"/>
            <w:tcBorders>
              <w:bottom w:val="single" w:sz="8" w:color="auto"/>
              <w:right w:val="single" w:sz="8" w:color="auto"/>
            </w:tcBorders>
          </w:tcPr>
          <w:p>
            <w:pPr>
              <w:spacing w:after="0"/>
              <w:rPr>
                <w:sz w:val="17"/>
                <w:szCs w:val="17"/>
                <w:color w:val="auto"/>
              </w:rPr>
            </w:pPr>
          </w:p>
        </w:tc>
        <w:tc>
          <w:tcPr>
            <w:tcW w:w="1280" w:type="dxa"/>
            <w:vAlign w:val="bottom"/>
            <w:tcBorders>
              <w:bottom w:val="single" w:sz="8" w:color="auto"/>
              <w:right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-3209290</wp:posOffset>
            </wp:positionV>
            <wp:extent cx="3983990" cy="11747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983990" cy="11747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-2830830</wp:posOffset>
            </wp:positionV>
            <wp:extent cx="3983990" cy="4832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983990" cy="48323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-1974850</wp:posOffset>
            </wp:positionV>
            <wp:extent cx="3983990" cy="3721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983990" cy="37211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-662305</wp:posOffset>
            </wp:positionV>
            <wp:extent cx="3983990" cy="6534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983990" cy="653415"/>
                    </a:xfrm>
                    <a:prstGeom prst="rect">
                      <a:avLst/>
                    </a:prstGeom>
                    <a:noFill/>
                  </pic:spPr>
                </pic:pic>
              </a:graphicData>
            </a:graphic>
          </wp:anchor>
        </w:drawing>
      </w:r>
    </w:p>
    <w:p>
      <w:pPr>
        <w:spacing w:after="0" w:line="123" w:lineRule="exact"/>
        <w:rPr>
          <w:sz w:val="20"/>
          <w:szCs w:val="20"/>
          <w:color w:val="auto"/>
        </w:rPr>
      </w:pPr>
    </w:p>
    <w:p>
      <w:pPr>
        <w:jc w:val="both"/>
        <w:ind w:right="2939" w:firstLine="274"/>
        <w:spacing w:after="0" w:line="254" w:lineRule="auto"/>
        <w:rPr>
          <w:sz w:val="20"/>
          <w:szCs w:val="20"/>
          <w:color w:val="auto"/>
        </w:rPr>
      </w:pPr>
      <w:r>
        <w:rPr>
          <w:rFonts w:ascii="Times New Roman" w:cs="Times New Roman" w:eastAsia="Times New Roman" w:hAnsi="Times New Roman"/>
          <w:sz w:val="14"/>
          <w:szCs w:val="14"/>
          <w:b w:val="1"/>
          <w:bCs w:val="1"/>
          <w:color w:val="auto"/>
        </w:rPr>
        <w:t xml:space="preserve">One-time Payment. </w:t>
      </w:r>
      <w:r>
        <w:rPr>
          <w:rFonts w:ascii="Times New Roman" w:cs="Times New Roman" w:eastAsia="Times New Roman" w:hAnsi="Times New Roman"/>
          <w:sz w:val="14"/>
          <w:szCs w:val="14"/>
          <w:color w:val="auto"/>
        </w:rPr>
        <w:t>After the Distribution Start Date, if you have received less than your Maximum</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Distribution Payment available to you, you may choose to receive a One-time Payment. The One-time Payment amount that is separate from your scheduled Distribution Payments. You may only make this election once, provided your Distribution Payments have not been terminated.</w:t>
      </w:r>
    </w:p>
    <w:p>
      <w:pPr>
        <w:spacing w:after="0" w:line="207"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4"/>
          <w:szCs w:val="14"/>
          <w:color w:val="auto"/>
        </w:rPr>
        <w:t>57</w:t>
      </w:r>
    </w:p>
    <w:p>
      <w:pPr>
        <w:sectPr>
          <w:pgSz w:w="11900" w:h="16838" w:orient="portrait"/>
          <w:cols w:equalWidth="0" w:num="1">
            <w:col w:w="9219"/>
          </w:cols>
          <w:pgMar w:left="1240" w:top="1083" w:right="1440" w:bottom="1440" w:gutter="0" w:footer="0" w:header="0"/>
        </w:sectPr>
      </w:pPr>
    </w:p>
    <w:bookmarkStart w:id="60" w:name="page61"/>
    <w:bookmarkEnd w:id="60"/>
    <w:p>
      <w:pPr>
        <w:ind w:left="2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422275</wp:posOffset>
            </wp:positionV>
            <wp:extent cx="719010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90105" cy="38735"/>
                    </a:xfrm>
                    <a:prstGeom prst="rect">
                      <a:avLst/>
                    </a:prstGeom>
                    <a:noFill/>
                  </pic:spPr>
                </pic:pic>
              </a:graphicData>
            </a:graphic>
          </wp:anchor>
        </w:drawing>
        <w:t>On the day we receive your request in Good Order for a One-time Payment, the maximum One-time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Payment is the lesser of:</w:t>
      </w:r>
    </w:p>
    <w:p>
      <w:pPr>
        <w:spacing w:after="0" w:line="85" w:lineRule="exact"/>
        <w:rPr>
          <w:sz w:val="20"/>
          <w:szCs w:val="20"/>
          <w:color w:val="auto"/>
        </w:rPr>
      </w:pPr>
    </w:p>
    <w:p>
      <w:pPr>
        <w:jc w:val="both"/>
        <w:ind w:left="540" w:right="2999" w:hanging="271"/>
        <w:spacing w:after="0" w:line="251" w:lineRule="auto"/>
        <w:tabs>
          <w:tab w:leader="none" w:pos="54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difference between the cumulative Maximum Distribution Payments available to you (from the Distribution Start Date to the calculation date, regardless of whether you suspended Distribution Payments at any time during that period) based on your chosen Distribution Payment Duration and Distribution Payment Frequency and the total Distribution Payments you have received since the Distribution Start Date; or,</w:t>
      </w:r>
    </w:p>
    <w:p>
      <w:pPr>
        <w:spacing w:after="0" w:line="63" w:lineRule="exact"/>
        <w:rPr>
          <w:rFonts w:ascii="Times New Roman" w:cs="Times New Roman" w:eastAsia="Times New Roman" w:hAnsi="Times New Roman"/>
          <w:sz w:val="14"/>
          <w:szCs w:val="14"/>
          <w:color w:val="auto"/>
        </w:rPr>
      </w:pPr>
    </w:p>
    <w:p>
      <w:pPr>
        <w:ind w:left="540" w:right="2999" w:hanging="271"/>
        <w:spacing w:after="0" w:line="267" w:lineRule="auto"/>
        <w:tabs>
          <w:tab w:leader="none" w:pos="54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lesser of: three times the Maximum Distribution Payment or $150,000 (which is referred to as the One-time Payment Limit and is shown in the GDR).</w:t>
      </w:r>
    </w:p>
    <w:p>
      <w:pPr>
        <w:spacing w:after="0" w:line="64" w:lineRule="exact"/>
        <w:rPr>
          <w:sz w:val="20"/>
          <w:szCs w:val="20"/>
          <w:color w:val="auto"/>
        </w:rPr>
      </w:pPr>
    </w:p>
    <w:p>
      <w:pPr>
        <w:jc w:val="both"/>
        <w:ind w:right="2939" w:firstLine="274"/>
        <w:spacing w:after="0" w:line="249" w:lineRule="auto"/>
        <w:rPr>
          <w:sz w:val="20"/>
          <w:szCs w:val="20"/>
          <w:color w:val="auto"/>
        </w:rPr>
      </w:pPr>
      <w:r>
        <w:rPr>
          <w:rFonts w:ascii="Times New Roman" w:cs="Times New Roman" w:eastAsia="Times New Roman" w:hAnsi="Times New Roman"/>
          <w:sz w:val="14"/>
          <w:szCs w:val="14"/>
          <w:color w:val="auto"/>
        </w:rPr>
        <w:t>The One-time Payment, if taken, will be made in the form of a loan, the same as the Distribution Payments. If you take a loan after the Distribution Start Date that is not a Distribution Payment, we will treat this loan as your One-time Payment. If you request an amount that exceeds the One-time Payment, your request will not be considered in Good Order. We will contact you to ask if you want to change the One-time Payment amount to an amount that does not exceed the maximum One-time Payment or confirm that you want to process the request using the original amount, which will terminate the GDR. Your request will not be in Good Order until we confirm your instructions or receive new ones.</w:t>
      </w:r>
    </w:p>
    <w:p>
      <w:pPr>
        <w:spacing w:after="0" w:line="75" w:lineRule="exact"/>
        <w:rPr>
          <w:sz w:val="20"/>
          <w:szCs w:val="20"/>
          <w:color w:val="auto"/>
        </w:rPr>
      </w:pPr>
    </w:p>
    <w:p>
      <w:pPr>
        <w:jc w:val="both"/>
        <w:ind w:right="2939" w:firstLine="274"/>
        <w:spacing w:after="0" w:line="278" w:lineRule="auto"/>
        <w:rPr>
          <w:sz w:val="20"/>
          <w:szCs w:val="20"/>
          <w:color w:val="auto"/>
        </w:rPr>
      </w:pPr>
      <w:r>
        <w:rPr>
          <w:rFonts w:ascii="Times New Roman" w:cs="Times New Roman" w:eastAsia="Times New Roman" w:hAnsi="Times New Roman"/>
          <w:sz w:val="13"/>
          <w:szCs w:val="13"/>
          <w:color w:val="auto"/>
        </w:rPr>
        <w:t>Please be aware that the Loan Value calculation under “Loans that are not Distribution Payments under the GDR” in the “LOANS” section does not apply to the One-time Payment. The maximum One-time Payment is the lesser of 1 or 2 above. However, if your unloaned Cash Value is less than the maximum One-time Payment, the GDR will increase your Policy’s Cash Value to allow for the One-time Payment to be made in the form of a loan.</w:t>
      </w:r>
    </w:p>
    <w:p>
      <w:pPr>
        <w:spacing w:after="0" w:line="4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See Appendix D for an example of the One-time Payment.</w:t>
      </w:r>
    </w:p>
    <w:p>
      <w:pPr>
        <w:spacing w:after="0" w:line="82" w:lineRule="exact"/>
        <w:rPr>
          <w:sz w:val="20"/>
          <w:szCs w:val="20"/>
          <w:color w:val="auto"/>
        </w:rPr>
      </w:pPr>
    </w:p>
    <w:p>
      <w:pPr>
        <w:jc w:val="both"/>
        <w:ind w:right="2939" w:firstLine="274"/>
        <w:spacing w:after="0" w:line="252" w:lineRule="auto"/>
        <w:rPr>
          <w:sz w:val="20"/>
          <w:szCs w:val="20"/>
          <w:color w:val="auto"/>
        </w:rPr>
      </w:pPr>
      <w:r>
        <w:rPr>
          <w:rFonts w:ascii="Times New Roman" w:cs="Times New Roman" w:eastAsia="Times New Roman" w:hAnsi="Times New Roman"/>
          <w:sz w:val="14"/>
          <w:szCs w:val="14"/>
          <w:b w:val="1"/>
          <w:bCs w:val="1"/>
          <w:color w:val="auto"/>
        </w:rPr>
        <w:t xml:space="preserve">Voluntarily Suspending Distribution Payments. </w:t>
      </w:r>
      <w:r>
        <w:rPr>
          <w:rFonts w:ascii="Times New Roman" w:cs="Times New Roman" w:eastAsia="Times New Roman" w:hAnsi="Times New Roman"/>
          <w:sz w:val="14"/>
          <w:szCs w:val="14"/>
          <w:color w:val="auto"/>
        </w:rPr>
        <w:t>Distribution Payments may be voluntarily suspended at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any time by providing Notice to us. Distribution Payments will be suspended on the next monthly anniversary that is at least 15 calendar days after we receive your Notice. If you choose to resume your Distribution Payments, you may not do so until the suspension has been in effect at least one year from the date of your last Distribution Payment.</w:t>
      </w:r>
    </w:p>
    <w:p>
      <w:pPr>
        <w:spacing w:after="0" w:line="64" w:lineRule="exact"/>
        <w:rPr>
          <w:sz w:val="20"/>
          <w:szCs w:val="20"/>
          <w:color w:val="auto"/>
        </w:rPr>
      </w:pPr>
    </w:p>
    <w:p>
      <w:pPr>
        <w:jc w:val="both"/>
        <w:ind w:right="2939" w:firstLine="274"/>
        <w:spacing w:after="0" w:line="252" w:lineRule="auto"/>
        <w:rPr>
          <w:sz w:val="20"/>
          <w:szCs w:val="20"/>
          <w:color w:val="auto"/>
        </w:rPr>
      </w:pPr>
      <w:r>
        <w:rPr>
          <w:rFonts w:ascii="Times New Roman" w:cs="Times New Roman" w:eastAsia="Times New Roman" w:hAnsi="Times New Roman"/>
          <w:sz w:val="14"/>
          <w:szCs w:val="14"/>
          <w:color w:val="auto"/>
        </w:rPr>
        <w:t>While you are receiving Distribution Payments, your unloaned Cash Value must be 100% allocated to the Fixed Account, and you cannot transfer to the Indexed Accounts. If you suspend Distribution Payments, you may reallocate any Cash Value in the Fixed Account to any of the available Indexed Accounts subject to any transfer restrictions (see “TRANSFERS”).</w:t>
      </w:r>
    </w:p>
    <w:p>
      <w:pPr>
        <w:spacing w:after="0" w:line="93" w:lineRule="exact"/>
        <w:rPr>
          <w:sz w:val="20"/>
          <w:szCs w:val="20"/>
          <w:color w:val="auto"/>
        </w:rPr>
      </w:pPr>
    </w:p>
    <w:tbl>
      <w:tblPr>
        <w:tblLayout w:type="fixed"/>
        <w:tblInd w:w="10" w:type="dxa"/>
        <w:tblCellMar>
          <w:top w:w="0" w:type="dxa"/>
          <w:left w:w="0" w:type="dxa"/>
          <w:bottom w:w="0" w:type="dxa"/>
          <w:right w:w="0" w:type="dxa"/>
        </w:tblCellMar>
      </w:tblPr>
      <w:tr>
        <w:trPr>
          <w:trHeight w:val="161"/>
        </w:trPr>
        <w:tc>
          <w:tcPr>
            <w:tcW w:w="234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Voluntarily Suspending</w:t>
            </w:r>
          </w:p>
        </w:tc>
        <w:tc>
          <w:tcPr>
            <w:tcW w:w="2240" w:type="dxa"/>
            <w:vAlign w:val="bottom"/>
            <w:tcBorders>
              <w:top w:val="single" w:sz="8" w:color="auto"/>
              <w:right w:val="single" w:sz="8" w:color="auto"/>
            </w:tcBorders>
          </w:tcPr>
          <w:p>
            <w:pPr>
              <w:spacing w:after="0"/>
              <w:rPr>
                <w:sz w:val="13"/>
                <w:szCs w:val="13"/>
                <w:color w:val="auto"/>
              </w:rPr>
            </w:pPr>
          </w:p>
        </w:tc>
        <w:tc>
          <w:tcPr>
            <w:tcW w:w="2260" w:type="dxa"/>
            <w:vAlign w:val="bottom"/>
            <w:tcBorders>
              <w:top w:val="single" w:sz="8" w:color="auto"/>
              <w:right w:val="single" w:sz="8" w:color="auto"/>
            </w:tcBorders>
          </w:tcPr>
          <w:p>
            <w:pPr>
              <w:spacing w:after="0"/>
              <w:rPr>
                <w:sz w:val="13"/>
                <w:szCs w:val="13"/>
                <w:color w:val="auto"/>
              </w:rPr>
            </w:pPr>
          </w:p>
        </w:tc>
      </w:tr>
      <w:tr>
        <w:trPr>
          <w:trHeight w:val="164"/>
        </w:trPr>
        <w:tc>
          <w:tcPr>
            <w:tcW w:w="23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Distribution Payments</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Allocation Instructions</w:t>
            </w:r>
          </w:p>
        </w:tc>
        <w:tc>
          <w:tcPr>
            <w:tcW w:w="2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Action We Will Take</w:t>
            </w:r>
          </w:p>
        </w:tc>
      </w:tr>
      <w:tr>
        <w:trPr>
          <w:trHeight w:val="193"/>
        </w:trPr>
        <w:tc>
          <w:tcPr>
            <w:tcW w:w="2340" w:type="dxa"/>
            <w:vAlign w:val="bottom"/>
            <w:tcBorders>
              <w:left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color w:val="auto"/>
                <w:w w:val="97"/>
              </w:rPr>
              <w:t>If you direct us to suspend Distribution</w:t>
            </w:r>
          </w:p>
        </w:tc>
        <w:tc>
          <w:tcPr>
            <w:tcW w:w="224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color w:val="auto"/>
                <w:w w:val="97"/>
              </w:rPr>
              <w:t>and you have provided us instructions</w:t>
            </w:r>
          </w:p>
        </w:tc>
        <w:tc>
          <w:tcPr>
            <w:tcW w:w="226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color w:val="auto"/>
                <w:w w:val="96"/>
              </w:rPr>
              <w:t>On that Policy Anniversary, we will</w:t>
            </w:r>
          </w:p>
        </w:tc>
      </w:tr>
      <w:tr>
        <w:trPr>
          <w:trHeight w:val="175"/>
        </w:trPr>
        <w:tc>
          <w:tcPr>
            <w:tcW w:w="2340" w:type="dxa"/>
            <w:vAlign w:val="bottom"/>
            <w:tcBorders>
              <w:left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color w:val="auto"/>
                <w:w w:val="98"/>
              </w:rPr>
              <w:t>Payments on a Policy Anniversary</w:t>
            </w:r>
          </w:p>
        </w:tc>
        <w:tc>
          <w:tcPr>
            <w:tcW w:w="224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color w:val="auto"/>
                <w:w w:val="97"/>
              </w:rPr>
              <w:t>to reallocate Cash Value to the</w:t>
            </w:r>
          </w:p>
        </w:tc>
        <w:tc>
          <w:tcPr>
            <w:tcW w:w="226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color w:val="auto"/>
                <w:w w:val="97"/>
              </w:rPr>
              <w:t>transfer, in accordance with your</w:t>
            </w:r>
          </w:p>
        </w:tc>
      </w:tr>
      <w:tr>
        <w:trPr>
          <w:trHeight w:val="176"/>
        </w:trPr>
        <w:tc>
          <w:tcPr>
            <w:tcW w:w="2340" w:type="dxa"/>
            <w:vAlign w:val="bottom"/>
            <w:tcBorders>
              <w:left w:val="single" w:sz="8" w:color="auto"/>
              <w:right w:val="single" w:sz="8" w:color="auto"/>
            </w:tcBorders>
            <w:shd w:val="clear" w:color="auto" w:fill="F0FFFF"/>
          </w:tcPr>
          <w:p>
            <w:pPr>
              <w:spacing w:after="0"/>
              <w:rPr>
                <w:sz w:val="15"/>
                <w:szCs w:val="15"/>
                <w:color w:val="auto"/>
              </w:rPr>
            </w:pPr>
          </w:p>
        </w:tc>
        <w:tc>
          <w:tcPr>
            <w:tcW w:w="224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color w:val="auto"/>
                <w:w w:val="98"/>
              </w:rPr>
              <w:t>Indexed Accounts</w:t>
            </w:r>
          </w:p>
        </w:tc>
        <w:tc>
          <w:tcPr>
            <w:tcW w:w="226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color w:val="auto"/>
                <w:w w:val="98"/>
              </w:rPr>
              <w:t>instructions, all or a portion of the</w:t>
            </w:r>
          </w:p>
        </w:tc>
      </w:tr>
      <w:tr>
        <w:trPr>
          <w:trHeight w:val="184"/>
        </w:trPr>
        <w:tc>
          <w:tcPr>
            <w:tcW w:w="2340" w:type="dxa"/>
            <w:vAlign w:val="bottom"/>
            <w:tcBorders>
              <w:left w:val="single" w:sz="8" w:color="auto"/>
              <w:right w:val="single" w:sz="8" w:color="auto"/>
            </w:tcBorders>
            <w:shd w:val="clear" w:color="auto" w:fill="F0FFFF"/>
          </w:tcPr>
          <w:p>
            <w:pPr>
              <w:spacing w:after="0"/>
              <w:rPr>
                <w:sz w:val="15"/>
                <w:szCs w:val="15"/>
                <w:color w:val="auto"/>
              </w:rPr>
            </w:pPr>
          </w:p>
        </w:tc>
        <w:tc>
          <w:tcPr>
            <w:tcW w:w="2240" w:type="dxa"/>
            <w:vAlign w:val="bottom"/>
            <w:tcBorders>
              <w:right w:val="single" w:sz="8" w:color="auto"/>
            </w:tcBorders>
            <w:shd w:val="clear" w:color="auto" w:fill="F0FFFF"/>
          </w:tcPr>
          <w:p>
            <w:pPr>
              <w:spacing w:after="0"/>
              <w:rPr>
                <w:sz w:val="15"/>
                <w:szCs w:val="15"/>
                <w:color w:val="auto"/>
              </w:rPr>
            </w:pPr>
          </w:p>
        </w:tc>
        <w:tc>
          <w:tcPr>
            <w:tcW w:w="226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color w:val="auto"/>
                <w:w w:val="96"/>
              </w:rPr>
              <w:t>Fixed Account Cash Value to the</w:t>
            </w:r>
          </w:p>
        </w:tc>
      </w:tr>
      <w:tr>
        <w:trPr>
          <w:trHeight w:val="175"/>
        </w:trPr>
        <w:tc>
          <w:tcPr>
            <w:tcW w:w="2340" w:type="dxa"/>
            <w:vAlign w:val="bottom"/>
            <w:tcBorders>
              <w:left w:val="single" w:sz="8" w:color="auto"/>
              <w:right w:val="single" w:sz="8" w:color="auto"/>
            </w:tcBorders>
            <w:shd w:val="clear" w:color="auto" w:fill="F0FFFF"/>
          </w:tcPr>
          <w:p>
            <w:pPr>
              <w:spacing w:after="0"/>
              <w:rPr>
                <w:sz w:val="15"/>
                <w:szCs w:val="15"/>
                <w:color w:val="auto"/>
              </w:rPr>
            </w:pPr>
          </w:p>
        </w:tc>
        <w:tc>
          <w:tcPr>
            <w:tcW w:w="2240" w:type="dxa"/>
            <w:vAlign w:val="bottom"/>
            <w:tcBorders>
              <w:right w:val="single" w:sz="8" w:color="auto"/>
            </w:tcBorders>
            <w:shd w:val="clear" w:color="auto" w:fill="F0FFFF"/>
          </w:tcPr>
          <w:p>
            <w:pPr>
              <w:spacing w:after="0"/>
              <w:rPr>
                <w:sz w:val="15"/>
                <w:szCs w:val="15"/>
                <w:color w:val="auto"/>
              </w:rPr>
            </w:pPr>
          </w:p>
        </w:tc>
        <w:tc>
          <w:tcPr>
            <w:tcW w:w="226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color w:val="auto"/>
                <w:w w:val="97"/>
              </w:rPr>
              <w:t>Indexed Accounts. The Segment Start</w:t>
            </w:r>
          </w:p>
        </w:tc>
      </w:tr>
      <w:tr>
        <w:trPr>
          <w:trHeight w:val="176"/>
        </w:trPr>
        <w:tc>
          <w:tcPr>
            <w:tcW w:w="2340" w:type="dxa"/>
            <w:vAlign w:val="bottom"/>
            <w:tcBorders>
              <w:left w:val="single" w:sz="8" w:color="auto"/>
              <w:right w:val="single" w:sz="8" w:color="auto"/>
            </w:tcBorders>
            <w:shd w:val="clear" w:color="auto" w:fill="F0FFFF"/>
          </w:tcPr>
          <w:p>
            <w:pPr>
              <w:spacing w:after="0"/>
              <w:rPr>
                <w:sz w:val="15"/>
                <w:szCs w:val="15"/>
                <w:color w:val="auto"/>
              </w:rPr>
            </w:pPr>
          </w:p>
        </w:tc>
        <w:tc>
          <w:tcPr>
            <w:tcW w:w="2240" w:type="dxa"/>
            <w:vAlign w:val="bottom"/>
            <w:tcBorders>
              <w:right w:val="single" w:sz="8" w:color="auto"/>
            </w:tcBorders>
            <w:shd w:val="clear" w:color="auto" w:fill="F0FFFF"/>
          </w:tcPr>
          <w:p>
            <w:pPr>
              <w:spacing w:after="0"/>
              <w:rPr>
                <w:sz w:val="15"/>
                <w:szCs w:val="15"/>
                <w:color w:val="auto"/>
              </w:rPr>
            </w:pPr>
          </w:p>
        </w:tc>
        <w:tc>
          <w:tcPr>
            <w:tcW w:w="226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color w:val="auto"/>
                <w:w w:val="97"/>
              </w:rPr>
              <w:t>Date for the new Segments will be the</w:t>
            </w:r>
          </w:p>
        </w:tc>
      </w:tr>
      <w:tr>
        <w:trPr>
          <w:trHeight w:val="212"/>
        </w:trPr>
        <w:tc>
          <w:tcPr>
            <w:tcW w:w="2340" w:type="dxa"/>
            <w:vAlign w:val="bottom"/>
            <w:tcBorders>
              <w:left w:val="single" w:sz="8" w:color="auto"/>
              <w:bottom w:val="single" w:sz="8" w:color="F0FFFF"/>
              <w:right w:val="single" w:sz="8" w:color="auto"/>
            </w:tcBorders>
            <w:shd w:val="clear" w:color="auto" w:fill="F0FFFF"/>
          </w:tcPr>
          <w:p>
            <w:pPr>
              <w:spacing w:after="0"/>
              <w:rPr>
                <w:sz w:val="17"/>
                <w:szCs w:val="17"/>
                <w:color w:val="auto"/>
              </w:rPr>
            </w:pPr>
          </w:p>
        </w:tc>
        <w:tc>
          <w:tcPr>
            <w:tcW w:w="2240" w:type="dxa"/>
            <w:vAlign w:val="bottom"/>
            <w:tcBorders>
              <w:bottom w:val="single" w:sz="8" w:color="F0FFFF"/>
              <w:right w:val="single" w:sz="8" w:color="auto"/>
            </w:tcBorders>
            <w:shd w:val="clear" w:color="auto" w:fill="F0FFFF"/>
          </w:tcPr>
          <w:p>
            <w:pPr>
              <w:spacing w:after="0"/>
              <w:rPr>
                <w:sz w:val="17"/>
                <w:szCs w:val="17"/>
                <w:color w:val="auto"/>
              </w:rPr>
            </w:pPr>
          </w:p>
        </w:tc>
        <w:tc>
          <w:tcPr>
            <w:tcW w:w="226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color w:val="auto"/>
                <w:w w:val="96"/>
              </w:rPr>
              <w:t>Policy Anniversary.</w:t>
            </w:r>
          </w:p>
        </w:tc>
      </w:tr>
      <w:tr>
        <w:trPr>
          <w:trHeight w:val="163"/>
        </w:trPr>
        <w:tc>
          <w:tcPr>
            <w:tcW w:w="234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If you direct us to suspend Distribution</w:t>
            </w:r>
          </w:p>
        </w:tc>
        <w:tc>
          <w:tcPr>
            <w:tcW w:w="22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and you have provided us instructions</w:t>
            </w:r>
          </w:p>
        </w:tc>
        <w:tc>
          <w:tcPr>
            <w:tcW w:w="22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Your Cash Value will remain in the</w:t>
            </w:r>
          </w:p>
        </w:tc>
      </w:tr>
      <w:tr>
        <w:trPr>
          <w:trHeight w:val="165"/>
        </w:trPr>
        <w:tc>
          <w:tcPr>
            <w:tcW w:w="23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Payments on any day other than a</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to reallocate Cash Value to the</w:t>
            </w: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Fixed Account until the next Policy</w:t>
            </w:r>
          </w:p>
        </w:tc>
      </w:tr>
      <w:tr>
        <w:trPr>
          <w:trHeight w:val="207"/>
        </w:trPr>
        <w:tc>
          <w:tcPr>
            <w:tcW w:w="23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Policy Anniversary</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Indexed Accounts</w:t>
            </w: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Anniversary, at which time we will</w:t>
            </w:r>
          </w:p>
        </w:tc>
      </w:tr>
      <w:tr>
        <w:trPr>
          <w:trHeight w:val="184"/>
        </w:trPr>
        <w:tc>
          <w:tcPr>
            <w:tcW w:w="2340" w:type="dxa"/>
            <w:vAlign w:val="bottom"/>
            <w:tcBorders>
              <w:left w:val="single" w:sz="8" w:color="auto"/>
              <w:right w:val="single" w:sz="8" w:color="auto"/>
            </w:tcBorders>
          </w:tcPr>
          <w:p>
            <w:pPr>
              <w:spacing w:after="0"/>
              <w:rPr>
                <w:sz w:val="15"/>
                <w:szCs w:val="15"/>
                <w:color w:val="auto"/>
              </w:rPr>
            </w:pPr>
          </w:p>
        </w:tc>
        <w:tc>
          <w:tcPr>
            <w:tcW w:w="2240" w:type="dxa"/>
            <w:vAlign w:val="bottom"/>
            <w:tcBorders>
              <w:right w:val="single" w:sz="8" w:color="auto"/>
            </w:tcBorders>
          </w:tcPr>
          <w:p>
            <w:pPr>
              <w:spacing w:after="0"/>
              <w:rPr>
                <w:sz w:val="15"/>
                <w:szCs w:val="15"/>
                <w:color w:val="auto"/>
              </w:rPr>
            </w:pP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reallocate according to your</w:t>
            </w:r>
          </w:p>
        </w:tc>
      </w:tr>
      <w:tr>
        <w:trPr>
          <w:trHeight w:val="176"/>
        </w:trPr>
        <w:tc>
          <w:tcPr>
            <w:tcW w:w="2340" w:type="dxa"/>
            <w:vAlign w:val="bottom"/>
            <w:tcBorders>
              <w:left w:val="single" w:sz="8" w:color="auto"/>
              <w:right w:val="single" w:sz="8" w:color="auto"/>
            </w:tcBorders>
          </w:tcPr>
          <w:p>
            <w:pPr>
              <w:spacing w:after="0"/>
              <w:rPr>
                <w:sz w:val="15"/>
                <w:szCs w:val="15"/>
                <w:color w:val="auto"/>
              </w:rPr>
            </w:pPr>
          </w:p>
        </w:tc>
        <w:tc>
          <w:tcPr>
            <w:tcW w:w="2240" w:type="dxa"/>
            <w:vAlign w:val="bottom"/>
            <w:tcBorders>
              <w:right w:val="single" w:sz="8" w:color="auto"/>
            </w:tcBorders>
          </w:tcPr>
          <w:p>
            <w:pPr>
              <w:spacing w:after="0"/>
              <w:rPr>
                <w:sz w:val="15"/>
                <w:szCs w:val="15"/>
                <w:color w:val="auto"/>
              </w:rPr>
            </w:pP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instructions.</w:t>
            </w:r>
          </w:p>
        </w:tc>
      </w:tr>
      <w:tr>
        <w:trPr>
          <w:trHeight w:val="32"/>
        </w:trPr>
        <w:tc>
          <w:tcPr>
            <w:tcW w:w="2340" w:type="dxa"/>
            <w:vAlign w:val="bottom"/>
            <w:tcBorders>
              <w:left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163"/>
        </w:trPr>
        <w:tc>
          <w:tcPr>
            <w:tcW w:w="2340" w:type="dxa"/>
            <w:vAlign w:val="bottom"/>
            <w:tcBorders>
              <w:left w:val="single" w:sz="8" w:color="auto"/>
              <w:right w:val="single" w:sz="8" w:color="auto"/>
            </w:tcBorders>
          </w:tcPr>
          <w:p>
            <w:pPr>
              <w:spacing w:after="0"/>
              <w:rPr>
                <w:sz w:val="14"/>
                <w:szCs w:val="14"/>
                <w:color w:val="auto"/>
              </w:rPr>
            </w:pPr>
          </w:p>
        </w:tc>
        <w:tc>
          <w:tcPr>
            <w:tcW w:w="224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color w:val="auto"/>
                <w:w w:val="96"/>
              </w:rPr>
              <w:t>and you have not provided us</w:t>
            </w:r>
          </w:p>
        </w:tc>
        <w:tc>
          <w:tcPr>
            <w:tcW w:w="226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color w:val="auto"/>
                <w:w w:val="96"/>
              </w:rPr>
              <w:t>Your Cash Value will remain in the</w:t>
            </w:r>
          </w:p>
        </w:tc>
      </w:tr>
      <w:tr>
        <w:trPr>
          <w:trHeight w:val="165"/>
        </w:trPr>
        <w:tc>
          <w:tcPr>
            <w:tcW w:w="2340" w:type="dxa"/>
            <w:vAlign w:val="bottom"/>
            <w:tcBorders>
              <w:left w:val="single" w:sz="8" w:color="auto"/>
              <w:right w:val="single" w:sz="8" w:color="auto"/>
            </w:tcBorders>
          </w:tcPr>
          <w:p>
            <w:pPr>
              <w:spacing w:after="0"/>
              <w:rPr>
                <w:sz w:val="14"/>
                <w:szCs w:val="14"/>
                <w:color w:val="auto"/>
              </w:rPr>
            </w:pPr>
          </w:p>
        </w:tc>
        <w:tc>
          <w:tcPr>
            <w:tcW w:w="224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color w:val="auto"/>
                <w:w w:val="97"/>
              </w:rPr>
              <w:t>instructions to reallocate Cash Value</w:t>
            </w:r>
          </w:p>
        </w:tc>
        <w:tc>
          <w:tcPr>
            <w:tcW w:w="226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color w:val="auto"/>
                <w:w w:val="97"/>
              </w:rPr>
              <w:t>Fixed Account until you provide us</w:t>
            </w:r>
          </w:p>
        </w:tc>
      </w:tr>
      <w:tr>
        <w:trPr>
          <w:trHeight w:val="165"/>
        </w:trPr>
        <w:tc>
          <w:tcPr>
            <w:tcW w:w="2340" w:type="dxa"/>
            <w:vAlign w:val="bottom"/>
            <w:tcBorders>
              <w:left w:val="single" w:sz="8" w:color="auto"/>
              <w:right w:val="single" w:sz="8" w:color="auto"/>
            </w:tcBorders>
          </w:tcPr>
          <w:p>
            <w:pPr>
              <w:spacing w:after="0"/>
              <w:rPr>
                <w:sz w:val="14"/>
                <w:szCs w:val="14"/>
                <w:color w:val="auto"/>
              </w:rPr>
            </w:pPr>
          </w:p>
        </w:tc>
        <w:tc>
          <w:tcPr>
            <w:tcW w:w="224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color w:val="auto"/>
                <w:w w:val="96"/>
              </w:rPr>
              <w:t>to the Indexed Accounts</w:t>
            </w:r>
          </w:p>
        </w:tc>
        <w:tc>
          <w:tcPr>
            <w:tcW w:w="226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color w:val="auto"/>
                <w:w w:val="97"/>
              </w:rPr>
              <w:t>instructions to reallocate, which will</w:t>
            </w:r>
          </w:p>
        </w:tc>
      </w:tr>
      <w:tr>
        <w:trPr>
          <w:trHeight w:val="165"/>
        </w:trPr>
        <w:tc>
          <w:tcPr>
            <w:tcW w:w="2340" w:type="dxa"/>
            <w:vAlign w:val="bottom"/>
            <w:tcBorders>
              <w:left w:val="single" w:sz="8" w:color="auto"/>
              <w:right w:val="single" w:sz="8" w:color="auto"/>
            </w:tcBorders>
          </w:tcPr>
          <w:p>
            <w:pPr>
              <w:spacing w:after="0"/>
              <w:rPr>
                <w:sz w:val="14"/>
                <w:szCs w:val="14"/>
                <w:color w:val="auto"/>
              </w:rPr>
            </w:pPr>
          </w:p>
        </w:tc>
        <w:tc>
          <w:tcPr>
            <w:tcW w:w="2240" w:type="dxa"/>
            <w:vAlign w:val="bottom"/>
            <w:tcBorders>
              <w:right w:val="single" w:sz="8" w:color="auto"/>
            </w:tcBorders>
            <w:shd w:val="clear" w:color="auto" w:fill="F0FFFF"/>
          </w:tcPr>
          <w:p>
            <w:pPr>
              <w:spacing w:after="0"/>
              <w:rPr>
                <w:sz w:val="14"/>
                <w:szCs w:val="14"/>
                <w:color w:val="auto"/>
              </w:rPr>
            </w:pPr>
          </w:p>
        </w:tc>
        <w:tc>
          <w:tcPr>
            <w:tcW w:w="226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color w:val="auto"/>
                <w:w w:val="97"/>
              </w:rPr>
              <w:t>take effect on the Policy Anniversary</w:t>
            </w:r>
          </w:p>
        </w:tc>
      </w:tr>
      <w:tr>
        <w:trPr>
          <w:trHeight w:val="193"/>
        </w:trPr>
        <w:tc>
          <w:tcPr>
            <w:tcW w:w="2340" w:type="dxa"/>
            <w:vAlign w:val="bottom"/>
            <w:tcBorders>
              <w:left w:val="single" w:sz="8" w:color="auto"/>
              <w:bottom w:val="single" w:sz="8" w:color="auto"/>
              <w:right w:val="single" w:sz="8" w:color="auto"/>
            </w:tcBorders>
          </w:tcPr>
          <w:p>
            <w:pPr>
              <w:spacing w:after="0"/>
              <w:rPr>
                <w:sz w:val="16"/>
                <w:szCs w:val="16"/>
                <w:color w:val="auto"/>
              </w:rPr>
            </w:pPr>
          </w:p>
        </w:tc>
        <w:tc>
          <w:tcPr>
            <w:tcW w:w="2240" w:type="dxa"/>
            <w:vAlign w:val="bottom"/>
            <w:tcBorders>
              <w:bottom w:val="single" w:sz="8" w:color="auto"/>
              <w:right w:val="single" w:sz="8" w:color="auto"/>
            </w:tcBorders>
            <w:shd w:val="clear" w:color="auto" w:fill="F0FFFF"/>
          </w:tcPr>
          <w:p>
            <w:pPr>
              <w:spacing w:after="0"/>
              <w:rPr>
                <w:sz w:val="16"/>
                <w:szCs w:val="16"/>
                <w:color w:val="auto"/>
              </w:rPr>
            </w:pPr>
          </w:p>
        </w:tc>
        <w:tc>
          <w:tcPr>
            <w:tcW w:w="226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color w:val="auto"/>
                <w:w w:val="98"/>
              </w:rPr>
              <w:t>after we receive your instructions.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-2190750</wp:posOffset>
            </wp:positionV>
            <wp:extent cx="4330065" cy="2089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330065" cy="20891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-1158240</wp:posOffset>
            </wp:positionV>
            <wp:extent cx="4330065" cy="11493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4330065" cy="1149350"/>
                    </a:xfrm>
                    <a:prstGeom prst="rect">
                      <a:avLst/>
                    </a:prstGeom>
                    <a:noFill/>
                  </pic:spPr>
                </pic:pic>
              </a:graphicData>
            </a:graphic>
          </wp:anchor>
        </w:drawing>
      </w:r>
    </w:p>
    <w:p>
      <w:pPr>
        <w:spacing w:after="0" w:line="123" w:lineRule="exact"/>
        <w:rPr>
          <w:sz w:val="20"/>
          <w:szCs w:val="20"/>
          <w:color w:val="auto"/>
        </w:rPr>
      </w:pPr>
    </w:p>
    <w:p>
      <w:pPr>
        <w:jc w:val="both"/>
        <w:ind w:right="2939" w:firstLine="274"/>
        <w:spacing w:after="0" w:line="249" w:lineRule="auto"/>
        <w:rPr>
          <w:sz w:val="20"/>
          <w:szCs w:val="20"/>
          <w:color w:val="auto"/>
        </w:rPr>
      </w:pPr>
      <w:r>
        <w:rPr>
          <w:rFonts w:ascii="Times New Roman" w:cs="Times New Roman" w:eastAsia="Times New Roman" w:hAnsi="Times New Roman"/>
          <w:sz w:val="14"/>
          <w:szCs w:val="14"/>
          <w:b w:val="1"/>
          <w:bCs w:val="1"/>
          <w:color w:val="auto"/>
        </w:rPr>
        <w:t xml:space="preserve">Restarting Distribution Payments. </w:t>
      </w:r>
      <w:r>
        <w:rPr>
          <w:rFonts w:ascii="Times New Roman" w:cs="Times New Roman" w:eastAsia="Times New Roman" w:hAnsi="Times New Roman"/>
          <w:sz w:val="14"/>
          <w:szCs w:val="14"/>
          <w:color w:val="auto"/>
        </w:rPr>
        <w:t>After Distribution Payments have been voluntarily suspended for a year,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you may restart Distribution Payments by providing Notice to us. The restarted Distribution Payments will begin on a monthly anniversary at least 15 calendar days after we receive your Notice. Distribution Payment amounts upon restarting are subject to the minimum and maximum limits described above in the “Minimum and Maximum Limits for Distribution Payments” section. If the GDR terminates before you resume Distribution Payments, you will not be eligible to receive any further Distribution Payments or the One-time Payment, if otherwise available to you. Upon restarting Distribution Payments, you cannot select a different Distribution Payment Frequency or Distribution Payment Duration.</w:t>
      </w:r>
    </w:p>
    <w:p>
      <w:pPr>
        <w:spacing w:after="0" w:line="200"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4"/>
          <w:szCs w:val="14"/>
          <w:color w:val="auto"/>
        </w:rPr>
        <w:t>58</w:t>
      </w:r>
    </w:p>
    <w:p>
      <w:pPr>
        <w:sectPr>
          <w:pgSz w:w="11900" w:h="16838" w:orient="portrait"/>
          <w:cols w:equalWidth="0" w:num="1">
            <w:col w:w="9219"/>
          </w:cols>
          <w:pgMar w:left="1240" w:top="1083" w:right="1440" w:bottom="1440" w:gutter="0" w:footer="0" w:header="0"/>
        </w:sectPr>
      </w:pPr>
    </w:p>
    <w:bookmarkStart w:id="61" w:name="page62"/>
    <w:bookmarkEnd w:id="61"/>
    <w:p>
      <w:pPr>
        <w:jc w:val="both"/>
        <w:ind w:right="2939" w:firstLine="274"/>
        <w:spacing w:after="0" w:line="24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422275</wp:posOffset>
            </wp:positionV>
            <wp:extent cx="719010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90105" cy="38735"/>
                    </a:xfrm>
                    <a:prstGeom prst="rect">
                      <a:avLst/>
                    </a:prstGeom>
                    <a:noFill/>
                  </pic:spPr>
                </pic:pic>
              </a:graphicData>
            </a:graphic>
          </wp:anchor>
        </w:drawing>
        <w:t>On the day you restart your Distribution Payments, we will transfer any Cash Value in the Indexed Accounts and Holding Accounts to the Fixed Account. If the day you restart your Distribution Payments is any day other than a Segment Maturity Date, we will calculate the Interim Segment Value of each Segment to determine the Indexed Account Cash Value that will be transferred to the Fixed Account. This means if the Segment Index Performance is positive, any gains we credit could be less than you would have received if you had held the investment until Segment Maturity Date. If the Segment Index Performance is negative, any losses we credit could be greater, possibly significantly greater, than if you waited until the Segment Index Performance was positive or until the Segment Maturity Date.</w:t>
      </w:r>
    </w:p>
    <w:p>
      <w:pPr>
        <w:spacing w:after="0" w:line="74" w:lineRule="exact"/>
        <w:rPr>
          <w:sz w:val="20"/>
          <w:szCs w:val="20"/>
          <w:color w:val="auto"/>
        </w:rPr>
      </w:pPr>
    </w:p>
    <w:p>
      <w:pPr>
        <w:jc w:val="both"/>
        <w:ind w:right="2939" w:firstLine="274"/>
        <w:spacing w:after="0" w:line="251" w:lineRule="auto"/>
        <w:rPr>
          <w:sz w:val="20"/>
          <w:szCs w:val="20"/>
          <w:color w:val="auto"/>
        </w:rPr>
      </w:pPr>
      <w:r>
        <w:rPr>
          <w:rFonts w:ascii="Times New Roman" w:cs="Times New Roman" w:eastAsia="Times New Roman" w:hAnsi="Times New Roman"/>
          <w:sz w:val="14"/>
          <w:szCs w:val="14"/>
          <w:b w:val="1"/>
          <w:bCs w:val="1"/>
          <w:color w:val="auto"/>
        </w:rPr>
        <w:t xml:space="preserve">Additional Loans. </w:t>
      </w:r>
      <w:r>
        <w:rPr>
          <w:rFonts w:ascii="Times New Roman" w:cs="Times New Roman" w:eastAsia="Times New Roman" w:hAnsi="Times New Roman"/>
          <w:sz w:val="14"/>
          <w:szCs w:val="14"/>
          <w:color w:val="auto"/>
        </w:rPr>
        <w:t>While you are receiving Distribution Payments, you can change the amount of future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Distribution Payments, as long as you do not exceed the Maximum Distribution Payment. If you request a loan while you are receiving Distribution Payments (</w:t>
      </w:r>
      <w:r>
        <w:rPr>
          <w:rFonts w:ascii="Times New Roman" w:cs="Times New Roman" w:eastAsia="Times New Roman" w:hAnsi="Times New Roman"/>
          <w:sz w:val="14"/>
          <w:szCs w:val="14"/>
          <w:i w:val="1"/>
          <w:iCs w:val="1"/>
          <w:color w:val="auto"/>
        </w:rPr>
        <w:t>i.e</w:t>
      </w:r>
      <w:r>
        <w:rPr>
          <w:rFonts w:ascii="Times New Roman" w:cs="Times New Roman" w:eastAsia="Times New Roman" w:hAnsi="Times New Roman"/>
          <w:sz w:val="14"/>
          <w:szCs w:val="14"/>
          <w:color w:val="auto"/>
        </w:rPr>
        <w:t>., a loan outside of your scheduled Distribution Payments), we will treat this loan as your One-time Payment, as long as you have not already received your One-time Payment. If the One-time Payment has not been taken and the loan amount taken exceeds the One-time Payment amount available at the time of your request, this GDR will terminate.</w:t>
      </w:r>
    </w:p>
    <w:p>
      <w:pPr>
        <w:spacing w:after="0" w:line="64" w:lineRule="exact"/>
        <w:rPr>
          <w:sz w:val="20"/>
          <w:szCs w:val="20"/>
          <w:color w:val="auto"/>
        </w:rPr>
      </w:pPr>
    </w:p>
    <w:p>
      <w:pPr>
        <w:jc w:val="both"/>
        <w:ind w:right="2939" w:firstLine="274"/>
        <w:spacing w:after="0" w:line="256" w:lineRule="auto"/>
        <w:rPr>
          <w:sz w:val="20"/>
          <w:szCs w:val="20"/>
          <w:color w:val="auto"/>
        </w:rPr>
      </w:pPr>
      <w:r>
        <w:rPr>
          <w:rFonts w:ascii="Times New Roman" w:cs="Times New Roman" w:eastAsia="Times New Roman" w:hAnsi="Times New Roman"/>
          <w:sz w:val="14"/>
          <w:szCs w:val="14"/>
          <w:color w:val="auto"/>
        </w:rPr>
        <w:t>If Distribution Payments are voluntarily suspended, and it has been less than one year since you have received your last Distribution Payment and you request a loan, we will treat this loan as your One-time Payment, as long as you have not already received your One-time Payment.</w:t>
      </w:r>
    </w:p>
    <w:p>
      <w:pPr>
        <w:spacing w:after="0" w:line="71" w:lineRule="exact"/>
        <w:rPr>
          <w:sz w:val="20"/>
          <w:szCs w:val="20"/>
          <w:color w:val="auto"/>
        </w:rPr>
      </w:pPr>
    </w:p>
    <w:p>
      <w:pPr>
        <w:jc w:val="both"/>
        <w:ind w:right="2939" w:firstLine="274"/>
        <w:spacing w:after="0" w:line="270" w:lineRule="auto"/>
        <w:rPr>
          <w:sz w:val="20"/>
          <w:szCs w:val="20"/>
          <w:color w:val="auto"/>
        </w:rPr>
      </w:pPr>
      <w:r>
        <w:rPr>
          <w:rFonts w:ascii="Times New Roman" w:cs="Times New Roman" w:eastAsia="Times New Roman" w:hAnsi="Times New Roman"/>
          <w:sz w:val="13"/>
          <w:szCs w:val="13"/>
          <w:color w:val="auto"/>
        </w:rPr>
        <w:t>If Distribution Payments are suspended, and it has been more than one year since you have received your last Distribution Payment, and you request a loan, we will restart Distribution Payments at an amount up to the Maximum Distribution Payment. Any amount above this will be treated as your One-time Payment, if available, whether or not the amount of the loan is the full amount available as the One-time Payment. If you request an amount that exceeds the One-time Payment, your request will not be considered in Good Order. We will contact you to ask if you want to change the One-time Payment amount to an amount that does not exceed the maximum One-time Payment or confirm that you want to process the request using the original amount, which will terminate the GDR. Your request will not be in Good Order until we confirm your instructions or receive new ones.</w:t>
      </w:r>
    </w:p>
    <w:p>
      <w:pPr>
        <w:spacing w:after="0" w:line="64" w:lineRule="exact"/>
        <w:rPr>
          <w:sz w:val="20"/>
          <w:szCs w:val="20"/>
          <w:color w:val="auto"/>
        </w:rPr>
      </w:pPr>
    </w:p>
    <w:p>
      <w:pPr>
        <w:jc w:val="both"/>
        <w:ind w:right="2939" w:firstLine="274"/>
        <w:spacing w:after="0" w:line="252" w:lineRule="auto"/>
        <w:rPr>
          <w:sz w:val="20"/>
          <w:szCs w:val="20"/>
          <w:color w:val="auto"/>
        </w:rPr>
      </w:pPr>
      <w:r>
        <w:rPr>
          <w:rFonts w:ascii="Times New Roman" w:cs="Times New Roman" w:eastAsia="Times New Roman" w:hAnsi="Times New Roman"/>
          <w:sz w:val="14"/>
          <w:szCs w:val="14"/>
          <w:color w:val="auto"/>
        </w:rPr>
        <w:t>For purposes of calculating the One-time Payment after a restart, the cumulative Maximum Distribution Payments available to you are from the Distribution Start Date to the One-time Payment calculation date, regardless of whether you suspended Distribution Payments at any time during that period. See “One-time Payment” above.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Impact of Distribution Payments on Your Policy</w:t>
      </w:r>
    </w:p>
    <w:p>
      <w:pPr>
        <w:spacing w:after="0" w:line="96" w:lineRule="exact"/>
        <w:rPr>
          <w:sz w:val="20"/>
          <w:szCs w:val="20"/>
          <w:color w:val="auto"/>
        </w:rPr>
      </w:pPr>
    </w:p>
    <w:p>
      <w:pPr>
        <w:jc w:val="both"/>
        <w:ind w:right="2939" w:firstLine="274"/>
        <w:spacing w:after="0" w:line="259" w:lineRule="auto"/>
        <w:rPr>
          <w:sz w:val="20"/>
          <w:szCs w:val="20"/>
          <w:color w:val="auto"/>
        </w:rPr>
      </w:pPr>
      <w:r>
        <w:rPr>
          <w:rFonts w:ascii="Times New Roman" w:cs="Times New Roman" w:eastAsia="Times New Roman" w:hAnsi="Times New Roman"/>
          <w:sz w:val="14"/>
          <w:szCs w:val="14"/>
          <w:b w:val="1"/>
          <w:bCs w:val="1"/>
          <w:color w:val="auto"/>
        </w:rPr>
        <w:t xml:space="preserve">Loans. </w:t>
      </w:r>
      <w:r>
        <w:rPr>
          <w:rFonts w:ascii="Times New Roman" w:cs="Times New Roman" w:eastAsia="Times New Roman" w:hAnsi="Times New Roman"/>
          <w:sz w:val="14"/>
          <w:szCs w:val="14"/>
          <w:color w:val="auto"/>
        </w:rPr>
        <w:t>Distribution Payments and the One-time Payment will be made in the form of loans. When you</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receive a Distribution Payment or the One-time Payment, we will reduce the Fixed Account Cash Value by the amount of the loan and transfer that amount to the Loan Account.</w:t>
      </w:r>
    </w:p>
    <w:p>
      <w:pPr>
        <w:spacing w:after="0" w:line="65" w:lineRule="exact"/>
        <w:rPr>
          <w:sz w:val="20"/>
          <w:szCs w:val="20"/>
          <w:color w:val="auto"/>
        </w:rPr>
      </w:pPr>
    </w:p>
    <w:p>
      <w:pPr>
        <w:jc w:val="both"/>
        <w:ind w:right="2939" w:firstLine="274"/>
        <w:spacing w:after="0" w:line="273" w:lineRule="auto"/>
        <w:rPr>
          <w:sz w:val="20"/>
          <w:szCs w:val="20"/>
          <w:color w:val="auto"/>
        </w:rPr>
      </w:pPr>
      <w:r>
        <w:rPr>
          <w:rFonts w:ascii="Times New Roman" w:cs="Times New Roman" w:eastAsia="Times New Roman" w:hAnsi="Times New Roman"/>
          <w:sz w:val="14"/>
          <w:szCs w:val="14"/>
          <w:b w:val="1"/>
          <w:bCs w:val="1"/>
          <w:color w:val="auto"/>
        </w:rPr>
        <w:t xml:space="preserve">Policy Proceeds. </w:t>
      </w:r>
      <w:r>
        <w:rPr>
          <w:rFonts w:ascii="Times New Roman" w:cs="Times New Roman" w:eastAsia="Times New Roman" w:hAnsi="Times New Roman"/>
          <w:sz w:val="14"/>
          <w:szCs w:val="14"/>
          <w:color w:val="auto"/>
        </w:rPr>
        <w:t>While the GDR is in force and after the Distribution Start Date, the following is substituted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for the Policy Proceeds calculation that is described in the “DEATH BENEFIT” section.</w:t>
      </w:r>
    </w:p>
    <w:p>
      <w:pPr>
        <w:spacing w:after="0" w:line="49" w:lineRule="exact"/>
        <w:rPr>
          <w:sz w:val="20"/>
          <w:szCs w:val="20"/>
          <w:color w:val="auto"/>
        </w:rPr>
      </w:pPr>
    </w:p>
    <w:p>
      <w:pPr>
        <w:jc w:val="both"/>
        <w:ind w:right="2939" w:firstLine="274"/>
        <w:spacing w:after="0" w:line="267" w:lineRule="auto"/>
        <w:rPr>
          <w:sz w:val="20"/>
          <w:szCs w:val="20"/>
          <w:color w:val="auto"/>
        </w:rPr>
      </w:pPr>
      <w:r>
        <w:rPr>
          <w:rFonts w:ascii="Times New Roman" w:cs="Times New Roman" w:eastAsia="Times New Roman" w:hAnsi="Times New Roman"/>
          <w:sz w:val="14"/>
          <w:szCs w:val="14"/>
          <w:color w:val="auto"/>
        </w:rPr>
        <w:t>Policy Proceeds will equal the greater of the result of items 1-5 below; or $10,000. The Policy Proceeds as of the date of the Insured’s death, calculated as follows:</w:t>
      </w:r>
    </w:p>
    <w:p>
      <w:pPr>
        <w:spacing w:after="0" w:line="64" w:lineRule="exact"/>
        <w:rPr>
          <w:sz w:val="20"/>
          <w:szCs w:val="20"/>
          <w:color w:val="auto"/>
        </w:rPr>
      </w:pPr>
    </w:p>
    <w:p>
      <w:pPr>
        <w:jc w:val="both"/>
        <w:ind w:left="540" w:right="2999" w:hanging="271"/>
        <w:spacing w:after="0" w:line="256" w:lineRule="auto"/>
        <w:tabs>
          <w:tab w:leader="none" w:pos="54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death benefit as of the date of the Insured’s death. For the sole purpose of calculating Policy Proceeds while the GDR is in force and after the Distribution Start Date, the death benefit is calculated as the greater of:</w:t>
      </w:r>
    </w:p>
    <w:p>
      <w:pPr>
        <w:spacing w:after="0" w:line="60" w:lineRule="exact"/>
        <w:rPr>
          <w:rFonts w:ascii="Times New Roman" w:cs="Times New Roman" w:eastAsia="Times New Roman" w:hAnsi="Times New Roman"/>
          <w:sz w:val="14"/>
          <w:szCs w:val="14"/>
          <w:color w:val="auto"/>
        </w:rPr>
      </w:pPr>
    </w:p>
    <w:p>
      <w:pPr>
        <w:ind w:left="820" w:hanging="277"/>
        <w:spacing w:after="0"/>
        <w:tabs>
          <w:tab w:leader="none" w:pos="820" w:val="left"/>
        </w:tabs>
        <w:numPr>
          <w:ilvl w:val="1"/>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Face Amount; or</w:t>
      </w:r>
    </w:p>
    <w:p>
      <w:pPr>
        <w:spacing w:after="0" w:line="85" w:lineRule="exact"/>
        <w:rPr>
          <w:rFonts w:ascii="Times New Roman" w:cs="Times New Roman" w:eastAsia="Times New Roman" w:hAnsi="Times New Roman"/>
          <w:sz w:val="14"/>
          <w:szCs w:val="14"/>
          <w:color w:val="auto"/>
        </w:rPr>
      </w:pPr>
    </w:p>
    <w:p>
      <w:pPr>
        <w:ind w:left="820" w:right="2999" w:hanging="277"/>
        <w:spacing w:after="0" w:line="267" w:lineRule="auto"/>
        <w:tabs>
          <w:tab w:leader="none" w:pos="820" w:val="left"/>
        </w:tabs>
        <w:numPr>
          <w:ilvl w:val="1"/>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Cash Value plus any Annual Deduction refund plus any available One-time Payment amount; times the applicable minimum death benefit factor; plus</w:t>
      </w:r>
    </w:p>
    <w:p>
      <w:pPr>
        <w:spacing w:after="0" w:line="53" w:lineRule="exact"/>
        <w:rPr>
          <w:rFonts w:ascii="Times New Roman" w:cs="Times New Roman" w:eastAsia="Times New Roman" w:hAnsi="Times New Roman"/>
          <w:sz w:val="14"/>
          <w:szCs w:val="14"/>
          <w:color w:val="auto"/>
        </w:rPr>
      </w:pPr>
    </w:p>
    <w:p>
      <w:pPr>
        <w:ind w:left="540" w:hanging="271"/>
        <w:spacing w:after="0"/>
        <w:tabs>
          <w:tab w:leader="none" w:pos="54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Annual Deduction refund; plus</w:t>
      </w:r>
    </w:p>
    <w:p>
      <w:pPr>
        <w:spacing w:after="0" w:line="85" w:lineRule="exact"/>
        <w:rPr>
          <w:rFonts w:ascii="Times New Roman" w:cs="Times New Roman" w:eastAsia="Times New Roman" w:hAnsi="Times New Roman"/>
          <w:sz w:val="14"/>
          <w:szCs w:val="14"/>
          <w:color w:val="auto"/>
        </w:rPr>
      </w:pPr>
    </w:p>
    <w:p>
      <w:pPr>
        <w:ind w:left="540" w:hanging="271"/>
        <w:spacing w:after="0"/>
        <w:tabs>
          <w:tab w:leader="none" w:pos="54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premium received after the date of the Insured’s death; less</w:t>
      </w:r>
    </w:p>
    <w:p>
      <w:pPr>
        <w:spacing w:after="0" w:line="85" w:lineRule="exact"/>
        <w:rPr>
          <w:rFonts w:ascii="Times New Roman" w:cs="Times New Roman" w:eastAsia="Times New Roman" w:hAnsi="Times New Roman"/>
          <w:sz w:val="14"/>
          <w:szCs w:val="14"/>
          <w:color w:val="auto"/>
        </w:rPr>
      </w:pPr>
    </w:p>
    <w:p>
      <w:pPr>
        <w:ind w:left="540" w:hanging="271"/>
        <w:spacing w:after="0"/>
        <w:tabs>
          <w:tab w:leader="none" w:pos="54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amount due under a Grace Period as of the date of the Insured’s death; less</w:t>
      </w:r>
    </w:p>
    <w:p>
      <w:pPr>
        <w:spacing w:after="0" w:line="85" w:lineRule="exact"/>
        <w:rPr>
          <w:rFonts w:ascii="Times New Roman" w:cs="Times New Roman" w:eastAsia="Times New Roman" w:hAnsi="Times New Roman"/>
          <w:sz w:val="14"/>
          <w:szCs w:val="14"/>
          <w:color w:val="auto"/>
        </w:rPr>
      </w:pPr>
    </w:p>
    <w:p>
      <w:pPr>
        <w:ind w:left="540" w:hanging="271"/>
        <w:spacing w:after="0"/>
        <w:tabs>
          <w:tab w:leader="none" w:pos="54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Policy Loan Balance.</w:t>
      </w:r>
    </w:p>
    <w:p>
      <w:pPr>
        <w:spacing w:after="0" w:line="82" w:lineRule="exact"/>
        <w:rPr>
          <w:sz w:val="20"/>
          <w:szCs w:val="20"/>
          <w:color w:val="auto"/>
        </w:rPr>
      </w:pPr>
    </w:p>
    <w:p>
      <w:pPr>
        <w:jc w:val="both"/>
        <w:ind w:right="2939" w:firstLine="274"/>
        <w:spacing w:after="0" w:line="259" w:lineRule="auto"/>
        <w:rPr>
          <w:sz w:val="20"/>
          <w:szCs w:val="20"/>
          <w:color w:val="auto"/>
        </w:rPr>
      </w:pPr>
      <w:r>
        <w:rPr>
          <w:rFonts w:ascii="Times New Roman" w:cs="Times New Roman" w:eastAsia="Times New Roman" w:hAnsi="Times New Roman"/>
          <w:sz w:val="14"/>
          <w:szCs w:val="14"/>
          <w:b w:val="1"/>
          <w:bCs w:val="1"/>
          <w:color w:val="auto"/>
        </w:rPr>
        <w:t>Note: Distribution Payments will reduce the Policy Proceeds payable to your beneficiary as those payments increase the Policy Loan Balance. However, the GDR guarantees a minimum amount of Policy Proceeds ($10,000).</w:t>
      </w:r>
    </w:p>
    <w:p>
      <w:pPr>
        <w:spacing w:after="0" w:line="55" w:lineRule="exact"/>
        <w:rPr>
          <w:sz w:val="20"/>
          <w:szCs w:val="20"/>
          <w:color w:val="auto"/>
        </w:rPr>
      </w:pPr>
    </w:p>
    <w:p>
      <w:pPr>
        <w:jc w:val="both"/>
        <w:ind w:right="2939" w:firstLine="274"/>
        <w:spacing w:after="0" w:line="254" w:lineRule="auto"/>
        <w:rPr>
          <w:sz w:val="20"/>
          <w:szCs w:val="20"/>
          <w:color w:val="auto"/>
        </w:rPr>
      </w:pPr>
      <w:r>
        <w:rPr>
          <w:rFonts w:ascii="Times New Roman" w:cs="Times New Roman" w:eastAsia="Times New Roman" w:hAnsi="Times New Roman"/>
          <w:sz w:val="14"/>
          <w:szCs w:val="14"/>
          <w:b w:val="1"/>
          <w:bCs w:val="1"/>
          <w:color w:val="auto"/>
        </w:rPr>
        <w:t xml:space="preserve">Policy’s Cash Value. </w:t>
      </w:r>
      <w:r>
        <w:rPr>
          <w:rFonts w:ascii="Times New Roman" w:cs="Times New Roman" w:eastAsia="Times New Roman" w:hAnsi="Times New Roman"/>
          <w:sz w:val="14"/>
          <w:szCs w:val="14"/>
          <w:color w:val="auto"/>
        </w:rPr>
        <w:t>While you are receiving Distribution Payments, you cannot transfer or allocate Cash</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Value to the Indexed Accounts. If Distribution Payments are voluntarily suspended or terminated, you may transfer any Cash Value from the Fixed Account to any of the available Indexed Accounts on the next Policy Anniversary.</w:t>
      </w:r>
    </w:p>
    <w:p>
      <w:pPr>
        <w:spacing w:after="0" w:line="207"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4"/>
          <w:szCs w:val="14"/>
          <w:color w:val="auto"/>
        </w:rPr>
        <w:t>59</w:t>
      </w:r>
    </w:p>
    <w:p>
      <w:pPr>
        <w:sectPr>
          <w:pgSz w:w="11900" w:h="16838" w:orient="portrait"/>
          <w:cols w:equalWidth="0" w:num="1">
            <w:col w:w="9219"/>
          </w:cols>
          <w:pgMar w:left="1240" w:top="1083" w:right="1440" w:bottom="1440" w:gutter="0" w:footer="0" w:header="0"/>
        </w:sectPr>
      </w:pPr>
    </w:p>
    <w:bookmarkStart w:id="62" w:name="page63"/>
    <w:bookmarkEnd w:id="62"/>
    <w:p>
      <w:pPr>
        <w:jc w:val="both"/>
        <w:ind w:right="2939" w:firstLine="274"/>
        <w:spacing w:after="0" w:line="267"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422275</wp:posOffset>
            </wp:positionV>
            <wp:extent cx="719010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90105" cy="38735"/>
                    </a:xfrm>
                    <a:prstGeom prst="rect">
                      <a:avLst/>
                    </a:prstGeom>
                    <a:noFill/>
                  </pic:spPr>
                </pic:pic>
              </a:graphicData>
            </a:graphic>
          </wp:anchor>
        </w:drawing>
        <w:t>When a Distribution Payment is made, if necessary, the GDR will increase your Policy’s Cash Value to allow for Distribution Payments and the One-time Payment to be made in the form of a loan.</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Operation of the Lifetime Lapse Prevention Benefit</w:t>
      </w:r>
    </w:p>
    <w:p>
      <w:pPr>
        <w:spacing w:after="0" w:line="90" w:lineRule="exact"/>
        <w:rPr>
          <w:sz w:val="20"/>
          <w:szCs w:val="20"/>
          <w:color w:val="auto"/>
        </w:rPr>
      </w:pPr>
    </w:p>
    <w:p>
      <w:pPr>
        <w:jc w:val="both"/>
        <w:ind w:right="2939" w:firstLine="274"/>
        <w:spacing w:after="0" w:line="256" w:lineRule="auto"/>
        <w:rPr>
          <w:sz w:val="20"/>
          <w:szCs w:val="20"/>
          <w:color w:val="auto"/>
        </w:rPr>
      </w:pPr>
      <w:r>
        <w:rPr>
          <w:rFonts w:ascii="Times New Roman" w:cs="Times New Roman" w:eastAsia="Times New Roman" w:hAnsi="Times New Roman"/>
          <w:sz w:val="14"/>
          <w:szCs w:val="14"/>
          <w:color w:val="auto"/>
        </w:rPr>
        <w:t>Under the Lifetime Lapse Prevention Benefit, we guarantee the Policy will not lapse while the GDR is in force, provided Annual Lapse Prevention Premiums are paid when due and there is no Excess Loan. Annual Lapse Prevention Premiums are calculated at issue and payable for 10 years.</w:t>
      </w:r>
    </w:p>
    <w:p>
      <w:pPr>
        <w:spacing w:after="0" w:line="61" w:lineRule="exact"/>
        <w:rPr>
          <w:sz w:val="20"/>
          <w:szCs w:val="20"/>
          <w:color w:val="auto"/>
        </w:rPr>
      </w:pPr>
    </w:p>
    <w:p>
      <w:pPr>
        <w:jc w:val="both"/>
        <w:ind w:right="2939" w:firstLine="274"/>
        <w:spacing w:after="0" w:line="307" w:lineRule="auto"/>
        <w:rPr>
          <w:sz w:val="20"/>
          <w:szCs w:val="20"/>
          <w:color w:val="auto"/>
        </w:rPr>
      </w:pPr>
      <w:r>
        <w:rPr>
          <w:rFonts w:ascii="Times New Roman" w:cs="Times New Roman" w:eastAsia="Times New Roman" w:hAnsi="Times New Roman"/>
          <w:sz w:val="13"/>
          <w:szCs w:val="13"/>
          <w:color w:val="auto"/>
        </w:rPr>
        <w:t>Prior to the Distribution Start Date, if the Policy’s unloaned Cash Value is insufficient to cover any Surrender charge and any Annual Deduction due on a monthly anniversary date, the Policy will not lapse as long as:</w:t>
      </w:r>
    </w:p>
    <w:p>
      <w:pPr>
        <w:spacing w:after="0" w:line="29" w:lineRule="exact"/>
        <w:rPr>
          <w:sz w:val="20"/>
          <w:szCs w:val="20"/>
          <w:color w:val="auto"/>
        </w:rPr>
      </w:pPr>
    </w:p>
    <w:p>
      <w:pPr>
        <w:ind w:left="440" w:right="2999" w:hanging="171"/>
        <w:spacing w:after="0" w:line="267" w:lineRule="auto"/>
        <w:tabs>
          <w:tab w:leader="none" w:pos="44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sum of all premiums paid to date is equal to or greater than the accumulated Annual Lapse Prevention Premiums due since the Policy Issue Date, shown on your Policy Specifications page; and</w:t>
      </w:r>
    </w:p>
    <w:p>
      <w:pPr>
        <w:spacing w:after="0" w:line="53" w:lineRule="exact"/>
        <w:rPr>
          <w:rFonts w:ascii="Times New Roman" w:cs="Times New Roman" w:eastAsia="Times New Roman" w:hAnsi="Times New Roman"/>
          <w:sz w:val="14"/>
          <w:szCs w:val="14"/>
          <w:color w:val="auto"/>
        </w:rPr>
      </w:pPr>
    </w:p>
    <w:p>
      <w:pPr>
        <w:ind w:left="440" w:hanging="171"/>
        <w:spacing w:after="0"/>
        <w:tabs>
          <w:tab w:leader="none" w:pos="44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is no Excess Loan.</w:t>
      </w:r>
    </w:p>
    <w:p>
      <w:pPr>
        <w:spacing w:after="0" w:line="86" w:lineRule="exact"/>
        <w:rPr>
          <w:sz w:val="20"/>
          <w:szCs w:val="20"/>
          <w:color w:val="auto"/>
        </w:rPr>
      </w:pPr>
    </w:p>
    <w:p>
      <w:pPr>
        <w:jc w:val="both"/>
        <w:ind w:right="2939" w:firstLine="274"/>
        <w:spacing w:after="0" w:line="256" w:lineRule="auto"/>
        <w:rPr>
          <w:sz w:val="20"/>
          <w:szCs w:val="20"/>
          <w:color w:val="auto"/>
        </w:rPr>
      </w:pPr>
      <w:r>
        <w:rPr>
          <w:rFonts w:ascii="Times New Roman" w:cs="Times New Roman" w:eastAsia="Times New Roman" w:hAnsi="Times New Roman"/>
          <w:sz w:val="14"/>
          <w:szCs w:val="14"/>
          <w:color w:val="auto"/>
        </w:rPr>
        <w:t>If premiums paid to date are less than the accumulated Annual Lapse Prevention Premiums due since the Policy Issue Date, you will have a Grace Period to pay the difference. If this payment is not made within the Grace Period, the GDR will terminate.</w:t>
      </w:r>
    </w:p>
    <w:p>
      <w:pPr>
        <w:spacing w:after="0" w:line="61" w:lineRule="exact"/>
        <w:rPr>
          <w:sz w:val="20"/>
          <w:szCs w:val="20"/>
          <w:color w:val="auto"/>
        </w:rPr>
      </w:pPr>
    </w:p>
    <w:p>
      <w:pPr>
        <w:jc w:val="both"/>
        <w:ind w:right="2939" w:firstLine="274"/>
        <w:spacing w:after="0" w:line="267" w:lineRule="auto"/>
        <w:rPr>
          <w:sz w:val="20"/>
          <w:szCs w:val="20"/>
          <w:color w:val="auto"/>
        </w:rPr>
      </w:pPr>
      <w:r>
        <w:rPr>
          <w:rFonts w:ascii="Times New Roman" w:cs="Times New Roman" w:eastAsia="Times New Roman" w:hAnsi="Times New Roman"/>
          <w:sz w:val="14"/>
          <w:szCs w:val="14"/>
          <w:color w:val="auto"/>
        </w:rPr>
        <w:t>If necessary, we will increase your Policy’s Cash Value to cover any Annual Deductions due if the GDR is in effect and the Policy’s Cash Value is insufficient to cover the Annual Deduction.</w:t>
      </w:r>
    </w:p>
    <w:p>
      <w:pPr>
        <w:spacing w:after="0" w:line="53" w:lineRule="exact"/>
        <w:rPr>
          <w:sz w:val="20"/>
          <w:szCs w:val="20"/>
          <w:color w:val="auto"/>
        </w:rPr>
      </w:pPr>
    </w:p>
    <w:p>
      <w:pPr>
        <w:jc w:val="both"/>
        <w:ind w:right="2939" w:firstLine="274"/>
        <w:spacing w:after="0" w:line="256" w:lineRule="auto"/>
        <w:rPr>
          <w:sz w:val="20"/>
          <w:szCs w:val="20"/>
          <w:color w:val="auto"/>
        </w:rPr>
      </w:pPr>
      <w:r>
        <w:rPr>
          <w:rFonts w:ascii="Times New Roman" w:cs="Times New Roman" w:eastAsia="Times New Roman" w:hAnsi="Times New Roman"/>
          <w:sz w:val="14"/>
          <w:szCs w:val="14"/>
          <w:color w:val="auto"/>
        </w:rPr>
        <w:t>Beginning on the Distribution Start Date, the Lifetime Lapse Prevention Benefit guarantees that your Policy will not lapse while the GDR is in force. If Distribution Payments terminate and the GDR remains in force, the lapse protection will continue, even if you do not make any further premium payments.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Termination</w:t>
      </w:r>
    </w:p>
    <w:p>
      <w:pPr>
        <w:spacing w:after="0" w:line="86" w:lineRule="exact"/>
        <w:rPr>
          <w:sz w:val="20"/>
          <w:szCs w:val="20"/>
          <w:color w:val="auto"/>
        </w:rPr>
      </w:pPr>
    </w:p>
    <w:p>
      <w:pPr>
        <w:jc w:val="both"/>
        <w:ind w:right="2939" w:firstLine="274"/>
        <w:spacing w:after="0" w:line="273" w:lineRule="auto"/>
        <w:rPr>
          <w:sz w:val="20"/>
          <w:szCs w:val="20"/>
          <w:color w:val="auto"/>
        </w:rPr>
      </w:pPr>
      <w:r>
        <w:rPr>
          <w:rFonts w:ascii="Times New Roman" w:cs="Times New Roman" w:eastAsia="Times New Roman" w:hAnsi="Times New Roman"/>
          <w:sz w:val="14"/>
          <w:szCs w:val="14"/>
          <w:b w:val="1"/>
          <w:bCs w:val="1"/>
          <w:color w:val="auto"/>
        </w:rPr>
        <w:t xml:space="preserve">Termination of Distribution Payments. </w:t>
      </w:r>
      <w:r>
        <w:rPr>
          <w:rFonts w:ascii="Times New Roman" w:cs="Times New Roman" w:eastAsia="Times New Roman" w:hAnsi="Times New Roman"/>
          <w:sz w:val="14"/>
          <w:szCs w:val="14"/>
          <w:color w:val="auto"/>
        </w:rPr>
        <w:t>While the GDR is in force, any available Distribution Payments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will terminate upon the earliest of:</w:t>
      </w:r>
    </w:p>
    <w:p>
      <w:pPr>
        <w:spacing w:after="0" w:line="49" w:lineRule="exact"/>
        <w:rPr>
          <w:sz w:val="20"/>
          <w:szCs w:val="20"/>
          <w:color w:val="auto"/>
        </w:rPr>
      </w:pPr>
    </w:p>
    <w:p>
      <w:pPr>
        <w:ind w:left="540" w:hanging="271"/>
        <w:spacing w:after="0"/>
        <w:tabs>
          <w:tab w:leader="none" w:pos="54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your Policy becomes a MEC;</w:t>
      </w:r>
    </w:p>
    <w:p>
      <w:pPr>
        <w:spacing w:after="0" w:line="85" w:lineRule="exact"/>
        <w:rPr>
          <w:rFonts w:ascii="Times New Roman" w:cs="Times New Roman" w:eastAsia="Times New Roman" w:hAnsi="Times New Roman"/>
          <w:sz w:val="14"/>
          <w:szCs w:val="14"/>
          <w:color w:val="auto"/>
        </w:rPr>
      </w:pPr>
    </w:p>
    <w:p>
      <w:pPr>
        <w:ind w:left="540" w:hanging="271"/>
        <w:spacing w:after="0"/>
        <w:tabs>
          <w:tab w:leader="none" w:pos="54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an Accelerated Death benefit Payment has been paid;</w:t>
      </w:r>
    </w:p>
    <w:p>
      <w:pPr>
        <w:spacing w:after="0" w:line="85" w:lineRule="exact"/>
        <w:rPr>
          <w:rFonts w:ascii="Times New Roman" w:cs="Times New Roman" w:eastAsia="Times New Roman" w:hAnsi="Times New Roman"/>
          <w:sz w:val="14"/>
          <w:szCs w:val="14"/>
          <w:color w:val="auto"/>
        </w:rPr>
      </w:pPr>
    </w:p>
    <w:p>
      <w:pPr>
        <w:ind w:left="540" w:right="3019" w:hanging="271"/>
        <w:spacing w:after="0" w:line="267" w:lineRule="auto"/>
        <w:tabs>
          <w:tab w:leader="none" w:pos="54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the cumulative Maximum Distribution Payment amounts available under this GDR have been paid;</w:t>
      </w:r>
    </w:p>
    <w:p>
      <w:pPr>
        <w:spacing w:after="0" w:line="53" w:lineRule="exact"/>
        <w:rPr>
          <w:rFonts w:ascii="Times New Roman" w:cs="Times New Roman" w:eastAsia="Times New Roman" w:hAnsi="Times New Roman"/>
          <w:sz w:val="14"/>
          <w:szCs w:val="14"/>
          <w:color w:val="auto"/>
        </w:rPr>
      </w:pPr>
    </w:p>
    <w:p>
      <w:pPr>
        <w:ind w:left="540" w:hanging="271"/>
        <w:spacing w:after="0"/>
        <w:tabs>
          <w:tab w:leader="none" w:pos="54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the GDR terminates;</w:t>
      </w:r>
    </w:p>
    <w:p>
      <w:pPr>
        <w:spacing w:after="0" w:line="85" w:lineRule="exact"/>
        <w:rPr>
          <w:rFonts w:ascii="Times New Roman" w:cs="Times New Roman" w:eastAsia="Times New Roman" w:hAnsi="Times New Roman"/>
          <w:sz w:val="14"/>
          <w:szCs w:val="14"/>
          <w:color w:val="auto"/>
        </w:rPr>
      </w:pPr>
    </w:p>
    <w:p>
      <w:pPr>
        <w:ind w:left="540" w:hanging="271"/>
        <w:spacing w:after="0"/>
        <w:tabs>
          <w:tab w:leader="none" w:pos="54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the Insured reaches Attained Age 121; or</w:t>
      </w:r>
    </w:p>
    <w:p>
      <w:pPr>
        <w:spacing w:after="0" w:line="85" w:lineRule="exact"/>
        <w:rPr>
          <w:rFonts w:ascii="Times New Roman" w:cs="Times New Roman" w:eastAsia="Times New Roman" w:hAnsi="Times New Roman"/>
          <w:sz w:val="14"/>
          <w:szCs w:val="14"/>
          <w:color w:val="auto"/>
        </w:rPr>
      </w:pPr>
    </w:p>
    <w:p>
      <w:pPr>
        <w:ind w:left="540" w:hanging="271"/>
        <w:spacing w:after="0"/>
        <w:tabs>
          <w:tab w:leader="none" w:pos="54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the Insured dies.</w:t>
      </w:r>
    </w:p>
    <w:p>
      <w:pPr>
        <w:spacing w:after="0" w:line="86" w:lineRule="exact"/>
        <w:rPr>
          <w:sz w:val="20"/>
          <w:szCs w:val="20"/>
          <w:color w:val="auto"/>
        </w:rPr>
      </w:pPr>
    </w:p>
    <w:p>
      <w:pPr>
        <w:ind w:right="2939" w:firstLine="274"/>
        <w:spacing w:after="0" w:line="267" w:lineRule="auto"/>
        <w:rPr>
          <w:sz w:val="20"/>
          <w:szCs w:val="20"/>
          <w:color w:val="auto"/>
        </w:rPr>
      </w:pPr>
      <w:r>
        <w:rPr>
          <w:rFonts w:ascii="Times New Roman" w:cs="Times New Roman" w:eastAsia="Times New Roman" w:hAnsi="Times New Roman"/>
          <w:sz w:val="14"/>
          <w:szCs w:val="14"/>
          <w:color w:val="auto"/>
        </w:rPr>
        <w:t>Once Distribution Payments terminate, no further amounts will be available to you under the GDR, and the GDR Charge will terminate. You will not receive a refund of any portion of the GDR Charge.</w:t>
      </w:r>
    </w:p>
    <w:p>
      <w:pPr>
        <w:spacing w:after="0" w:line="4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 xml:space="preserve">Termination of the GDR. </w:t>
      </w:r>
      <w:r>
        <w:rPr>
          <w:rFonts w:ascii="Times New Roman" w:cs="Times New Roman" w:eastAsia="Times New Roman" w:hAnsi="Times New Roman"/>
          <w:sz w:val="14"/>
          <w:szCs w:val="14"/>
          <w:color w:val="auto"/>
        </w:rPr>
        <w:t>Your GDR will terminate upon the earliest of:</w:t>
      </w:r>
    </w:p>
    <w:p>
      <w:pPr>
        <w:spacing w:after="0" w:line="90" w:lineRule="exact"/>
        <w:rPr>
          <w:sz w:val="20"/>
          <w:szCs w:val="20"/>
          <w:color w:val="auto"/>
        </w:rPr>
      </w:pPr>
    </w:p>
    <w:p>
      <w:pPr>
        <w:ind w:left="540" w:hanging="271"/>
        <w:spacing w:after="0"/>
        <w:tabs>
          <w:tab w:leader="none" w:pos="54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monthly anniversary following the date we receive your request to terminate this GDR (See</w:t>
      </w:r>
    </w:p>
    <w:p>
      <w:pPr>
        <w:spacing w:after="0" w:line="15" w:lineRule="exact"/>
        <w:rPr>
          <w:rFonts w:ascii="Times New Roman" w:cs="Times New Roman" w:eastAsia="Times New Roman" w:hAnsi="Times New Roman"/>
          <w:sz w:val="14"/>
          <w:szCs w:val="14"/>
          <w:color w:val="auto"/>
        </w:rPr>
      </w:pPr>
    </w:p>
    <w:p>
      <w:pPr>
        <w:ind w:left="5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“REQUESTS AND ELECTIONS”);</w:t>
      </w:r>
    </w:p>
    <w:p>
      <w:pPr>
        <w:spacing w:after="0" w:line="74" w:lineRule="exact"/>
        <w:rPr>
          <w:rFonts w:ascii="Times New Roman" w:cs="Times New Roman" w:eastAsia="Times New Roman" w:hAnsi="Times New Roman"/>
          <w:sz w:val="14"/>
          <w:szCs w:val="14"/>
          <w:color w:val="auto"/>
        </w:rPr>
      </w:pPr>
    </w:p>
    <w:p>
      <w:pPr>
        <w:ind w:left="540" w:right="2999" w:hanging="271"/>
        <w:spacing w:after="0" w:line="267" w:lineRule="auto"/>
        <w:tabs>
          <w:tab w:leader="none" w:pos="54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a loan is taken for an amount that exceeds the available Distribution Payments and the One-time Payment;</w:t>
      </w:r>
    </w:p>
    <w:p>
      <w:pPr>
        <w:spacing w:after="0" w:line="53" w:lineRule="exact"/>
        <w:rPr>
          <w:rFonts w:ascii="Times New Roman" w:cs="Times New Roman" w:eastAsia="Times New Roman" w:hAnsi="Times New Roman"/>
          <w:sz w:val="14"/>
          <w:szCs w:val="14"/>
          <w:color w:val="auto"/>
        </w:rPr>
      </w:pPr>
    </w:p>
    <w:p>
      <w:pPr>
        <w:ind w:left="540" w:right="2999" w:hanging="271"/>
        <w:spacing w:after="0" w:line="267" w:lineRule="auto"/>
        <w:tabs>
          <w:tab w:leader="none" w:pos="54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the GDR terminates due to premiums paid being less than the accumulated Annual Lapse Prevention Premiums due since the Policy Issue Date;</w:t>
      </w:r>
    </w:p>
    <w:p>
      <w:pPr>
        <w:spacing w:after="0" w:line="53" w:lineRule="exact"/>
        <w:rPr>
          <w:rFonts w:ascii="Times New Roman" w:cs="Times New Roman" w:eastAsia="Times New Roman" w:hAnsi="Times New Roman"/>
          <w:sz w:val="14"/>
          <w:szCs w:val="14"/>
          <w:color w:val="auto"/>
        </w:rPr>
      </w:pPr>
    </w:p>
    <w:p>
      <w:pPr>
        <w:ind w:left="540" w:hanging="271"/>
        <w:spacing w:after="0"/>
        <w:tabs>
          <w:tab w:leader="none" w:pos="54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you Surrender the Policy for its Cash Surrender Value; or</w:t>
      </w:r>
    </w:p>
    <w:p>
      <w:pPr>
        <w:spacing w:after="0" w:line="85" w:lineRule="exact"/>
        <w:rPr>
          <w:rFonts w:ascii="Times New Roman" w:cs="Times New Roman" w:eastAsia="Times New Roman" w:hAnsi="Times New Roman"/>
          <w:sz w:val="14"/>
          <w:szCs w:val="14"/>
          <w:color w:val="auto"/>
        </w:rPr>
      </w:pPr>
    </w:p>
    <w:p>
      <w:pPr>
        <w:ind w:left="540" w:hanging="271"/>
        <w:spacing w:after="0"/>
        <w:tabs>
          <w:tab w:leader="none" w:pos="54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your Policy terminates.</w:t>
      </w:r>
    </w:p>
    <w:p>
      <w:pPr>
        <w:spacing w:after="0" w:line="86" w:lineRule="exact"/>
        <w:rPr>
          <w:sz w:val="20"/>
          <w:szCs w:val="20"/>
          <w:color w:val="auto"/>
        </w:rPr>
      </w:pPr>
    </w:p>
    <w:p>
      <w:pPr>
        <w:jc w:val="both"/>
        <w:ind w:right="2939" w:firstLine="274"/>
        <w:spacing w:after="0" w:line="256" w:lineRule="auto"/>
        <w:rPr>
          <w:sz w:val="20"/>
          <w:szCs w:val="20"/>
          <w:color w:val="auto"/>
        </w:rPr>
      </w:pPr>
      <w:r>
        <w:rPr>
          <w:rFonts w:ascii="Times New Roman" w:cs="Times New Roman" w:eastAsia="Times New Roman" w:hAnsi="Times New Roman"/>
          <w:sz w:val="14"/>
          <w:szCs w:val="14"/>
          <w:color w:val="auto"/>
        </w:rPr>
        <w:t>After the GDR terminates, it cannot be reinstated. If your Policy lapses, the GDR will not be reinstated if your Policy is reinstated. The GDR Charge will also terminate if the GDR is terminated; however, you will not receive a refund of any portion of the GDR Charge upon termination.</w:t>
      </w:r>
    </w:p>
    <w:p>
      <w:pPr>
        <w:spacing w:after="0" w:line="200" w:lineRule="exact"/>
        <w:rPr>
          <w:sz w:val="20"/>
          <w:szCs w:val="20"/>
          <w:color w:val="auto"/>
        </w:rPr>
      </w:pPr>
    </w:p>
    <w:p>
      <w:pPr>
        <w:spacing w:after="0" w:line="334"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4"/>
          <w:szCs w:val="14"/>
          <w:color w:val="auto"/>
        </w:rPr>
        <w:t>60</w:t>
      </w:r>
    </w:p>
    <w:p>
      <w:pPr>
        <w:sectPr>
          <w:pgSz w:w="11900" w:h="16838" w:orient="portrait"/>
          <w:cols w:equalWidth="0" w:num="1">
            <w:col w:w="9219"/>
          </w:cols>
          <w:pgMar w:left="1240" w:top="1083" w:right="1440" w:bottom="1440" w:gutter="0" w:footer="0" w:header="0"/>
        </w:sectPr>
      </w:pPr>
    </w:p>
    <w:bookmarkStart w:id="63" w:name="page64"/>
    <w:bookmarkEnd w:id="63"/>
    <w:p>
      <w:pPr>
        <w:jc w:val="both"/>
        <w:ind w:right="2939" w:firstLine="274"/>
        <w:spacing w:after="0" w:line="254" w:lineRule="auto"/>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422275</wp:posOffset>
            </wp:positionV>
            <wp:extent cx="719010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90105" cy="38735"/>
                    </a:xfrm>
                    <a:prstGeom prst="rect">
                      <a:avLst/>
                    </a:prstGeom>
                    <a:noFill/>
                  </pic:spPr>
                </pic:pic>
              </a:graphicData>
            </a:graphic>
          </wp:anchor>
        </w:drawing>
        <w:t xml:space="preserve">Modified Endowment Contract Within the First Policy Year. </w:t>
      </w:r>
      <w:r>
        <w:rPr>
          <w:rFonts w:ascii="Times New Roman" w:cs="Times New Roman" w:eastAsia="Times New Roman" w:hAnsi="Times New Roman"/>
          <w:sz w:val="14"/>
          <w:szCs w:val="14"/>
          <w:color w:val="auto"/>
        </w:rPr>
        <w:t>If your Policy is determined to be a MEC</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during the first Policy Year for any reason, you have the option to terminate the GDR. Your request to terminate the GDR must also be made during the first Policy Year. Any GDR Charges paid at issue will be refunded back to the Policy’s Cash Value.</w:t>
      </w:r>
    </w:p>
    <w:p>
      <w:pPr>
        <w:spacing w:after="0" w:line="234"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4"/>
          <w:szCs w:val="14"/>
          <w:b w:val="1"/>
          <w:bCs w:val="1"/>
          <w:color w:val="auto"/>
        </w:rPr>
        <w:t>ACCELERATION OF DEATH BENEFIT FOR TERMINAL ILLNESS</w:t>
      </w:r>
    </w:p>
    <w:p>
      <w:pPr>
        <w:spacing w:after="0" w:line="90" w:lineRule="exact"/>
        <w:rPr>
          <w:sz w:val="20"/>
          <w:szCs w:val="20"/>
          <w:color w:val="auto"/>
        </w:rPr>
      </w:pPr>
    </w:p>
    <w:p>
      <w:pPr>
        <w:jc w:val="both"/>
        <w:ind w:right="2939" w:firstLine="274"/>
        <w:spacing w:after="0" w:line="252" w:lineRule="auto"/>
        <w:rPr>
          <w:sz w:val="20"/>
          <w:szCs w:val="20"/>
          <w:color w:val="auto"/>
        </w:rPr>
      </w:pPr>
      <w:r>
        <w:rPr>
          <w:rFonts w:ascii="Times New Roman" w:cs="Times New Roman" w:eastAsia="Times New Roman" w:hAnsi="Times New Roman"/>
          <w:sz w:val="14"/>
          <w:szCs w:val="14"/>
          <w:color w:val="auto"/>
        </w:rPr>
        <w:t>An Acceleration of Death Benefit for Terminal Illness (as defined in the SUMMARY section above as “Accelerated Death Benefit”) comes standard with the Policy. This benefit allows the Policy Owner to accelerate a one-time payment of part of the Policy’s death benefit if the Insured is terminally ill. The one-time payment for the Accelerated Death Benefit is different than the One-time Payment under the GDR.</w:t>
      </w:r>
    </w:p>
    <w:p>
      <w:pPr>
        <w:spacing w:after="0" w:line="75" w:lineRule="exact"/>
        <w:rPr>
          <w:sz w:val="20"/>
          <w:szCs w:val="20"/>
          <w:color w:val="auto"/>
        </w:rPr>
      </w:pPr>
    </w:p>
    <w:p>
      <w:pPr>
        <w:jc w:val="both"/>
        <w:ind w:right="2939" w:firstLine="274"/>
        <w:spacing w:after="0" w:line="248" w:lineRule="auto"/>
        <w:rPr>
          <w:sz w:val="20"/>
          <w:szCs w:val="20"/>
          <w:color w:val="auto"/>
        </w:rPr>
      </w:pPr>
      <w:r>
        <w:rPr>
          <w:rFonts w:ascii="Times New Roman" w:cs="Times New Roman" w:eastAsia="Times New Roman" w:hAnsi="Times New Roman"/>
          <w:sz w:val="14"/>
          <w:szCs w:val="14"/>
          <w:color w:val="auto"/>
        </w:rPr>
        <w:t>In calculating the Accelerated Death Benefit, we assume that death occurs one year from the date of the claim. If the Accelerated Death Benefit is exercised, the Policy’s Face Amount and Cash Value will decrease by a proportional percentage. This means the amount withdrawn for the Accelerated Death Benefit payment will reduce the Face Amount and the Cash Value (according to the Policy Deduction Method) by the same percentage that the payment reduces the death benefit (calculated using the Face Amount and Cash Value before either of those has been reduced for the Accelerated Death Benefit), which will never be more than the dollar amount of the payment. Requests to accelerate the death benefit must be received at our Administrative Office. See “REQUESTS AND ELECTIONS.”</w:t>
      </w:r>
    </w:p>
    <w:p>
      <w:pPr>
        <w:spacing w:after="0" w:line="68" w:lineRule="exact"/>
        <w:rPr>
          <w:sz w:val="20"/>
          <w:szCs w:val="20"/>
          <w:color w:val="auto"/>
        </w:rPr>
      </w:pPr>
    </w:p>
    <w:p>
      <w:pPr>
        <w:jc w:val="both"/>
        <w:ind w:right="2939" w:firstLine="274"/>
        <w:spacing w:after="0" w:line="248" w:lineRule="auto"/>
        <w:rPr>
          <w:sz w:val="20"/>
          <w:szCs w:val="20"/>
          <w:color w:val="auto"/>
        </w:rPr>
      </w:pPr>
      <w:r>
        <w:rPr>
          <w:rFonts w:ascii="Times New Roman" w:cs="Times New Roman" w:eastAsia="Times New Roman" w:hAnsi="Times New Roman"/>
          <w:sz w:val="14"/>
          <w:szCs w:val="14"/>
          <w:color w:val="auto"/>
        </w:rPr>
        <w:t>For example, assume the Policy’s death benefit was $100,000 (before the Accelerated Death Benefit), the Face Amount was $80,000 (before the Accelerated Death Benefit), and the Cash Value was $25,000 (before the Accelerated Death Benefit), and you elect to accelerate $20,000 (20% of the death benefit). The Policy’s death benefit would reduce by 20% to $80,000, the Policy’s Face Amount and Cash Value would reduce in the same proportion as the death benefit (20%) to $64,000 and $20,000, respectively. The Face Amount, the Cash Value, and the amount we pay out as the death benefit amount (the Policy Proceeds) are different. To see how we calculate Policy Proceeds, see “Policy Proceeds” under “DEATH BENEFIT” and “Policy Proceeds” under “GUARANTEED DISTRIBUTION RIDER.”</w:t>
      </w:r>
    </w:p>
    <w:p>
      <w:pPr>
        <w:spacing w:after="0" w:line="6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There are certain limitations associated with this benefit, which include the following:</w:t>
      </w:r>
    </w:p>
    <w:p>
      <w:pPr>
        <w:spacing w:after="0" w:line="86" w:lineRule="exact"/>
        <w:rPr>
          <w:sz w:val="20"/>
          <w:szCs w:val="20"/>
          <w:color w:val="auto"/>
        </w:rPr>
      </w:pPr>
    </w:p>
    <w:p>
      <w:pPr>
        <w:ind w:left="440" w:right="2999" w:hanging="171"/>
        <w:spacing w:after="0" w:line="267" w:lineRule="auto"/>
        <w:tabs>
          <w:tab w:leader="none" w:pos="44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Policy Owner must accelerate at least $20,000, but not more than the lesser of $250,000 and 50% of the Face Amount.</w:t>
      </w:r>
    </w:p>
    <w:p>
      <w:pPr>
        <w:spacing w:after="0" w:line="53" w:lineRule="exact"/>
        <w:rPr>
          <w:rFonts w:ascii="Times New Roman" w:cs="Times New Roman" w:eastAsia="Times New Roman" w:hAnsi="Times New Roman"/>
          <w:sz w:val="14"/>
          <w:szCs w:val="14"/>
          <w:color w:val="auto"/>
        </w:rPr>
      </w:pPr>
    </w:p>
    <w:p>
      <w:pPr>
        <w:ind w:left="440" w:right="2999" w:hanging="171"/>
        <w:spacing w:after="0" w:line="267" w:lineRule="auto"/>
        <w:tabs>
          <w:tab w:leader="none" w:pos="44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request for the Accelerated Death Benefit may only occur once and is subject to eligibility conditions, described below.</w:t>
      </w:r>
    </w:p>
    <w:p>
      <w:pPr>
        <w:spacing w:after="0" w:line="53" w:lineRule="exact"/>
        <w:rPr>
          <w:rFonts w:ascii="Times New Roman" w:cs="Times New Roman" w:eastAsia="Times New Roman" w:hAnsi="Times New Roman"/>
          <w:sz w:val="14"/>
          <w:szCs w:val="14"/>
          <w:color w:val="auto"/>
        </w:rPr>
      </w:pPr>
    </w:p>
    <w:p>
      <w:pPr>
        <w:jc w:val="both"/>
        <w:ind w:left="440" w:right="2999" w:hanging="171"/>
        <w:spacing w:after="0" w:line="256" w:lineRule="auto"/>
        <w:tabs>
          <w:tab w:leader="none" w:pos="44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Your Policy is not eligible for the Accelerated Death Benefit if you are required by law to use the Policy to meet the claims of creditors, whether in bankruptcy or otherwise, or you are required by a government agency to use the Policy to apply for, obtain, or keep a government benefit or entitlement.</w:t>
      </w:r>
    </w:p>
    <w:p>
      <w:pPr>
        <w:spacing w:after="0" w:line="6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Your right to an Accelerated Death Benefit payment is subject to the following eligibility conditions:</w:t>
      </w:r>
    </w:p>
    <w:p>
      <w:pPr>
        <w:spacing w:after="0" w:line="86" w:lineRule="exact"/>
        <w:rPr>
          <w:sz w:val="20"/>
          <w:szCs w:val="20"/>
          <w:color w:val="auto"/>
        </w:rPr>
      </w:pPr>
    </w:p>
    <w:p>
      <w:pPr>
        <w:jc w:val="both"/>
        <w:ind w:left="440" w:right="2999" w:hanging="171"/>
        <w:spacing w:after="0" w:line="251" w:lineRule="auto"/>
        <w:tabs>
          <w:tab w:leader="none" w:pos="44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You must provide Notice to us that the Insured has a medical condition, certified by a physician within the last 12 months, as being reasonably expected to result in the death of the Insured within 12 months from the date of certification (a “Terminal Illness”). The physician who provides the Terminal Illness certification may not be you, the Insured, or a member of the Insured’s or Owner’s family. We have the right to have the Insured examined at our expense by a physician we choose.</w:t>
      </w:r>
    </w:p>
    <w:p>
      <w:pPr>
        <w:spacing w:after="0" w:line="63" w:lineRule="exact"/>
        <w:rPr>
          <w:rFonts w:ascii="Times New Roman" w:cs="Times New Roman" w:eastAsia="Times New Roman" w:hAnsi="Times New Roman"/>
          <w:sz w:val="14"/>
          <w:szCs w:val="14"/>
          <w:color w:val="auto"/>
        </w:rPr>
      </w:pPr>
    </w:p>
    <w:p>
      <w:pPr>
        <w:ind w:left="440" w:hanging="171"/>
        <w:spacing w:after="0"/>
        <w:tabs>
          <w:tab w:leader="none" w:pos="44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irrevocable beneficiary must give consent in writing for the Accelerated Death Benefit payment.</w:t>
      </w:r>
    </w:p>
    <w:p>
      <w:pPr>
        <w:spacing w:after="0" w:line="85" w:lineRule="exact"/>
        <w:rPr>
          <w:rFonts w:ascii="Times New Roman" w:cs="Times New Roman" w:eastAsia="Times New Roman" w:hAnsi="Times New Roman"/>
          <w:sz w:val="14"/>
          <w:szCs w:val="14"/>
          <w:color w:val="auto"/>
        </w:rPr>
      </w:pPr>
    </w:p>
    <w:p>
      <w:pPr>
        <w:ind w:left="440" w:hanging="171"/>
        <w:spacing w:after="0"/>
        <w:tabs>
          <w:tab w:leader="none" w:pos="44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assignee must give consent in writing for the Accelerated Death Benefit payment.</w:t>
      </w:r>
    </w:p>
    <w:p>
      <w:pPr>
        <w:spacing w:after="0" w:line="86" w:lineRule="exact"/>
        <w:rPr>
          <w:sz w:val="20"/>
          <w:szCs w:val="20"/>
          <w:color w:val="auto"/>
        </w:rPr>
      </w:pPr>
    </w:p>
    <w:p>
      <w:pPr>
        <w:jc w:val="both"/>
        <w:ind w:right="2939" w:firstLine="274"/>
        <w:spacing w:after="0" w:line="248" w:lineRule="auto"/>
        <w:rPr>
          <w:sz w:val="20"/>
          <w:szCs w:val="20"/>
          <w:color w:val="auto"/>
        </w:rPr>
      </w:pPr>
      <w:r>
        <w:rPr>
          <w:rFonts w:ascii="Times New Roman" w:cs="Times New Roman" w:eastAsia="Times New Roman" w:hAnsi="Times New Roman"/>
          <w:sz w:val="14"/>
          <w:szCs w:val="14"/>
          <w:color w:val="auto"/>
        </w:rPr>
        <w:t>The Accelerated Death Benefit payment is equal to the Accelerated Death Benefit amount less any amount we apply to repay any Policy Loan Balance. However, we will only apply an amount up to the Policy Loan Balance multiplied by the percentage of the death benefit that has been accelerated. An Accelerated Death Benefit payment will be paid upon receipt of due written proof that all eligibility conditions are met. The Accelerated Death Benefit payment will be paid to you in one lump sum. We will provide to you and any irrevocable beneficiary a disclosure statement showing the effect of the acceleration of the Policy’s values both when you first request, and upon payment of the Accelerated Death Benefit payment. If the Insured dies after the Owner elects to receive an Accelerated Death Benefit payment but before any such payment is made, the election shall be cancelled, and the Policy Proceeds will be paid.</w:t>
      </w:r>
    </w:p>
    <w:p>
      <w:pPr>
        <w:spacing w:after="0" w:line="66" w:lineRule="exact"/>
        <w:rPr>
          <w:sz w:val="20"/>
          <w:szCs w:val="20"/>
          <w:color w:val="auto"/>
        </w:rPr>
      </w:pPr>
    </w:p>
    <w:p>
      <w:pPr>
        <w:jc w:val="both"/>
        <w:ind w:right="2939" w:firstLine="274"/>
        <w:spacing w:after="0" w:line="252" w:lineRule="auto"/>
        <w:rPr>
          <w:sz w:val="20"/>
          <w:szCs w:val="20"/>
          <w:color w:val="auto"/>
        </w:rPr>
      </w:pPr>
      <w:r>
        <w:rPr>
          <w:rFonts w:ascii="Times New Roman" w:cs="Times New Roman" w:eastAsia="Times New Roman" w:hAnsi="Times New Roman"/>
          <w:sz w:val="14"/>
          <w:szCs w:val="14"/>
          <w:color w:val="auto"/>
        </w:rPr>
        <w:t>If you accelerate the death benefit, we will calculate your Accelerated Death Benefit amount and your Accelerated Death Benefit payment. We will apply the Policy Deduction Method and reduce the Fixed Account Cash Value and each Indexed Account Cash Value and Holding Account Cash Value by the portion of the Accelerated Death Benefit payment attributable to each account.</w:t>
      </w:r>
    </w:p>
    <w:p>
      <w:pPr>
        <w:spacing w:after="0" w:line="208"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4"/>
          <w:szCs w:val="14"/>
          <w:color w:val="auto"/>
        </w:rPr>
        <w:t>61</w:t>
      </w:r>
    </w:p>
    <w:p>
      <w:pPr>
        <w:sectPr>
          <w:pgSz w:w="11900" w:h="16838" w:orient="portrait"/>
          <w:cols w:equalWidth="0" w:num="1">
            <w:col w:w="9219"/>
          </w:cols>
          <w:pgMar w:left="1240" w:top="1079" w:right="1440" w:bottom="1440" w:gutter="0" w:footer="0" w:header="0"/>
        </w:sectPr>
      </w:pPr>
    </w:p>
    <w:bookmarkStart w:id="64" w:name="page65"/>
    <w:bookmarkEnd w:id="64"/>
    <w:p>
      <w:pPr>
        <w:jc w:val="both"/>
        <w:ind w:right="2939" w:firstLine="274"/>
        <w:spacing w:after="0" w:line="267"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422275</wp:posOffset>
            </wp:positionV>
            <wp:extent cx="719010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90105" cy="38735"/>
                    </a:xfrm>
                    <a:prstGeom prst="rect">
                      <a:avLst/>
                    </a:prstGeom>
                    <a:noFill/>
                  </pic:spPr>
                </pic:pic>
              </a:graphicData>
            </a:graphic>
          </wp:anchor>
        </w:drawing>
        <w:t>On the Policy Anniversary after acceleration of the death benefit, the Annual Deduction will be based on the reduced Cash Value and Face Amount.</w:t>
      </w:r>
    </w:p>
    <w:p>
      <w:pPr>
        <w:spacing w:after="0" w:line="60" w:lineRule="exact"/>
        <w:rPr>
          <w:sz w:val="20"/>
          <w:szCs w:val="20"/>
          <w:color w:val="auto"/>
        </w:rPr>
      </w:pPr>
    </w:p>
    <w:p>
      <w:pPr>
        <w:jc w:val="both"/>
        <w:ind w:right="2939" w:firstLine="274"/>
        <w:spacing w:after="0" w:line="248" w:lineRule="auto"/>
        <w:rPr>
          <w:sz w:val="20"/>
          <w:szCs w:val="20"/>
          <w:color w:val="auto"/>
        </w:rPr>
      </w:pPr>
      <w:r>
        <w:rPr>
          <w:rFonts w:ascii="Times New Roman" w:cs="Times New Roman" w:eastAsia="Times New Roman" w:hAnsi="Times New Roman"/>
          <w:sz w:val="14"/>
          <w:szCs w:val="14"/>
          <w:b w:val="1"/>
          <w:bCs w:val="1"/>
          <w:color w:val="auto"/>
        </w:rPr>
        <w:t>If you are allocated to an Indexed Account and accelerate the death benefit on any day other than a Policy Anniversary, the amount withdrawn for the Accelerated Death Benefit payment will reduce the current Segment Value for each Segment by the same percentage that the payment reduces the Interim Segment Value of such Segment. Accordingly, when negative Segment Index Performance has caused the Interim Segment Value to be less than the current Segment Value, the Accelerated Death Benefit payment may cause the current Segment Value to be reduced by a greater amount than the Interim Segment Value is reduced (i.e., more than dollar for dollar). On the other hand, when positive Segment Index Performance has caused the Interim Segment Value to be greater than the current Segment Value, the current Segment Value will be reduced by a lesser amount than the Interim Segment Value is reduced (i.e., less than dollar for dollar).</w:t>
      </w:r>
    </w:p>
    <w:p>
      <w:pPr>
        <w:spacing w:after="0" w:line="68" w:lineRule="exact"/>
        <w:rPr>
          <w:sz w:val="20"/>
          <w:szCs w:val="20"/>
          <w:color w:val="auto"/>
        </w:rPr>
      </w:pPr>
    </w:p>
    <w:p>
      <w:pPr>
        <w:jc w:val="both"/>
        <w:ind w:right="2939" w:firstLine="274"/>
        <w:spacing w:after="0" w:line="285" w:lineRule="auto"/>
        <w:rPr>
          <w:sz w:val="20"/>
          <w:szCs w:val="20"/>
          <w:color w:val="auto"/>
        </w:rPr>
      </w:pPr>
      <w:r>
        <w:rPr>
          <w:rFonts w:ascii="Times New Roman" w:cs="Times New Roman" w:eastAsia="Times New Roman" w:hAnsi="Times New Roman"/>
          <w:sz w:val="13"/>
          <w:szCs w:val="13"/>
          <w:color w:val="auto"/>
        </w:rPr>
        <w:t>For example, assume the Policy’s death benefit was $100,000 and the Cash Value was $25,000 at the time you elect to accelerate $20,000 (20% of the death benefit). The Policy’s death benefit would reduce by 20% to $80,000, and the Policy’s Cash Value would reduce in the same proportion as the death benefit (20%) to $20,000.</w:t>
      </w:r>
    </w:p>
    <w:p>
      <w:pPr>
        <w:spacing w:after="0" w:line="50" w:lineRule="exact"/>
        <w:rPr>
          <w:sz w:val="20"/>
          <w:szCs w:val="20"/>
          <w:color w:val="auto"/>
        </w:rPr>
      </w:pPr>
    </w:p>
    <w:p>
      <w:pPr>
        <w:ind w:left="260" w:right="3399"/>
        <w:spacing w:after="0" w:line="273" w:lineRule="auto"/>
        <w:rPr>
          <w:sz w:val="20"/>
          <w:szCs w:val="20"/>
          <w:color w:val="auto"/>
        </w:rPr>
      </w:pPr>
      <w:r>
        <w:rPr>
          <w:rFonts w:ascii="Times New Roman" w:cs="Times New Roman" w:eastAsia="Times New Roman" w:hAnsi="Times New Roman"/>
          <w:sz w:val="14"/>
          <w:szCs w:val="14"/>
          <w:b w:val="1"/>
          <w:bCs w:val="1"/>
          <w:color w:val="auto"/>
        </w:rPr>
        <w:t>Note: If you exercise the Accelerated Death Benefit, Distribution Payments under the GDR will terminate.</w:t>
      </w:r>
    </w:p>
    <w:p>
      <w:pPr>
        <w:spacing w:after="0" w:line="220"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4"/>
          <w:szCs w:val="14"/>
          <w:b w:val="1"/>
          <w:bCs w:val="1"/>
          <w:color w:val="auto"/>
        </w:rPr>
        <w:t>GRACE PERIOD AND REINSTATEMENT</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Grace Period</w:t>
      </w:r>
    </w:p>
    <w:p>
      <w:pPr>
        <w:spacing w:after="0" w:line="100" w:lineRule="exact"/>
        <w:rPr>
          <w:sz w:val="20"/>
          <w:szCs w:val="20"/>
          <w:color w:val="auto"/>
        </w:rPr>
      </w:pPr>
    </w:p>
    <w:p>
      <w:pPr>
        <w:jc w:val="both"/>
        <w:ind w:right="2939" w:firstLine="274"/>
        <w:spacing w:after="0" w:line="271" w:lineRule="auto"/>
        <w:rPr>
          <w:sz w:val="20"/>
          <w:szCs w:val="20"/>
          <w:color w:val="auto"/>
        </w:rPr>
      </w:pPr>
      <w:r>
        <w:rPr>
          <w:rFonts w:ascii="Times New Roman" w:cs="Times New Roman" w:eastAsia="Times New Roman" w:hAnsi="Times New Roman"/>
          <w:sz w:val="13"/>
          <w:szCs w:val="13"/>
          <w:color w:val="auto"/>
        </w:rPr>
        <w:t>If, on a monthly anniversary date, the Cash Value is less than the outstanding Policy Loan Balance, plus any Annual Deduction due, plus any Surrender charge, we will give you a 62-day period called the “Grace Period” to allow you to pay an amount sufficient to keep your Policy from lapsing. The required amount is called the “Amount Due”. At the start of the Grace Period, we will send you a notification of the Amount Due. We will send this notification to your last known address, to the address of any other person you have designated to receive notification as a protection against unintentional lapse, and to that of any assignee on record. If we do not receive the Amount Due by the end of the Grace Period, the Policy will lapse, and it will terminate without value.</w:t>
      </w:r>
    </w:p>
    <w:p>
      <w:pPr>
        <w:spacing w:after="0" w:line="63" w:lineRule="exact"/>
        <w:rPr>
          <w:sz w:val="20"/>
          <w:szCs w:val="20"/>
          <w:color w:val="auto"/>
        </w:rPr>
      </w:pPr>
    </w:p>
    <w:p>
      <w:pPr>
        <w:jc w:val="both"/>
        <w:ind w:right="2939" w:firstLine="274"/>
        <w:spacing w:after="0" w:line="267" w:lineRule="auto"/>
        <w:rPr>
          <w:sz w:val="20"/>
          <w:szCs w:val="20"/>
          <w:color w:val="auto"/>
        </w:rPr>
      </w:pPr>
      <w:r>
        <w:rPr>
          <w:rFonts w:ascii="Times New Roman" w:cs="Times New Roman" w:eastAsia="Times New Roman" w:hAnsi="Times New Roman"/>
          <w:sz w:val="14"/>
          <w:szCs w:val="14"/>
          <w:color w:val="auto"/>
        </w:rPr>
        <w:t>If the Insured dies during the Grace Period, any unpaid Annual Deduction due to the date of death will be deducted from the Policy Proceeds.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Reinstating Your Policy after a Lapse</w:t>
      </w:r>
    </w:p>
    <w:p>
      <w:pPr>
        <w:spacing w:after="0" w:line="10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color w:val="auto"/>
        </w:rPr>
        <w:t>If the Policy has lapsed, you may reinstate your Policy within three years from the date of lapse and prior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Attained Age. This is called a “Reinstatement”. To reinstate, you must submit a request and the following:</w:t>
      </w:r>
    </w:p>
    <w:p>
      <w:pPr>
        <w:spacing w:after="0" w:line="85" w:lineRule="exact"/>
        <w:rPr>
          <w:sz w:val="20"/>
          <w:szCs w:val="20"/>
          <w:color w:val="auto"/>
        </w:rPr>
      </w:pPr>
    </w:p>
    <w:p>
      <w:pPr>
        <w:ind w:left="540" w:hanging="271"/>
        <w:spacing w:after="0"/>
        <w:tabs>
          <w:tab w:leader="none" w:pos="54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Proof that the Insured is insurable by our standards.</w:t>
      </w:r>
    </w:p>
    <w:p>
      <w:pPr>
        <w:spacing w:after="0" w:line="85" w:lineRule="exact"/>
        <w:rPr>
          <w:rFonts w:ascii="Times New Roman" w:cs="Times New Roman" w:eastAsia="Times New Roman" w:hAnsi="Times New Roman"/>
          <w:sz w:val="14"/>
          <w:szCs w:val="14"/>
          <w:color w:val="auto"/>
        </w:rPr>
      </w:pPr>
    </w:p>
    <w:p>
      <w:pPr>
        <w:ind w:left="540" w:hanging="271"/>
        <w:spacing w:after="0"/>
        <w:tabs>
          <w:tab w:leader="none" w:pos="54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Payment of any Policy Loan Balance that was outstanding on the date of lapse.</w:t>
      </w:r>
    </w:p>
    <w:p>
      <w:pPr>
        <w:spacing w:after="0" w:line="96" w:lineRule="exact"/>
        <w:rPr>
          <w:rFonts w:ascii="Times New Roman" w:cs="Times New Roman" w:eastAsia="Times New Roman" w:hAnsi="Times New Roman"/>
          <w:sz w:val="14"/>
          <w:szCs w:val="14"/>
          <w:color w:val="auto"/>
        </w:rPr>
      </w:pPr>
    </w:p>
    <w:p>
      <w:pPr>
        <w:ind w:left="540" w:hanging="271"/>
        <w:spacing w:after="0"/>
        <w:tabs>
          <w:tab w:leader="none" w:pos="54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Payment of any Annual Deduction due and not paid at the time of lapse.</w:t>
      </w:r>
    </w:p>
    <w:p>
      <w:pPr>
        <w:spacing w:after="0" w:line="96" w:lineRule="exact"/>
        <w:rPr>
          <w:rFonts w:ascii="Times New Roman" w:cs="Times New Roman" w:eastAsia="Times New Roman" w:hAnsi="Times New Roman"/>
          <w:sz w:val="14"/>
          <w:szCs w:val="14"/>
          <w:color w:val="auto"/>
        </w:rPr>
      </w:pPr>
    </w:p>
    <w:p>
      <w:pPr>
        <w:ind w:left="540" w:hanging="271"/>
        <w:spacing w:after="0"/>
        <w:tabs>
          <w:tab w:leader="none" w:pos="54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Payment of any Surrender charge imposed at the time of lapse and not paid.</w:t>
      </w:r>
    </w:p>
    <w:p>
      <w:pPr>
        <w:spacing w:after="0" w:line="85" w:lineRule="exact"/>
        <w:rPr>
          <w:rFonts w:ascii="Times New Roman" w:cs="Times New Roman" w:eastAsia="Times New Roman" w:hAnsi="Times New Roman"/>
          <w:sz w:val="14"/>
          <w:szCs w:val="14"/>
          <w:color w:val="auto"/>
        </w:rPr>
      </w:pPr>
    </w:p>
    <w:p>
      <w:pPr>
        <w:ind w:left="540" w:right="2999" w:hanging="271"/>
        <w:spacing w:after="0" w:line="267" w:lineRule="auto"/>
        <w:tabs>
          <w:tab w:leader="none" w:pos="54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Reinstatement occurs on a date other than a Policy Anniversary, payment of a portion of the Annual Deduction for the year of Reinstatement.</w:t>
      </w:r>
    </w:p>
    <w:p>
      <w:pPr>
        <w:spacing w:after="0" w:line="53" w:lineRule="exact"/>
        <w:rPr>
          <w:sz w:val="20"/>
          <w:szCs w:val="20"/>
          <w:color w:val="auto"/>
        </w:rPr>
      </w:pPr>
    </w:p>
    <w:p>
      <w:pPr>
        <w:jc w:val="both"/>
        <w:ind w:right="2939" w:firstLine="274"/>
        <w:spacing w:after="0" w:line="285" w:lineRule="auto"/>
        <w:rPr>
          <w:sz w:val="20"/>
          <w:szCs w:val="20"/>
          <w:color w:val="auto"/>
        </w:rPr>
      </w:pPr>
      <w:r>
        <w:rPr>
          <w:rFonts w:ascii="Times New Roman" w:cs="Times New Roman" w:eastAsia="Times New Roman" w:hAnsi="Times New Roman"/>
          <w:sz w:val="13"/>
          <w:szCs w:val="13"/>
          <w:color w:val="auto"/>
        </w:rPr>
        <w:t>If the Insured is alive on the date we approve the request for Reinstatement, the Policy will be in force from the monthly anniversary date following the date all Reinstatement requirements are met. If the Insured is not alive on the date we approve the request for Reinstatement, such approval is void and the Policy will remain lapsed.</w:t>
      </w:r>
    </w:p>
    <w:p>
      <w:pPr>
        <w:spacing w:after="0" w:line="43" w:lineRule="exact"/>
        <w:rPr>
          <w:sz w:val="20"/>
          <w:szCs w:val="20"/>
          <w:color w:val="auto"/>
        </w:rPr>
      </w:pPr>
    </w:p>
    <w:p>
      <w:pPr>
        <w:jc w:val="both"/>
        <w:ind w:right="2939" w:firstLine="274"/>
        <w:spacing w:after="0" w:line="252" w:lineRule="auto"/>
        <w:rPr>
          <w:sz w:val="20"/>
          <w:szCs w:val="20"/>
          <w:color w:val="auto"/>
        </w:rPr>
      </w:pPr>
      <w:r>
        <w:rPr>
          <w:rFonts w:ascii="Times New Roman" w:cs="Times New Roman" w:eastAsia="Times New Roman" w:hAnsi="Times New Roman"/>
          <w:sz w:val="14"/>
          <w:szCs w:val="14"/>
          <w:color w:val="auto"/>
        </w:rPr>
        <w:t>Any Cash Value at the time of Reinstatement will be allocated to the Fixed Account and it will include any Surrender charge taken at the time of lapse. If you provide us new instructions to allocate your Cash Value to the Indexed Accounts, the Cash Value will remain in the Fixed Account until the next Policy Anniversary when we transfer the Fixed Account Cash Value to the Indexed Accounts according to your allocation instructions.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Continuation of Insurance after Premium Payments Stop</w:t>
      </w:r>
    </w:p>
    <w:p>
      <w:pPr>
        <w:spacing w:after="0" w:line="90" w:lineRule="exact"/>
        <w:rPr>
          <w:sz w:val="20"/>
          <w:szCs w:val="20"/>
          <w:color w:val="auto"/>
        </w:rPr>
      </w:pPr>
    </w:p>
    <w:p>
      <w:pPr>
        <w:jc w:val="both"/>
        <w:ind w:right="2939" w:firstLine="274"/>
        <w:spacing w:after="0" w:line="256" w:lineRule="auto"/>
        <w:rPr>
          <w:sz w:val="20"/>
          <w:szCs w:val="20"/>
          <w:color w:val="auto"/>
        </w:rPr>
      </w:pPr>
      <w:r>
        <w:rPr>
          <w:rFonts w:ascii="Times New Roman" w:cs="Times New Roman" w:eastAsia="Times New Roman" w:hAnsi="Times New Roman"/>
          <w:sz w:val="14"/>
          <w:szCs w:val="14"/>
          <w:color w:val="auto"/>
        </w:rPr>
        <w:t>If the GDR not in force and you stop making premium payments, the insurance provided under the Policy will continue in accordance with the provisions of the Policy for as long as the Cash Value is large enough to cover any Policy Loan Balance, the Annual Deduction, and any Surrender charge.</w:t>
      </w:r>
    </w:p>
    <w:p>
      <w:pPr>
        <w:spacing w:after="0" w:line="205"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4"/>
          <w:szCs w:val="14"/>
          <w:color w:val="auto"/>
        </w:rPr>
        <w:t>62</w:t>
      </w:r>
    </w:p>
    <w:p>
      <w:pPr>
        <w:sectPr>
          <w:pgSz w:w="11900" w:h="16838" w:orient="portrait"/>
          <w:cols w:equalWidth="0" w:num="1">
            <w:col w:w="9219"/>
          </w:cols>
          <w:pgMar w:left="1240" w:top="1083" w:right="1440" w:bottom="1440" w:gutter="0" w:footer="0" w:header="0"/>
        </w:sectPr>
      </w:pPr>
    </w:p>
    <w:bookmarkStart w:id="65" w:name="page66"/>
    <w:bookmarkEnd w:id="65"/>
    <w:p>
      <w:pPr>
        <w:jc w:val="both"/>
        <w:ind w:right="2939" w:firstLine="274"/>
        <w:spacing w:after="0" w:line="256"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422275</wp:posOffset>
            </wp:positionV>
            <wp:extent cx="719010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90105" cy="38735"/>
                    </a:xfrm>
                    <a:prstGeom prst="rect">
                      <a:avLst/>
                    </a:prstGeom>
                    <a:noFill/>
                  </pic:spPr>
                </pic:pic>
              </a:graphicData>
            </a:graphic>
          </wp:anchor>
        </w:drawing>
        <w:t>If the GDR is in force and you stop paying the Annual Lapse Prevention Premiums when due, the GDR will terminate; however, the Policy may continue as long as the Cash Value is large enough to cover any Policy Loan Balance, the Annual Deduction, and any Surrender charge.</w:t>
      </w:r>
    </w:p>
    <w:p>
      <w:pPr>
        <w:spacing w:after="0" w:line="232" w:lineRule="exact"/>
        <w:rPr>
          <w:sz w:val="20"/>
          <w:szCs w:val="20"/>
          <w:color w:val="auto"/>
        </w:rPr>
      </w:pPr>
    </w:p>
    <w:p>
      <w:pPr>
        <w:jc w:val="right"/>
        <w:ind w:right="5739"/>
        <w:spacing w:after="0"/>
        <w:rPr>
          <w:sz w:val="20"/>
          <w:szCs w:val="20"/>
          <w:color w:val="auto"/>
        </w:rPr>
      </w:pPr>
      <w:r>
        <w:rPr>
          <w:rFonts w:ascii="Times New Roman" w:cs="Times New Roman" w:eastAsia="Times New Roman" w:hAnsi="Times New Roman"/>
          <w:sz w:val="14"/>
          <w:szCs w:val="14"/>
          <w:b w:val="1"/>
          <w:bCs w:val="1"/>
          <w:color w:val="auto"/>
        </w:rPr>
        <w:t>CHARGES</w:t>
      </w:r>
    </w:p>
    <w:p>
      <w:pPr>
        <w:spacing w:after="0" w:line="90" w:lineRule="exact"/>
        <w:rPr>
          <w:sz w:val="20"/>
          <w:szCs w:val="20"/>
          <w:color w:val="auto"/>
        </w:rPr>
      </w:pPr>
    </w:p>
    <w:p>
      <w:pPr>
        <w:jc w:val="right"/>
        <w:ind w:right="5759"/>
        <w:spacing w:after="0"/>
        <w:rPr>
          <w:sz w:val="20"/>
          <w:szCs w:val="20"/>
          <w:color w:val="auto"/>
        </w:rPr>
      </w:pPr>
      <w:r>
        <w:rPr>
          <w:rFonts w:ascii="Times New Roman" w:cs="Times New Roman" w:eastAsia="Times New Roman" w:hAnsi="Times New Roman"/>
          <w:sz w:val="14"/>
          <w:szCs w:val="14"/>
          <w:color w:val="auto"/>
        </w:rPr>
        <w:t>We make certain charges and deductions under the Policy.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Percent of Premium Charge</w:t>
      </w:r>
    </w:p>
    <w:p>
      <w:pPr>
        <w:spacing w:after="0" w:line="100" w:lineRule="exact"/>
        <w:rPr>
          <w:sz w:val="20"/>
          <w:szCs w:val="20"/>
          <w:color w:val="auto"/>
        </w:rPr>
      </w:pPr>
    </w:p>
    <w:p>
      <w:pPr>
        <w:jc w:val="both"/>
        <w:ind w:right="2939" w:firstLine="274"/>
        <w:spacing w:after="0" w:line="252" w:lineRule="auto"/>
        <w:rPr>
          <w:sz w:val="20"/>
          <w:szCs w:val="20"/>
          <w:color w:val="auto"/>
        </w:rPr>
      </w:pPr>
      <w:r>
        <w:rPr>
          <w:rFonts w:ascii="Times New Roman" w:cs="Times New Roman" w:eastAsia="Times New Roman" w:hAnsi="Times New Roman"/>
          <w:sz w:val="14"/>
          <w:szCs w:val="14"/>
          <w:color w:val="auto"/>
        </w:rPr>
        <w:t>We deduct a 10% Percent of Premium Charge from each premium payment. We impose this charge to reimburse us generally for policy sale expenses, distribution expenses, and administrative expenses (such as those related to premium tax and certain other state filings), and to cover federal income tax liability related to premiums.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Annual Deduction</w:t>
      </w:r>
    </w:p>
    <w:p>
      <w:pPr>
        <w:spacing w:after="0" w:line="90" w:lineRule="exact"/>
        <w:rPr>
          <w:sz w:val="20"/>
          <w:szCs w:val="20"/>
          <w:color w:val="auto"/>
        </w:rPr>
      </w:pPr>
    </w:p>
    <w:p>
      <w:pPr>
        <w:jc w:val="both"/>
        <w:ind w:right="2939" w:firstLine="274"/>
        <w:spacing w:after="0" w:line="256" w:lineRule="auto"/>
        <w:rPr>
          <w:sz w:val="20"/>
          <w:szCs w:val="20"/>
          <w:color w:val="auto"/>
        </w:rPr>
      </w:pPr>
      <w:r>
        <w:rPr>
          <w:rFonts w:ascii="Times New Roman" w:cs="Times New Roman" w:eastAsia="Times New Roman" w:hAnsi="Times New Roman"/>
          <w:sz w:val="14"/>
          <w:szCs w:val="14"/>
          <w:color w:val="auto"/>
        </w:rPr>
        <w:t>On the Policy Start Date and each Policy Anniversary thereafter, we deduct charges from your Policy’s Cash Value. Policy Deduction are taken proportionally from the Fixed Account, Holding Accounts, and Indexed Accounts. The sum of these charges is called the “Annual Deduction” and equals:</w:t>
      </w:r>
    </w:p>
    <w:p>
      <w:pPr>
        <w:spacing w:after="0" w:line="61" w:lineRule="exact"/>
        <w:rPr>
          <w:sz w:val="20"/>
          <w:szCs w:val="20"/>
          <w:color w:val="auto"/>
        </w:rPr>
      </w:pPr>
    </w:p>
    <w:p>
      <w:pPr>
        <w:ind w:left="540" w:hanging="271"/>
        <w:spacing w:after="0"/>
        <w:tabs>
          <w:tab w:leader="none" w:pos="54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GDR Charge; plus</w:t>
      </w:r>
    </w:p>
    <w:p>
      <w:pPr>
        <w:spacing w:after="0" w:line="85" w:lineRule="exact"/>
        <w:rPr>
          <w:rFonts w:ascii="Times New Roman" w:cs="Times New Roman" w:eastAsia="Times New Roman" w:hAnsi="Times New Roman"/>
          <w:sz w:val="14"/>
          <w:szCs w:val="14"/>
          <w:color w:val="auto"/>
        </w:rPr>
      </w:pPr>
    </w:p>
    <w:p>
      <w:pPr>
        <w:ind w:left="540" w:hanging="271"/>
        <w:spacing w:after="0"/>
        <w:tabs>
          <w:tab w:leader="none" w:pos="54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Annual Administrative Charge; plus</w:t>
      </w:r>
    </w:p>
    <w:p>
      <w:pPr>
        <w:spacing w:after="0" w:line="85" w:lineRule="exact"/>
        <w:rPr>
          <w:rFonts w:ascii="Times New Roman" w:cs="Times New Roman" w:eastAsia="Times New Roman" w:hAnsi="Times New Roman"/>
          <w:sz w:val="14"/>
          <w:szCs w:val="14"/>
          <w:color w:val="auto"/>
        </w:rPr>
      </w:pPr>
    </w:p>
    <w:p>
      <w:pPr>
        <w:ind w:left="540" w:hanging="271"/>
        <w:spacing w:after="0"/>
        <w:tabs>
          <w:tab w:leader="none" w:pos="54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Annual Indexed Account Charge; plus</w:t>
      </w:r>
    </w:p>
    <w:p>
      <w:pPr>
        <w:spacing w:after="0" w:line="85" w:lineRule="exact"/>
        <w:rPr>
          <w:rFonts w:ascii="Times New Roman" w:cs="Times New Roman" w:eastAsia="Times New Roman" w:hAnsi="Times New Roman"/>
          <w:sz w:val="14"/>
          <w:szCs w:val="14"/>
          <w:color w:val="auto"/>
        </w:rPr>
      </w:pPr>
    </w:p>
    <w:p>
      <w:pPr>
        <w:ind w:left="540" w:hanging="271"/>
        <w:spacing w:after="0"/>
        <w:tabs>
          <w:tab w:leader="none" w:pos="54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Annual Cost of Insurance Charge.</w:t>
      </w:r>
    </w:p>
    <w:p>
      <w:pPr>
        <w:spacing w:after="0" w:line="86" w:lineRule="exact"/>
        <w:rPr>
          <w:sz w:val="20"/>
          <w:szCs w:val="20"/>
          <w:color w:val="auto"/>
        </w:rPr>
      </w:pPr>
    </w:p>
    <w:p>
      <w:pPr>
        <w:jc w:val="both"/>
        <w:ind w:right="2939" w:firstLine="274"/>
        <w:spacing w:after="0" w:line="256" w:lineRule="auto"/>
        <w:rPr>
          <w:sz w:val="20"/>
          <w:szCs w:val="20"/>
          <w:color w:val="auto"/>
        </w:rPr>
      </w:pPr>
      <w:r>
        <w:rPr>
          <w:rFonts w:ascii="Times New Roman" w:cs="Times New Roman" w:eastAsia="Times New Roman" w:hAnsi="Times New Roman"/>
          <w:sz w:val="14"/>
          <w:szCs w:val="14"/>
          <w:color w:val="auto"/>
        </w:rPr>
        <w:t>The Annual Deduction for a Policy Year will be taken according to the Policy Deduction Method. We will not take any Annual Deductions from your Policy’s Cash Value on or after Attained Age 121. However, Loan Interest will be charged on any loan.</w:t>
      </w:r>
    </w:p>
    <w:p>
      <w:pPr>
        <w:spacing w:after="0" w:line="57" w:lineRule="exact"/>
        <w:rPr>
          <w:sz w:val="20"/>
          <w:szCs w:val="20"/>
          <w:color w:val="auto"/>
        </w:rPr>
      </w:pPr>
    </w:p>
    <w:p>
      <w:pPr>
        <w:jc w:val="both"/>
        <w:ind w:right="2939" w:firstLine="274"/>
        <w:spacing w:after="0" w:line="273" w:lineRule="auto"/>
        <w:rPr>
          <w:sz w:val="20"/>
          <w:szCs w:val="20"/>
          <w:color w:val="auto"/>
        </w:rPr>
      </w:pPr>
      <w:r>
        <w:rPr>
          <w:rFonts w:ascii="Times New Roman" w:cs="Times New Roman" w:eastAsia="Times New Roman" w:hAnsi="Times New Roman"/>
          <w:sz w:val="14"/>
          <w:szCs w:val="14"/>
          <w:i w:val="1"/>
          <w:iCs w:val="1"/>
          <w:color w:val="auto"/>
        </w:rPr>
        <w:t xml:space="preserve">GDR Charge. </w:t>
      </w:r>
      <w:r>
        <w:rPr>
          <w:rFonts w:ascii="Times New Roman" w:cs="Times New Roman" w:eastAsia="Times New Roman" w:hAnsi="Times New Roman"/>
          <w:sz w:val="14"/>
          <w:szCs w:val="14"/>
          <w:color w:val="auto"/>
        </w:rPr>
        <w:t>See the “GDR Charge” section under the “GUARANTEED DISTRIBUTION RIDER section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for a detailed explanation of the GDR Charge.</w:t>
      </w:r>
    </w:p>
    <w:p>
      <w:pPr>
        <w:spacing w:after="0" w:line="45" w:lineRule="exact"/>
        <w:rPr>
          <w:sz w:val="20"/>
          <w:szCs w:val="20"/>
          <w:color w:val="auto"/>
        </w:rPr>
      </w:pPr>
    </w:p>
    <w:p>
      <w:pPr>
        <w:jc w:val="both"/>
        <w:ind w:right="2939" w:firstLine="274"/>
        <w:spacing w:after="0" w:line="250" w:lineRule="auto"/>
        <w:rPr>
          <w:sz w:val="20"/>
          <w:szCs w:val="20"/>
          <w:color w:val="auto"/>
        </w:rPr>
      </w:pPr>
      <w:r>
        <w:rPr>
          <w:rFonts w:ascii="Times New Roman" w:cs="Times New Roman" w:eastAsia="Times New Roman" w:hAnsi="Times New Roman"/>
          <w:sz w:val="14"/>
          <w:szCs w:val="14"/>
          <w:i w:val="1"/>
          <w:iCs w:val="1"/>
          <w:color w:val="auto"/>
        </w:rPr>
        <w:t xml:space="preserve">Annual Administrative Charge. </w:t>
      </w:r>
      <w:r>
        <w:rPr>
          <w:rFonts w:ascii="Times New Roman" w:cs="Times New Roman" w:eastAsia="Times New Roman" w:hAnsi="Times New Roman"/>
          <w:sz w:val="14"/>
          <w:szCs w:val="14"/>
          <w:color w:val="auto"/>
        </w:rPr>
        <w:t>An Annual Administrative Charge will be assessed on your Policy. This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charge compensates us generally for the costs of underwriting, issuing (including sales commissions), and administering the Policy. The charge equals: the Face Amount at the beginning of the Policy Year; times the applicable Annual Administrative Charge rate for that Policy Year divided by 1,000. The maximum Annual Administrative Charge rate is shown on the Policy specifications pages and ranges from $0.31 to $0.65 per $1,000 of Face Amount. The actual Annual Administrative Charge rate we use may be lower than the maximum Annual Administrative Charge rate shown on the Policy Specifications pages.</w:t>
      </w:r>
    </w:p>
    <w:p>
      <w:pPr>
        <w:spacing w:after="0" w:line="64" w:lineRule="exact"/>
        <w:rPr>
          <w:sz w:val="20"/>
          <w:szCs w:val="20"/>
          <w:color w:val="auto"/>
        </w:rPr>
      </w:pPr>
    </w:p>
    <w:p>
      <w:pPr>
        <w:jc w:val="both"/>
        <w:ind w:right="2939" w:firstLine="274"/>
        <w:spacing w:after="0" w:line="256" w:lineRule="auto"/>
        <w:rPr>
          <w:sz w:val="20"/>
          <w:szCs w:val="20"/>
          <w:color w:val="auto"/>
        </w:rPr>
      </w:pPr>
      <w:r>
        <w:rPr>
          <w:rFonts w:ascii="Times New Roman" w:cs="Times New Roman" w:eastAsia="Times New Roman" w:hAnsi="Times New Roman"/>
          <w:sz w:val="14"/>
          <w:szCs w:val="14"/>
          <w:color w:val="auto"/>
        </w:rPr>
        <w:t>The Annual Administrative Charge varies based on individual characteristics, including the Insured’s age, risk class, and (except for unisex Policies) sex. You can obtain more information about the Administrative Charge that would apply to a particular Insured by contacting your registered representative.</w:t>
      </w:r>
    </w:p>
    <w:p>
      <w:pPr>
        <w:spacing w:after="0" w:line="57" w:lineRule="exact"/>
        <w:rPr>
          <w:sz w:val="20"/>
          <w:szCs w:val="20"/>
          <w:color w:val="auto"/>
        </w:rPr>
      </w:pPr>
    </w:p>
    <w:p>
      <w:pPr>
        <w:jc w:val="both"/>
        <w:ind w:right="2939" w:firstLine="274"/>
        <w:spacing w:after="0" w:line="248" w:lineRule="auto"/>
        <w:rPr>
          <w:sz w:val="20"/>
          <w:szCs w:val="20"/>
          <w:color w:val="auto"/>
        </w:rPr>
      </w:pPr>
      <w:r>
        <w:rPr>
          <w:rFonts w:ascii="Times New Roman" w:cs="Times New Roman" w:eastAsia="Times New Roman" w:hAnsi="Times New Roman"/>
          <w:sz w:val="14"/>
          <w:szCs w:val="14"/>
          <w:i w:val="1"/>
          <w:iCs w:val="1"/>
          <w:color w:val="auto"/>
        </w:rPr>
        <w:t xml:space="preserve">Annual Indexed Account Charge. </w:t>
      </w:r>
      <w:r>
        <w:rPr>
          <w:rFonts w:ascii="Times New Roman" w:cs="Times New Roman" w:eastAsia="Times New Roman" w:hAnsi="Times New Roman"/>
          <w:sz w:val="14"/>
          <w:szCs w:val="14"/>
          <w:color w:val="auto"/>
        </w:rPr>
        <w:t>An Annual Indexed Account Charge will be assessed on your Policy if you</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allocate to one or more Indexed Accounts. This charge compensates us generally for the costs associated with offering the Indexed Accounts. The charge equals: the sum of your Policy’s Cash Value in each Indexed Account; times the applicable Annual Indexed Account Charge rate for the Policy Year. The Annual Indexed Account Charge rate will never exceed the maximum Annual Indexed Account Charge rate. The current Annual Indexed Account Charge rate is 0.2%, and the maximum Annual Indexed Account Charge rate is 0.5%. If you start receiving Distribution Payments and we transfer all your Cash Value from the Indexed Accounts and/or Holding Accounts to the Fixed Account, you will not be refunded any portion of the Annual Indexed Account Charge for that Policy Year.</w:t>
      </w:r>
    </w:p>
    <w:p>
      <w:pPr>
        <w:spacing w:after="0" w:line="66" w:lineRule="exact"/>
        <w:rPr>
          <w:sz w:val="20"/>
          <w:szCs w:val="20"/>
          <w:color w:val="auto"/>
        </w:rPr>
      </w:pPr>
    </w:p>
    <w:p>
      <w:pPr>
        <w:jc w:val="both"/>
        <w:ind w:right="2939" w:firstLine="274"/>
        <w:spacing w:after="0" w:line="250" w:lineRule="auto"/>
        <w:rPr>
          <w:sz w:val="20"/>
          <w:szCs w:val="20"/>
          <w:color w:val="auto"/>
        </w:rPr>
      </w:pPr>
      <w:r>
        <w:rPr>
          <w:rFonts w:ascii="Times New Roman" w:cs="Times New Roman" w:eastAsia="Times New Roman" w:hAnsi="Times New Roman"/>
          <w:sz w:val="14"/>
          <w:szCs w:val="14"/>
          <w:i w:val="1"/>
          <w:iCs w:val="1"/>
          <w:color w:val="auto"/>
        </w:rPr>
        <w:t xml:space="preserve">Annual Cost of Insurance Charge. </w:t>
      </w:r>
      <w:r>
        <w:rPr>
          <w:rFonts w:ascii="Times New Roman" w:cs="Times New Roman" w:eastAsia="Times New Roman" w:hAnsi="Times New Roman"/>
          <w:sz w:val="14"/>
          <w:szCs w:val="14"/>
          <w:color w:val="auto"/>
        </w:rPr>
        <w:t>An Annual Administrative Charge will be assessed on your Policy. This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charge compensates us generally for the costs of providing insurance coverage for the next Policy Year. The cost of insurance charge for a Policy Year is equal to the “net amount at risk” under the Policy, multiplied by the annual cost of insurance rate for that Policy Year, divided by 1,000. We determine the net amount at risk on the first day of the Policy Year. The net amount at risk is the difference between the death benefit (generally discounted at 1%) and the Policy’s Cash Value. The net amount at risk is affected by Segment Index Performance, loans, premium payments and charges.</w:t>
      </w:r>
    </w:p>
    <w:p>
      <w:pPr>
        <w:spacing w:after="0" w:line="6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guaranteed cost of insurance rates for a Policy depend on the Insured’s</w:t>
      </w:r>
    </w:p>
    <w:p>
      <w:pPr>
        <w:spacing w:after="0" w:line="86" w:lineRule="exact"/>
        <w:rPr>
          <w:sz w:val="20"/>
          <w:szCs w:val="20"/>
          <w:color w:val="auto"/>
        </w:rPr>
      </w:pPr>
    </w:p>
    <w:p>
      <w:pPr>
        <w:ind w:left="260"/>
        <w:spacing w:after="0"/>
        <w:tabs>
          <w:tab w:leader="none" w:pos="420" w:val="left"/>
        </w:tabs>
        <w:rPr>
          <w:sz w:val="20"/>
          <w:szCs w:val="20"/>
          <w:color w:val="auto"/>
        </w:rPr>
      </w:pP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3"/>
          <w:szCs w:val="13"/>
          <w:color w:val="auto"/>
        </w:rPr>
        <w:t>risk class</w:t>
      </w:r>
    </w:p>
    <w:p>
      <w:pPr>
        <w:spacing w:after="0" w:line="230"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4"/>
          <w:szCs w:val="14"/>
          <w:color w:val="auto"/>
        </w:rPr>
        <w:t>63</w:t>
      </w:r>
    </w:p>
    <w:p>
      <w:pPr>
        <w:sectPr>
          <w:pgSz w:w="11900" w:h="16838" w:orient="portrait"/>
          <w:cols w:equalWidth="0" w:num="1">
            <w:col w:w="9219"/>
          </w:cols>
          <w:pgMar w:left="1240" w:top="1083" w:right="1440" w:bottom="1440" w:gutter="0" w:footer="0" w:header="0"/>
        </w:sectPr>
      </w:pPr>
    </w:p>
    <w:bookmarkStart w:id="66" w:name="page67"/>
    <w:bookmarkEnd w:id="66"/>
    <w:p>
      <w:pPr>
        <w:ind w:left="440" w:hanging="171"/>
        <w:spacing w:after="0"/>
        <w:tabs>
          <w:tab w:leader="none" w:pos="44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422275</wp:posOffset>
            </wp:positionV>
            <wp:extent cx="719010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90105" cy="38735"/>
                    </a:xfrm>
                    <a:prstGeom prst="rect">
                      <a:avLst/>
                    </a:prstGeom>
                    <a:noFill/>
                  </pic:spPr>
                </pic:pic>
              </a:graphicData>
            </a:graphic>
          </wp:anchor>
        </w:drawing>
        <w:t>Attained Age</w:t>
      </w:r>
    </w:p>
    <w:p>
      <w:pPr>
        <w:spacing w:after="0" w:line="96" w:lineRule="exact"/>
        <w:rPr>
          <w:rFonts w:ascii="Times New Roman" w:cs="Times New Roman" w:eastAsia="Times New Roman" w:hAnsi="Times New Roman"/>
          <w:sz w:val="14"/>
          <w:szCs w:val="14"/>
          <w:color w:val="auto"/>
        </w:rPr>
      </w:pPr>
    </w:p>
    <w:p>
      <w:pPr>
        <w:ind w:left="440" w:hanging="171"/>
        <w:spacing w:after="0"/>
        <w:tabs>
          <w:tab w:leader="none" w:pos="44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sex (if the Policy is sex-based).</w:t>
      </w:r>
    </w:p>
    <w:p>
      <w:pPr>
        <w:spacing w:after="0" w:line="8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current cost of insurance rates will depend on the above factors, plus</w:t>
      </w:r>
    </w:p>
    <w:p>
      <w:pPr>
        <w:spacing w:after="0" w:line="86" w:lineRule="exact"/>
        <w:rPr>
          <w:sz w:val="20"/>
          <w:szCs w:val="20"/>
          <w:color w:val="auto"/>
        </w:rPr>
      </w:pPr>
    </w:p>
    <w:p>
      <w:pPr>
        <w:ind w:left="440" w:hanging="171"/>
        <w:spacing w:after="0"/>
        <w:tabs>
          <w:tab w:leader="none" w:pos="44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Insured’s Issue Age</w:t>
      </w:r>
    </w:p>
    <w:p>
      <w:pPr>
        <w:spacing w:after="0" w:line="96" w:lineRule="exact"/>
        <w:rPr>
          <w:rFonts w:ascii="Times New Roman" w:cs="Times New Roman" w:eastAsia="Times New Roman" w:hAnsi="Times New Roman"/>
          <w:sz w:val="14"/>
          <w:szCs w:val="14"/>
          <w:color w:val="auto"/>
        </w:rPr>
      </w:pPr>
    </w:p>
    <w:p>
      <w:pPr>
        <w:ind w:left="440" w:hanging="171"/>
        <w:spacing w:after="0"/>
        <w:tabs>
          <w:tab w:leader="none" w:pos="44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Policy Year</w:t>
      </w:r>
    </w:p>
    <w:p>
      <w:pPr>
        <w:spacing w:after="0" w:line="96" w:lineRule="exact"/>
        <w:rPr>
          <w:sz w:val="20"/>
          <w:szCs w:val="20"/>
          <w:color w:val="auto"/>
        </w:rPr>
      </w:pPr>
    </w:p>
    <w:p>
      <w:pPr>
        <w:jc w:val="both"/>
        <w:ind w:right="2939" w:firstLine="274"/>
        <w:spacing w:after="0" w:line="256" w:lineRule="auto"/>
        <w:rPr>
          <w:sz w:val="20"/>
          <w:szCs w:val="20"/>
          <w:color w:val="auto"/>
        </w:rPr>
      </w:pPr>
      <w:r>
        <w:rPr>
          <w:rFonts w:ascii="Times New Roman" w:cs="Times New Roman" w:eastAsia="Times New Roman" w:hAnsi="Times New Roman"/>
          <w:sz w:val="14"/>
          <w:szCs w:val="14"/>
          <w:color w:val="auto"/>
        </w:rPr>
        <w:t>We guarantee that the rates for underwritten Policies will not be higher than rates based on the 2017 Commissioners Standard Ordinary Mortality Tables (the “2017 CSO Tables”) with smoker/ nonsmoker modifications.</w:t>
      </w:r>
    </w:p>
    <w:p>
      <w:pPr>
        <w:spacing w:after="0" w:line="61" w:lineRule="exact"/>
        <w:rPr>
          <w:sz w:val="20"/>
          <w:szCs w:val="20"/>
          <w:color w:val="auto"/>
        </w:rPr>
      </w:pPr>
    </w:p>
    <w:p>
      <w:pPr>
        <w:jc w:val="both"/>
        <w:ind w:right="2939" w:firstLine="274"/>
        <w:spacing w:after="0" w:line="248" w:lineRule="auto"/>
        <w:rPr>
          <w:sz w:val="20"/>
          <w:szCs w:val="20"/>
          <w:color w:val="auto"/>
        </w:rPr>
      </w:pPr>
      <w:r>
        <w:rPr>
          <w:rFonts w:ascii="Times New Roman" w:cs="Times New Roman" w:eastAsia="Times New Roman" w:hAnsi="Times New Roman"/>
          <w:sz w:val="14"/>
          <w:szCs w:val="14"/>
          <w:color w:val="auto"/>
        </w:rPr>
        <w:t>The maximum Annual Cost of Insurance Charge rate is $0.74 to $1,000 per $1,000 net amount at risk, and the current Annual Cost of Insurance Charge rate is $0.20 to $489.60 per $1,000 of net amount at risk. The minimum charge rate shown, for both the maximum and current rates, is based on the most favorable risk class, youngest issue age and earliest Policy Year. The maximum charge rate shown is based on the least favorable risk class, oldest issue age and latest Policy Year. The actual rates we use may be lower than the maximum rates, depending on our expectations about our future mortality and expense experience, lapse rates, taxes and investment earnings. We review the adequacy of our cost of insurance rates and other non-guaranteed charges periodically and may adjust them. Any change will apply prospectively. The risk classes we use are nonsmoker and smoker.</w:t>
      </w:r>
    </w:p>
    <w:p>
      <w:pPr>
        <w:spacing w:after="0" w:line="66" w:lineRule="exact"/>
        <w:rPr>
          <w:sz w:val="20"/>
          <w:szCs w:val="20"/>
          <w:color w:val="auto"/>
        </w:rPr>
      </w:pPr>
    </w:p>
    <w:p>
      <w:pPr>
        <w:jc w:val="both"/>
        <w:ind w:right="2939" w:firstLine="274"/>
        <w:spacing w:after="0" w:line="252" w:lineRule="auto"/>
        <w:rPr>
          <w:sz w:val="20"/>
          <w:szCs w:val="20"/>
          <w:color w:val="auto"/>
        </w:rPr>
      </w:pPr>
      <w:r>
        <w:rPr>
          <w:rFonts w:ascii="Times New Roman" w:cs="Times New Roman" w:eastAsia="Times New Roman" w:hAnsi="Times New Roman"/>
          <w:sz w:val="14"/>
          <w:szCs w:val="14"/>
          <w:color w:val="auto"/>
        </w:rPr>
        <w:t>Cost of insurance rates are generally lower for nonsmokers than for smokers and generally lower for females than for males. Within a given risk class, cost of insurance rates are generally lower for Insureds with lower issue ages. Where required by state law, cost of insurance rates (and Policy values and benefits) do not vary based on the sex of the Insured.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Surrender Charge</w:t>
      </w:r>
    </w:p>
    <w:p>
      <w:pPr>
        <w:spacing w:after="0" w:line="90" w:lineRule="exact"/>
        <w:rPr>
          <w:sz w:val="20"/>
          <w:szCs w:val="20"/>
          <w:color w:val="auto"/>
        </w:rPr>
      </w:pPr>
    </w:p>
    <w:p>
      <w:pPr>
        <w:jc w:val="both"/>
        <w:ind w:right="2939" w:firstLine="274"/>
        <w:spacing w:after="0" w:line="251" w:lineRule="auto"/>
        <w:rPr>
          <w:sz w:val="20"/>
          <w:szCs w:val="20"/>
          <w:color w:val="auto"/>
        </w:rPr>
      </w:pPr>
      <w:r>
        <w:rPr>
          <w:rFonts w:ascii="Times New Roman" w:cs="Times New Roman" w:eastAsia="Times New Roman" w:hAnsi="Times New Roman"/>
          <w:sz w:val="14"/>
          <w:szCs w:val="14"/>
          <w:color w:val="auto"/>
        </w:rPr>
        <w:t>If, during the first ten Policy Years, you Surrender or lapse your Policy, then we will deduct a Surrender charge from the Cash Value. The maximum Surrender charge is shown in your Policy. We impose a Surrender charge to reimburse us generally for Policy sale expenses including commissions and other distribution, promotion and acquisition expenses. The maximum Surrender charge per $1,000 of Face Amount that could apply under any Policy is $45 (in Policy Year 1), which reduces to $0 in Policy Year 11 and later.</w:t>
      </w:r>
    </w:p>
    <w:p>
      <w:pPr>
        <w:spacing w:after="0" w:line="63" w:lineRule="exact"/>
        <w:rPr>
          <w:sz w:val="20"/>
          <w:szCs w:val="20"/>
          <w:color w:val="auto"/>
        </w:rPr>
      </w:pPr>
    </w:p>
    <w:p>
      <w:pPr>
        <w:jc w:val="both"/>
        <w:ind w:right="2939" w:firstLine="274"/>
        <w:spacing w:after="0" w:line="267" w:lineRule="auto"/>
        <w:rPr>
          <w:sz w:val="20"/>
          <w:szCs w:val="20"/>
          <w:color w:val="auto"/>
        </w:rPr>
      </w:pPr>
      <w:r>
        <w:rPr>
          <w:rFonts w:ascii="Times New Roman" w:cs="Times New Roman" w:eastAsia="Times New Roman" w:hAnsi="Times New Roman"/>
          <w:sz w:val="14"/>
          <w:szCs w:val="14"/>
          <w:color w:val="auto"/>
        </w:rPr>
        <w:t>The Surrender charge reduces the Policy’s Cash Value in the Indexed Accounts, Holding Accounts, and the Fixed Account in proportion to the amount of the Policy’s Cash Value in each.</w:t>
      </w:r>
    </w:p>
    <w:p>
      <w:pPr>
        <w:spacing w:after="0" w:line="5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Partial withdrawals are not permitted under the Policy.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Illustration of Benefits Charge</w:t>
      </w:r>
    </w:p>
    <w:p>
      <w:pPr>
        <w:spacing w:after="0" w:line="90" w:lineRule="exact"/>
        <w:rPr>
          <w:sz w:val="20"/>
          <w:szCs w:val="20"/>
          <w:color w:val="auto"/>
        </w:rPr>
      </w:pPr>
    </w:p>
    <w:p>
      <w:pPr>
        <w:jc w:val="both"/>
        <w:ind w:right="2939" w:firstLine="274"/>
        <w:spacing w:after="0" w:line="256" w:lineRule="auto"/>
        <w:rPr>
          <w:sz w:val="20"/>
          <w:szCs w:val="20"/>
          <w:color w:val="auto"/>
        </w:rPr>
      </w:pPr>
      <w:r>
        <w:rPr>
          <w:rFonts w:ascii="Times New Roman" w:cs="Times New Roman" w:eastAsia="Times New Roman" w:hAnsi="Times New Roman"/>
          <w:sz w:val="14"/>
          <w:szCs w:val="14"/>
          <w:color w:val="auto"/>
        </w:rPr>
        <w:t>We reserve the right to impose a $25 charge for each illustration of Policy benefits that you request in excess of one per year. If imposed, this charge would compensate us generally for the cost of preparing and delivering the illustration to you. We are currently waiving this charge.</w:t>
      </w:r>
    </w:p>
    <w:p>
      <w:pPr>
        <w:spacing w:after="0" w:line="221"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4"/>
          <w:szCs w:val="14"/>
          <w:b w:val="1"/>
          <w:bCs w:val="1"/>
          <w:color w:val="auto"/>
        </w:rPr>
        <w:t>FEDERAL TAX CONSIDERATIONS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Introduction</w:t>
      </w:r>
    </w:p>
    <w:p>
      <w:pPr>
        <w:spacing w:after="0" w:line="90" w:lineRule="exact"/>
        <w:rPr>
          <w:sz w:val="20"/>
          <w:szCs w:val="20"/>
          <w:color w:val="auto"/>
        </w:rPr>
      </w:pPr>
    </w:p>
    <w:p>
      <w:pPr>
        <w:jc w:val="both"/>
        <w:ind w:right="2939" w:firstLine="274"/>
        <w:spacing w:after="0" w:line="268" w:lineRule="auto"/>
        <w:rPr>
          <w:sz w:val="20"/>
          <w:szCs w:val="20"/>
          <w:color w:val="auto"/>
        </w:rPr>
      </w:pPr>
      <w:r>
        <w:rPr>
          <w:rFonts w:ascii="Times New Roman" w:cs="Times New Roman" w:eastAsia="Times New Roman" w:hAnsi="Times New Roman"/>
          <w:sz w:val="13"/>
          <w:szCs w:val="13"/>
          <w:color w:val="auto"/>
        </w:rPr>
        <w:t>The following information on taxes is a general discussion of the subject. It is not intended as tax advice. The provisions of the Code that govern the Policy are complex and subject to change. This discussion is based upon our understanding of the present Federal income tax laws. No representation is made as to the likelihood of continuation of the present Federal income tax laws or as to how they may be interpreted by the Internal Revenue Service (“IRS”). The applicability of Federal income tax rules may vary with your particular circumstances. This discussion does not include all the Federal income tax rules that may affect you and your Policy and does not purport to be complete or to cover all tax situations. Nor does this discussion fully address other Federal tax consequences (such as estate and gift taxes, sales to foreign individuals or entities) and does not address state, local, or foreign tax consequences, which may affect your investment in the Policy. As a result, you should always consult a tax adviser for complete information and advice applicable to your individual situation.</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Tax Status of the Policy</w:t>
      </w:r>
    </w:p>
    <w:p>
      <w:pPr>
        <w:spacing w:after="0" w:line="90" w:lineRule="exact"/>
        <w:rPr>
          <w:sz w:val="20"/>
          <w:szCs w:val="20"/>
          <w:color w:val="auto"/>
        </w:rPr>
      </w:pPr>
    </w:p>
    <w:p>
      <w:pPr>
        <w:jc w:val="both"/>
        <w:ind w:right="2939" w:firstLine="274"/>
        <w:spacing w:after="0" w:line="252" w:lineRule="auto"/>
        <w:rPr>
          <w:sz w:val="20"/>
          <w:szCs w:val="20"/>
          <w:color w:val="auto"/>
        </w:rPr>
      </w:pPr>
      <w:r>
        <w:rPr>
          <w:rFonts w:ascii="Times New Roman" w:cs="Times New Roman" w:eastAsia="Times New Roman" w:hAnsi="Times New Roman"/>
          <w:sz w:val="14"/>
          <w:szCs w:val="14"/>
          <w:color w:val="auto"/>
        </w:rPr>
        <w:t>In order to qualify as a life insurance policy for Federal income tax purposes and to receive the tax treatment normally accorded life insurance policies under Federal tax law, a policy must satisfy certain requirements which are set forth in the Internal Revenue Code of 1986, as amended (the “Code”). Specifically, the Policy must meet the applicable requirements</w:t>
      </w:r>
    </w:p>
    <w:p>
      <w:pPr>
        <w:spacing w:after="0" w:line="208"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4"/>
          <w:szCs w:val="14"/>
          <w:color w:val="auto"/>
        </w:rPr>
        <w:t>64</w:t>
      </w:r>
    </w:p>
    <w:p>
      <w:pPr>
        <w:sectPr>
          <w:pgSz w:w="11900" w:h="16838" w:orient="portrait"/>
          <w:cols w:equalWidth="0" w:num="1">
            <w:col w:w="9219"/>
          </w:cols>
          <w:pgMar w:left="1240" w:top="1083" w:right="1440" w:bottom="1440" w:gutter="0" w:footer="0" w:header="0"/>
        </w:sectPr>
      </w:pPr>
    </w:p>
    <w:bookmarkStart w:id="67" w:name="page68"/>
    <w:bookmarkEnd w:id="67"/>
    <w:p>
      <w:pPr>
        <w:jc w:val="both"/>
        <w:ind w:right="2939"/>
        <w:spacing w:after="0" w:line="249"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422275</wp:posOffset>
            </wp:positionV>
            <wp:extent cx="719010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90105" cy="38735"/>
                    </a:xfrm>
                    <a:prstGeom prst="rect">
                      <a:avLst/>
                    </a:prstGeom>
                    <a:noFill/>
                  </pic:spPr>
                </pic:pic>
              </a:graphicData>
            </a:graphic>
          </wp:anchor>
        </w:drawing>
        <w:t>under Section 7702 of the Code. Guidance as to how these requirements are to be applied is limited. Nevertheless, we anticipate that the Policy should be deemed to be a life insurance policy under Federal tax law. We may take appropriate steps to bring the Policy into compliance with applicable requirements, and we reserve the right to restrict Policy transactions in order to do so. The insurance proceeds payable on the death of the Insured will never be less than the minimum amount required for the Policy to be treated as life insurance under Section 7702 of the Code, as in effect on the date the Policy was issued.</w:t>
      </w:r>
    </w:p>
    <w:p>
      <w:pPr>
        <w:spacing w:after="0" w:line="68" w:lineRule="exact"/>
        <w:rPr>
          <w:sz w:val="20"/>
          <w:szCs w:val="20"/>
          <w:color w:val="auto"/>
        </w:rPr>
      </w:pPr>
    </w:p>
    <w:p>
      <w:pPr>
        <w:jc w:val="both"/>
        <w:ind w:right="2939" w:firstLine="274"/>
        <w:spacing w:after="0" w:line="267" w:lineRule="auto"/>
        <w:rPr>
          <w:sz w:val="20"/>
          <w:szCs w:val="20"/>
          <w:color w:val="auto"/>
        </w:rPr>
      </w:pPr>
      <w:r>
        <w:rPr>
          <w:rFonts w:ascii="Times New Roman" w:cs="Times New Roman" w:eastAsia="Times New Roman" w:hAnsi="Times New Roman"/>
          <w:sz w:val="14"/>
          <w:szCs w:val="14"/>
          <w:color w:val="auto"/>
        </w:rPr>
        <w:t>The following discussion assumes that the Policy will qualify as a life insurance policy for Federal income tax purposes.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Tax Treatment of Policy Benefits</w:t>
      </w:r>
    </w:p>
    <w:p>
      <w:pPr>
        <w:spacing w:after="0" w:line="86" w:lineRule="exact"/>
        <w:rPr>
          <w:sz w:val="20"/>
          <w:szCs w:val="20"/>
          <w:color w:val="auto"/>
        </w:rPr>
      </w:pPr>
    </w:p>
    <w:p>
      <w:pPr>
        <w:jc w:val="both"/>
        <w:ind w:right="2939" w:firstLine="274"/>
        <w:spacing w:after="0" w:line="259" w:lineRule="auto"/>
        <w:rPr>
          <w:sz w:val="20"/>
          <w:szCs w:val="20"/>
          <w:color w:val="auto"/>
        </w:rPr>
      </w:pPr>
      <w:r>
        <w:rPr>
          <w:rFonts w:ascii="Times New Roman" w:cs="Times New Roman" w:eastAsia="Times New Roman" w:hAnsi="Times New Roman"/>
          <w:sz w:val="14"/>
          <w:szCs w:val="14"/>
          <w:b w:val="1"/>
          <w:bCs w:val="1"/>
          <w:color w:val="auto"/>
        </w:rPr>
        <w:t xml:space="preserve">In General. </w:t>
      </w:r>
      <w:r>
        <w:rPr>
          <w:rFonts w:ascii="Times New Roman" w:cs="Times New Roman" w:eastAsia="Times New Roman" w:hAnsi="Times New Roman"/>
          <w:sz w:val="14"/>
          <w:szCs w:val="14"/>
          <w:color w:val="auto"/>
        </w:rPr>
        <w:t>The amount received under the Policy by reason of the death of the Insured (see “DEATH</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BENEFIT” section above) is referred to in this section as the death benefit and should generally be excludible from the gross income of the beneficiary for Federal income tax purposes.</w:t>
      </w:r>
    </w:p>
    <w:p>
      <w:pPr>
        <w:spacing w:after="0" w:line="69" w:lineRule="exact"/>
        <w:rPr>
          <w:sz w:val="20"/>
          <w:szCs w:val="20"/>
          <w:color w:val="auto"/>
        </w:rPr>
      </w:pPr>
    </w:p>
    <w:p>
      <w:pPr>
        <w:jc w:val="both"/>
        <w:ind w:right="2939" w:firstLine="274"/>
        <w:spacing w:after="0" w:line="247" w:lineRule="auto"/>
        <w:rPr>
          <w:sz w:val="20"/>
          <w:szCs w:val="20"/>
          <w:color w:val="auto"/>
        </w:rPr>
      </w:pPr>
      <w:r>
        <w:rPr>
          <w:rFonts w:ascii="Times New Roman" w:cs="Times New Roman" w:eastAsia="Times New Roman" w:hAnsi="Times New Roman"/>
          <w:sz w:val="14"/>
          <w:szCs w:val="14"/>
          <w:color w:val="auto"/>
        </w:rPr>
        <w:t>In the case of employer-owned life insurance as defined in Section 101(j) of the Code, the amount of the death benefit excludable from gross income is limited to premiums paid unless the Policy falls within certain specified exceptions and a notice and consent requirement is satisfied before the Policy is issued. Certain specified exceptions are based on the status of an employee as highly compensated, a director, or recently employed. There are also exceptions for Policy Proceeds paid to an employee’s heirs. These exceptions only apply if proper notice is given to the insured employee and consent is received from the insured employee before the issuance of the Policy. These rules apply to Policies issued August 18, 2006 and later and also apply to policies issued before August 18, 2006 after a material increase in the death benefit or other material change. An IRS reporting requirement applies to employer-owned life insurance subject to these rules. Because these rules are complex and will affect the tax treatment of death benefits, it is advisable to consult tax counsel.</w:t>
      </w:r>
    </w:p>
    <w:p>
      <w:pPr>
        <w:spacing w:after="0" w:line="7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death benefit will also be taxable in the case of a transfer-for-value unless certain exceptions apply.</w:t>
      </w:r>
    </w:p>
    <w:p>
      <w:pPr>
        <w:spacing w:after="0" w:line="96" w:lineRule="exact"/>
        <w:rPr>
          <w:sz w:val="20"/>
          <w:szCs w:val="20"/>
          <w:color w:val="auto"/>
        </w:rPr>
      </w:pPr>
    </w:p>
    <w:p>
      <w:pPr>
        <w:jc w:val="both"/>
        <w:ind w:right="2939" w:firstLine="274"/>
        <w:spacing w:after="0" w:line="256" w:lineRule="auto"/>
        <w:rPr>
          <w:sz w:val="20"/>
          <w:szCs w:val="20"/>
          <w:color w:val="auto"/>
        </w:rPr>
      </w:pPr>
      <w:r>
        <w:rPr>
          <w:rFonts w:ascii="Times New Roman" w:cs="Times New Roman" w:eastAsia="Times New Roman" w:hAnsi="Times New Roman"/>
          <w:sz w:val="14"/>
          <w:szCs w:val="14"/>
          <w:color w:val="auto"/>
        </w:rPr>
        <w:t>Federal, state and local estate, inheritance and other tax consequences of ownership, or receipt of Policy Proceeds, depend on the circumstances of each Policy Owner or beneficiary. A tax adviser should be consulted on these circumstances.</w:t>
      </w:r>
    </w:p>
    <w:p>
      <w:pPr>
        <w:spacing w:after="0" w:line="61" w:lineRule="exact"/>
        <w:rPr>
          <w:sz w:val="20"/>
          <w:szCs w:val="20"/>
          <w:color w:val="auto"/>
        </w:rPr>
      </w:pPr>
    </w:p>
    <w:p>
      <w:pPr>
        <w:jc w:val="both"/>
        <w:ind w:right="2939" w:firstLine="274"/>
        <w:spacing w:after="0" w:line="252" w:lineRule="auto"/>
        <w:rPr>
          <w:sz w:val="20"/>
          <w:szCs w:val="20"/>
          <w:color w:val="auto"/>
        </w:rPr>
      </w:pPr>
      <w:r>
        <w:rPr>
          <w:rFonts w:ascii="Times New Roman" w:cs="Times New Roman" w:eastAsia="Times New Roman" w:hAnsi="Times New Roman"/>
          <w:sz w:val="14"/>
          <w:szCs w:val="14"/>
          <w:color w:val="auto"/>
        </w:rPr>
        <w:t>Generally, the Policy Owner will not be deemed to be in constructive receipt of the Cash Value until there is a distribution or a deemed distribution, including upon Surrender or lapse of the Policy. When distributions from a Policy occur, or when loans are taken from or secured by a Policy, the tax consequences depend on whether the Policy is classified as a MEC.</w:t>
      </w:r>
    </w:p>
    <w:p>
      <w:pPr>
        <w:spacing w:after="0" w:line="71" w:lineRule="exact"/>
        <w:rPr>
          <w:sz w:val="20"/>
          <w:szCs w:val="20"/>
          <w:color w:val="auto"/>
        </w:rPr>
      </w:pPr>
    </w:p>
    <w:p>
      <w:pPr>
        <w:jc w:val="both"/>
        <w:ind w:right="2939" w:firstLine="274"/>
        <w:spacing w:after="0" w:line="249" w:lineRule="auto"/>
        <w:rPr>
          <w:sz w:val="20"/>
          <w:szCs w:val="20"/>
          <w:color w:val="auto"/>
        </w:rPr>
      </w:pPr>
      <w:r>
        <w:rPr>
          <w:rFonts w:ascii="Times New Roman" w:cs="Times New Roman" w:eastAsia="Times New Roman" w:hAnsi="Times New Roman"/>
          <w:sz w:val="14"/>
          <w:szCs w:val="14"/>
          <w:b w:val="1"/>
          <w:bCs w:val="1"/>
          <w:color w:val="auto"/>
        </w:rPr>
        <w:t xml:space="preserve">Modified Endowment Contracts (“MEC”). </w:t>
      </w:r>
      <w:r>
        <w:rPr>
          <w:rFonts w:ascii="Times New Roman" w:cs="Times New Roman" w:eastAsia="Times New Roman" w:hAnsi="Times New Roman"/>
          <w:sz w:val="14"/>
          <w:szCs w:val="14"/>
          <w:color w:val="auto"/>
        </w:rPr>
        <w:t>Under section 7702A of the Code, certain life insurance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policies are classified as modified endowment contracts (“MEC”), with less favorable income tax treatment than other life insurance contracts. Due to the Policy’s flexibility, such as with respect to premium payments, each Policy’s circumstances will determine whether the Policy is a MEC. In general, a Policy will be classified as a MEC if the amount of premiums paid into the Policy causes the Policy to fail the “7-pay test.” A Policy will fail the 7-pay test if at any time in the first seven Policy years, or seven years after a material change, the amount paid into the Policy exceeds the sum of the level premiums that would have been paid at that point under a Policy that provided for paid-up future benefits after the payment of seven level annual payments.</w:t>
      </w:r>
    </w:p>
    <w:p>
      <w:pPr>
        <w:spacing w:after="0" w:line="77" w:lineRule="exact"/>
        <w:rPr>
          <w:sz w:val="20"/>
          <w:szCs w:val="20"/>
          <w:color w:val="auto"/>
        </w:rPr>
      </w:pPr>
    </w:p>
    <w:p>
      <w:pPr>
        <w:jc w:val="both"/>
        <w:ind w:right="2939" w:firstLine="274"/>
        <w:spacing w:after="0" w:line="249" w:lineRule="auto"/>
        <w:rPr>
          <w:sz w:val="20"/>
          <w:szCs w:val="20"/>
          <w:color w:val="auto"/>
        </w:rPr>
      </w:pPr>
      <w:r>
        <w:rPr>
          <w:rFonts w:ascii="Times New Roman" w:cs="Times New Roman" w:eastAsia="Times New Roman" w:hAnsi="Times New Roman"/>
          <w:sz w:val="14"/>
          <w:szCs w:val="14"/>
          <w:color w:val="auto"/>
        </w:rPr>
        <w:t>If there is a reduction in the benefits under the Policy during a 7-pay testing period, the 7-pay test will have to be reapplied as if the Policy had originally been issued at the reduced Face Amount. If there is a “material change” in the Policy’s benefits or other terms, even after the first seven Policy years, the Policy may have to be retested as if it were a newly issued Policy. To prevent your Policy from becoming a modified endowment contract, it may be necessary to limit premium payments or to limit reductions in benefits. A current or prospective Policy Owner should consult a tax adviser to determine whether a Policy transaction will cause the Policy to be classified as a MEC.</w:t>
      </w:r>
    </w:p>
    <w:p>
      <w:pPr>
        <w:spacing w:after="0" w:line="6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Distributions Other Than Death Benefits from Modified Endowment Contracts</w:t>
      </w:r>
      <w:r>
        <w:rPr>
          <w:rFonts w:ascii="Times New Roman" w:cs="Times New Roman" w:eastAsia="Times New Roman" w:hAnsi="Times New Roman"/>
          <w:sz w:val="14"/>
          <w:szCs w:val="14"/>
          <w:color w:val="auto"/>
        </w:rPr>
        <w:t>. Policies classified as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MEC are subject to the following tax rules:</w:t>
      </w:r>
    </w:p>
    <w:p>
      <w:pPr>
        <w:spacing w:after="0" w:line="74" w:lineRule="exact"/>
        <w:rPr>
          <w:sz w:val="20"/>
          <w:szCs w:val="20"/>
          <w:color w:val="auto"/>
        </w:rPr>
      </w:pPr>
    </w:p>
    <w:p>
      <w:pPr>
        <w:jc w:val="both"/>
        <w:ind w:left="540" w:right="2999" w:hanging="271"/>
        <w:spacing w:after="0" w:line="256" w:lineRule="auto"/>
        <w:tabs>
          <w:tab w:leader="none" w:pos="540"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distributions other than death benefits, including distributions upon Surrender, will be treated first as distributions of gain taxable as ordinary income and as tax-free recovery of the Policy Owner’s investment in the Policy only after all gain has been distributed.</w:t>
      </w:r>
    </w:p>
    <w:p>
      <w:pPr>
        <w:spacing w:after="0" w:line="60" w:lineRule="exact"/>
        <w:rPr>
          <w:rFonts w:ascii="Times New Roman" w:cs="Times New Roman" w:eastAsia="Times New Roman" w:hAnsi="Times New Roman"/>
          <w:sz w:val="14"/>
          <w:szCs w:val="14"/>
          <w:color w:val="auto"/>
        </w:rPr>
      </w:pPr>
    </w:p>
    <w:p>
      <w:pPr>
        <w:ind w:left="540" w:right="3299" w:hanging="271"/>
        <w:spacing w:after="0" w:line="267" w:lineRule="auto"/>
        <w:tabs>
          <w:tab w:leader="none" w:pos="540"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Loans taken from or secured by a Policy classified as a MEC are treated as distributions and taxed accordingly.</w:t>
      </w:r>
    </w:p>
    <w:p>
      <w:pPr>
        <w:spacing w:after="0" w:line="53" w:lineRule="exact"/>
        <w:rPr>
          <w:rFonts w:ascii="Times New Roman" w:cs="Times New Roman" w:eastAsia="Times New Roman" w:hAnsi="Times New Roman"/>
          <w:sz w:val="14"/>
          <w:szCs w:val="14"/>
          <w:color w:val="auto"/>
        </w:rPr>
      </w:pPr>
    </w:p>
    <w:p>
      <w:pPr>
        <w:jc w:val="both"/>
        <w:ind w:left="540" w:right="2999" w:hanging="271"/>
        <w:spacing w:after="0" w:line="252" w:lineRule="auto"/>
        <w:tabs>
          <w:tab w:leader="none" w:pos="540"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10 percent additional income tax is imposed on the amount subject to tax unless an exception applies under the tax law, for example, where the distribution or loan is made when the Policy Owner has attained age 59½ or is disabled. The foregoing exceptions generally do not apply to a Policy Owner which is a non-natural person, such as a corporation.</w:t>
      </w:r>
    </w:p>
    <w:p>
      <w:pPr>
        <w:spacing w:after="0" w:line="198"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4"/>
          <w:szCs w:val="14"/>
          <w:color w:val="auto"/>
        </w:rPr>
        <w:t>65</w:t>
      </w:r>
    </w:p>
    <w:p>
      <w:pPr>
        <w:sectPr>
          <w:pgSz w:w="11900" w:h="16838" w:orient="portrait"/>
          <w:cols w:equalWidth="0" w:num="1">
            <w:col w:w="9219"/>
          </w:cols>
          <w:pgMar w:left="1240" w:top="1083" w:right="1440" w:bottom="1440" w:gutter="0" w:footer="0" w:header="0"/>
        </w:sectPr>
      </w:pPr>
    </w:p>
    <w:bookmarkStart w:id="68" w:name="page69"/>
    <w:bookmarkEnd w:id="68"/>
    <w:p>
      <w:pPr>
        <w:jc w:val="both"/>
        <w:ind w:right="2939" w:firstLine="274"/>
        <w:spacing w:after="0" w:line="25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422275</wp:posOffset>
            </wp:positionV>
            <wp:extent cx="719010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90105" cy="38735"/>
                    </a:xfrm>
                    <a:prstGeom prst="rect">
                      <a:avLst/>
                    </a:prstGeom>
                    <a:noFill/>
                  </pic:spPr>
                </pic:pic>
              </a:graphicData>
            </a:graphic>
          </wp:anchor>
        </w:drawing>
        <w:t>If a Policy becomes a modified endowment contract, distributions will be taxed as distributions from a MEC. In addition, distributions from a Policy within two years before it becomes a modified endowment contract will be taxed in this manner. This means that a distribution made from a Policy that is not a modified endowment contract could later become taxable as a distribution from a MEC.</w:t>
      </w:r>
    </w:p>
    <w:p>
      <w:pPr>
        <w:spacing w:after="0" w:line="71" w:lineRule="exact"/>
        <w:rPr>
          <w:sz w:val="20"/>
          <w:szCs w:val="20"/>
          <w:color w:val="auto"/>
        </w:rPr>
      </w:pPr>
    </w:p>
    <w:p>
      <w:pPr>
        <w:ind w:right="2939" w:firstLine="274"/>
        <w:spacing w:after="0" w:line="250" w:lineRule="auto"/>
        <w:rPr>
          <w:sz w:val="20"/>
          <w:szCs w:val="20"/>
          <w:color w:val="auto"/>
        </w:rPr>
      </w:pPr>
      <w:r>
        <w:rPr>
          <w:rFonts w:ascii="Times New Roman" w:cs="Times New Roman" w:eastAsia="Times New Roman" w:hAnsi="Times New Roman"/>
          <w:sz w:val="14"/>
          <w:szCs w:val="14"/>
          <w:b w:val="1"/>
          <w:bCs w:val="1"/>
          <w:color w:val="auto"/>
        </w:rPr>
        <w:t>Distributions Other Than Death Benefits from Policies that are not Modified Endowment Contracts</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Distributions other than death benefits from a Policy that is not classified as a MEC are generally treated first as a non-taxable recovery of the Policy Owner’s investment in the Policy, and only after the recovery of all investment in the Policy as gain taxable as ordinary income. However, distributions during the first 15 Policy Years accompanied by a reduction in Policy benefits, including distributions which must be made in order to enable the Policy to continue to qualify as a life insurance policy for Federal income tax purposes, are subject to different tax rules and may be treated in whole or in part as taxable income.</w:t>
      </w:r>
    </w:p>
    <w:p>
      <w:pPr>
        <w:spacing w:after="0" w:line="64" w:lineRule="exact"/>
        <w:rPr>
          <w:sz w:val="20"/>
          <w:szCs w:val="20"/>
          <w:color w:val="auto"/>
        </w:rPr>
      </w:pPr>
    </w:p>
    <w:p>
      <w:pPr>
        <w:jc w:val="both"/>
        <w:ind w:right="2939" w:firstLine="274"/>
        <w:spacing w:after="0" w:line="267" w:lineRule="auto"/>
        <w:rPr>
          <w:sz w:val="20"/>
          <w:szCs w:val="20"/>
          <w:color w:val="auto"/>
        </w:rPr>
      </w:pPr>
      <w:r>
        <w:rPr>
          <w:rFonts w:ascii="Times New Roman" w:cs="Times New Roman" w:eastAsia="Times New Roman" w:hAnsi="Times New Roman"/>
          <w:sz w:val="14"/>
          <w:szCs w:val="14"/>
          <w:color w:val="auto"/>
        </w:rPr>
        <w:t>Loans from or secured by a Policy that is not a MEC are generally not treated as distributions. A tax adviser should be consulted when considering a loan.</w:t>
      </w:r>
    </w:p>
    <w:p>
      <w:pPr>
        <w:spacing w:after="0" w:line="64" w:lineRule="exact"/>
        <w:rPr>
          <w:sz w:val="20"/>
          <w:szCs w:val="20"/>
          <w:color w:val="auto"/>
        </w:rPr>
      </w:pPr>
    </w:p>
    <w:p>
      <w:pPr>
        <w:jc w:val="both"/>
        <w:ind w:right="2939" w:firstLine="274"/>
        <w:spacing w:after="0" w:line="267" w:lineRule="auto"/>
        <w:rPr>
          <w:sz w:val="20"/>
          <w:szCs w:val="20"/>
          <w:color w:val="auto"/>
        </w:rPr>
      </w:pPr>
      <w:r>
        <w:rPr>
          <w:rFonts w:ascii="Times New Roman" w:cs="Times New Roman" w:eastAsia="Times New Roman" w:hAnsi="Times New Roman"/>
          <w:sz w:val="14"/>
          <w:szCs w:val="14"/>
          <w:color w:val="auto"/>
        </w:rPr>
        <w:t>Finally, neither distributions from nor loans from or secured by a Policy that is not a MEC are subject to the 10 percent additional income tax.</w:t>
      </w:r>
    </w:p>
    <w:p>
      <w:pPr>
        <w:spacing w:after="0" w:line="60" w:lineRule="exact"/>
        <w:rPr>
          <w:sz w:val="20"/>
          <w:szCs w:val="20"/>
          <w:color w:val="auto"/>
        </w:rPr>
      </w:pPr>
    </w:p>
    <w:p>
      <w:pPr>
        <w:jc w:val="both"/>
        <w:ind w:right="2939" w:firstLine="274"/>
        <w:spacing w:after="0" w:line="254" w:lineRule="auto"/>
        <w:rPr>
          <w:sz w:val="20"/>
          <w:szCs w:val="20"/>
          <w:color w:val="auto"/>
        </w:rPr>
      </w:pPr>
      <w:r>
        <w:rPr>
          <w:rFonts w:ascii="Times New Roman" w:cs="Times New Roman" w:eastAsia="Times New Roman" w:hAnsi="Times New Roman"/>
          <w:sz w:val="14"/>
          <w:szCs w:val="14"/>
          <w:b w:val="1"/>
          <w:bCs w:val="1"/>
          <w:color w:val="auto"/>
        </w:rPr>
        <w:t xml:space="preserve">Loans. </w:t>
      </w:r>
      <w:r>
        <w:rPr>
          <w:rFonts w:ascii="Times New Roman" w:cs="Times New Roman" w:eastAsia="Times New Roman" w:hAnsi="Times New Roman"/>
          <w:sz w:val="14"/>
          <w:szCs w:val="14"/>
          <w:color w:val="auto"/>
        </w:rPr>
        <w:t>In general, interest on a loan will not be deductible. If a loan is outstanding when a Policy is canceled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or lapses, the amount of the outstanding indebtedness will be added to the amount distributed and will be taxed accordingly. A loan may also be taxed when a Policy is exchanged. Before taking out a loan, you should consult a tax adviser as to the tax consequences.</w:t>
      </w:r>
    </w:p>
    <w:p>
      <w:pPr>
        <w:spacing w:after="0" w:line="59" w:lineRule="exact"/>
        <w:rPr>
          <w:sz w:val="20"/>
          <w:szCs w:val="20"/>
          <w:color w:val="auto"/>
        </w:rPr>
      </w:pPr>
    </w:p>
    <w:p>
      <w:pPr>
        <w:jc w:val="both"/>
        <w:ind w:right="2939" w:firstLine="274"/>
        <w:spacing w:after="0" w:line="248" w:lineRule="auto"/>
        <w:rPr>
          <w:sz w:val="20"/>
          <w:szCs w:val="20"/>
          <w:color w:val="auto"/>
        </w:rPr>
      </w:pPr>
      <w:r>
        <w:rPr>
          <w:rFonts w:ascii="Times New Roman" w:cs="Times New Roman" w:eastAsia="Times New Roman" w:hAnsi="Times New Roman"/>
          <w:sz w:val="14"/>
          <w:szCs w:val="14"/>
          <w:b w:val="1"/>
          <w:bCs w:val="1"/>
          <w:color w:val="auto"/>
        </w:rPr>
        <w:t xml:space="preserve">Guaranteed Distribution Rider. </w:t>
      </w:r>
      <w:r>
        <w:rPr>
          <w:rFonts w:ascii="Times New Roman" w:cs="Times New Roman" w:eastAsia="Times New Roman" w:hAnsi="Times New Roman"/>
          <w:sz w:val="14"/>
          <w:szCs w:val="14"/>
          <w:color w:val="auto"/>
        </w:rPr>
        <w:t>Distribution Payments under the GDR are made in the form of loans. A</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loan is generally not treated as a taxable distribution if the Policy is not a MEC and the Policy remains in force during the lifetime of the Insured. As a result, the Company generally does not intend to report the benefits payable under the GDR to the IRS as taxable income based upon the Company’s current understanding of applicable tax law. Taxation and tax reporting may apply if the Policy lapses, is Surrendered, or the Policy becomes a MEC. The tax law is complex and subject to change. Our tax reporting position may change in the future due to future IRS guidance, as well as any clarifications or changes to applicable tax law. The Company cannot guarantee particular tax results. You should consult with your attorney or qualified tax advisor to determine the tax consequences of the GDR and the Policy.</w:t>
      </w:r>
    </w:p>
    <w:p>
      <w:pPr>
        <w:spacing w:after="0" w:line="66" w:lineRule="exact"/>
        <w:rPr>
          <w:sz w:val="20"/>
          <w:szCs w:val="20"/>
          <w:color w:val="auto"/>
        </w:rPr>
      </w:pPr>
    </w:p>
    <w:p>
      <w:pPr>
        <w:jc w:val="both"/>
        <w:ind w:right="2939" w:firstLine="274"/>
        <w:spacing w:after="0" w:line="259" w:lineRule="auto"/>
        <w:rPr>
          <w:sz w:val="20"/>
          <w:szCs w:val="20"/>
          <w:color w:val="auto"/>
        </w:rPr>
      </w:pPr>
      <w:r>
        <w:rPr>
          <w:rFonts w:ascii="Times New Roman" w:cs="Times New Roman" w:eastAsia="Times New Roman" w:hAnsi="Times New Roman"/>
          <w:sz w:val="14"/>
          <w:szCs w:val="14"/>
          <w:b w:val="1"/>
          <w:bCs w:val="1"/>
          <w:color w:val="auto"/>
        </w:rPr>
        <w:t xml:space="preserve">Multiple Policies. </w:t>
      </w:r>
      <w:r>
        <w:rPr>
          <w:rFonts w:ascii="Times New Roman" w:cs="Times New Roman" w:eastAsia="Times New Roman" w:hAnsi="Times New Roman"/>
          <w:sz w:val="14"/>
          <w:szCs w:val="14"/>
          <w:color w:val="auto"/>
        </w:rPr>
        <w:t>All modified endowment contracts that are issued by BLIC (or its affiliates) to the same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Policy Owner during any calendar year are treated as one MEC for purposes of determining the amount includible in the Policy Owner’s income when a taxable distribution occurs.</w:t>
      </w:r>
    </w:p>
    <w:p>
      <w:pPr>
        <w:spacing w:after="0" w:line="55" w:lineRule="exact"/>
        <w:rPr>
          <w:sz w:val="20"/>
          <w:szCs w:val="20"/>
          <w:color w:val="auto"/>
        </w:rPr>
      </w:pPr>
    </w:p>
    <w:p>
      <w:pPr>
        <w:jc w:val="both"/>
        <w:ind w:right="2939" w:firstLine="274"/>
        <w:spacing w:after="0" w:line="259" w:lineRule="auto"/>
        <w:rPr>
          <w:sz w:val="20"/>
          <w:szCs w:val="20"/>
          <w:color w:val="auto"/>
        </w:rPr>
      </w:pPr>
      <w:r>
        <w:rPr>
          <w:rFonts w:ascii="Times New Roman" w:cs="Times New Roman" w:eastAsia="Times New Roman" w:hAnsi="Times New Roman"/>
          <w:sz w:val="14"/>
          <w:szCs w:val="14"/>
          <w:b w:val="1"/>
          <w:bCs w:val="1"/>
          <w:color w:val="auto"/>
        </w:rPr>
        <w:t xml:space="preserve">Withholding. </w:t>
      </w:r>
      <w:r>
        <w:rPr>
          <w:rFonts w:ascii="Times New Roman" w:cs="Times New Roman" w:eastAsia="Times New Roman" w:hAnsi="Times New Roman"/>
          <w:sz w:val="14"/>
          <w:szCs w:val="14"/>
          <w:color w:val="auto"/>
        </w:rPr>
        <w:t>To the extent that Policy distributions are taxable, they are generally subject to withholding for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recipient’s Federal income tax liability. Recipients can generally elect, however, not to have tax withheld from distributions.</w:t>
      </w:r>
    </w:p>
    <w:p>
      <w:pPr>
        <w:spacing w:after="0" w:line="55" w:lineRule="exact"/>
        <w:rPr>
          <w:sz w:val="20"/>
          <w:szCs w:val="20"/>
          <w:color w:val="auto"/>
        </w:rPr>
      </w:pPr>
    </w:p>
    <w:p>
      <w:pPr>
        <w:jc w:val="both"/>
        <w:ind w:right="2939" w:firstLine="274"/>
        <w:spacing w:after="0" w:line="254" w:lineRule="auto"/>
        <w:rPr>
          <w:sz w:val="20"/>
          <w:szCs w:val="20"/>
          <w:color w:val="auto"/>
        </w:rPr>
      </w:pPr>
      <w:r>
        <w:rPr>
          <w:rFonts w:ascii="Times New Roman" w:cs="Times New Roman" w:eastAsia="Times New Roman" w:hAnsi="Times New Roman"/>
          <w:sz w:val="14"/>
          <w:szCs w:val="14"/>
          <w:b w:val="1"/>
          <w:bCs w:val="1"/>
          <w:color w:val="auto"/>
        </w:rPr>
        <w:t xml:space="preserve">Life Insurance Purchases by Residents of Puerto Rico. </w:t>
      </w:r>
      <w:r>
        <w:rPr>
          <w:rFonts w:ascii="Times New Roman" w:cs="Times New Roman" w:eastAsia="Times New Roman" w:hAnsi="Times New Roman"/>
          <w:sz w:val="14"/>
          <w:szCs w:val="14"/>
          <w:color w:val="auto"/>
        </w:rPr>
        <w:t>In Rev. Rul. 2004-75, 2004-31 I.R.B. 109,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Internal Revenue Service announced that income received by residents of Puerto Rico under life insurance policies issued by a Puerto Rico branch of a United States life insurance company is U.S.-source income that is generally subject to United States Federal income tax.</w:t>
      </w:r>
    </w:p>
    <w:p>
      <w:pPr>
        <w:spacing w:after="0" w:line="59" w:lineRule="exact"/>
        <w:rPr>
          <w:sz w:val="20"/>
          <w:szCs w:val="20"/>
          <w:color w:val="auto"/>
        </w:rPr>
      </w:pPr>
    </w:p>
    <w:p>
      <w:pPr>
        <w:jc w:val="both"/>
        <w:ind w:right="2939" w:firstLine="274"/>
        <w:spacing w:after="0" w:line="251" w:lineRule="auto"/>
        <w:rPr>
          <w:sz w:val="20"/>
          <w:szCs w:val="20"/>
          <w:color w:val="auto"/>
        </w:rPr>
      </w:pPr>
      <w:r>
        <w:rPr>
          <w:rFonts w:ascii="Times New Roman" w:cs="Times New Roman" w:eastAsia="Times New Roman" w:hAnsi="Times New Roman"/>
          <w:sz w:val="14"/>
          <w:szCs w:val="14"/>
          <w:b w:val="1"/>
          <w:bCs w:val="1"/>
          <w:color w:val="auto"/>
        </w:rPr>
        <w:t xml:space="preserve">Life Insurance Purchases by Nonresident Aliens and Foreign Corporations. </w:t>
      </w:r>
      <w:r>
        <w:rPr>
          <w:rFonts w:ascii="Times New Roman" w:cs="Times New Roman" w:eastAsia="Times New Roman" w:hAnsi="Times New Roman"/>
          <w:sz w:val="14"/>
          <w:szCs w:val="14"/>
          <w:color w:val="auto"/>
        </w:rPr>
        <w:t>Policy Owners that are not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U.S. citizens or residents will generally be subject to U.S. Federal withholding tax on taxable distributions from life insurance policies at a 30% rate, unless a lower treaty rate applies. In addition, Policy Owners may be subject to state and/or municipal taxes and taxes that may be imposed by the Policy Owner’s country of citizenship or residence. Prospective purchasers are advised to consult with a qualified tax adviser regarding taxation with respect to a purchase of the Policy.</w:t>
      </w:r>
    </w:p>
    <w:p>
      <w:pPr>
        <w:spacing w:after="0" w:line="60" w:lineRule="exact"/>
        <w:rPr>
          <w:sz w:val="20"/>
          <w:szCs w:val="20"/>
          <w:color w:val="auto"/>
        </w:rPr>
      </w:pPr>
    </w:p>
    <w:p>
      <w:pPr>
        <w:jc w:val="both"/>
        <w:ind w:right="2939" w:firstLine="274"/>
        <w:spacing w:after="0" w:line="254" w:lineRule="auto"/>
        <w:rPr>
          <w:sz w:val="20"/>
          <w:szCs w:val="20"/>
          <w:color w:val="auto"/>
        </w:rPr>
      </w:pPr>
      <w:r>
        <w:rPr>
          <w:rFonts w:ascii="Times New Roman" w:cs="Times New Roman" w:eastAsia="Times New Roman" w:hAnsi="Times New Roman"/>
          <w:sz w:val="14"/>
          <w:szCs w:val="14"/>
          <w:b w:val="1"/>
          <w:bCs w:val="1"/>
          <w:color w:val="auto"/>
        </w:rPr>
        <w:t xml:space="preserve">Acceleration of Death Benefit for Terminal Illness. </w:t>
      </w:r>
      <w:r>
        <w:rPr>
          <w:rFonts w:ascii="Times New Roman" w:cs="Times New Roman" w:eastAsia="Times New Roman" w:hAnsi="Times New Roman"/>
          <w:sz w:val="14"/>
          <w:szCs w:val="14"/>
          <w:color w:val="auto"/>
        </w:rPr>
        <w:t>Payments received under the Accelerated Death</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Benefit should generally be excludable from the gross income of the Policy Owner except in certain circumstances, such as certain business-related contexts described in Section 101(g) of the Code. You should consult a qualified tax adviser about the consequences of exercising a payment under this provision.</w:t>
      </w:r>
    </w:p>
    <w:p>
      <w:pPr>
        <w:spacing w:after="0" w:line="59" w:lineRule="exact"/>
        <w:rPr>
          <w:sz w:val="20"/>
          <w:szCs w:val="20"/>
          <w:color w:val="auto"/>
        </w:rPr>
      </w:pPr>
    </w:p>
    <w:p>
      <w:pPr>
        <w:jc w:val="both"/>
        <w:ind w:right="2939" w:firstLine="274"/>
        <w:spacing w:after="0" w:line="272" w:lineRule="auto"/>
        <w:rPr>
          <w:sz w:val="20"/>
          <w:szCs w:val="20"/>
          <w:color w:val="auto"/>
        </w:rPr>
      </w:pPr>
      <w:r>
        <w:rPr>
          <w:rFonts w:ascii="Times New Roman" w:cs="Times New Roman" w:eastAsia="Times New Roman" w:hAnsi="Times New Roman"/>
          <w:sz w:val="13"/>
          <w:szCs w:val="13"/>
          <w:b w:val="1"/>
          <w:bCs w:val="1"/>
          <w:color w:val="auto"/>
        </w:rPr>
        <w:t xml:space="preserve">Estate, Gift and Generation-Skipping Transfer Taxes. </w:t>
      </w:r>
      <w:r>
        <w:rPr>
          <w:rFonts w:ascii="Times New Roman" w:cs="Times New Roman" w:eastAsia="Times New Roman" w:hAnsi="Times New Roman"/>
          <w:sz w:val="13"/>
          <w:szCs w:val="13"/>
          <w:color w:val="auto"/>
        </w:rPr>
        <w:t>The transfer of the Policy or the designation of a</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beneficiary may have Federal, state, and/or local transfer and inheritance tax consequences, including the imposition of gift, estate, and generation-skipping transfer taxes. When the Insured dies, the death proceeds will generally be includable in the Policy Owner’s estate for purposes of the Federal estate tax if the Policy Owner was the Insured, if the Insured possessed incidents of ownership in the Policy at the time of death, or if the Insured made a gift transfer of the Policy within three years of death. If the Policy Owner was not the Insured, the fair market value of the Policy would be included in the Policy Owner’s estate upon the Policy Owner’s death.</w:t>
      </w:r>
    </w:p>
    <w:p>
      <w:pPr>
        <w:spacing w:after="0" w:line="196"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4"/>
          <w:szCs w:val="14"/>
          <w:color w:val="auto"/>
        </w:rPr>
        <w:t>66</w:t>
      </w:r>
    </w:p>
    <w:p>
      <w:pPr>
        <w:sectPr>
          <w:pgSz w:w="11900" w:h="16838" w:orient="portrait"/>
          <w:cols w:equalWidth="0" w:num="1">
            <w:col w:w="9219"/>
          </w:cols>
          <w:pgMar w:left="1240" w:top="1083" w:right="1440" w:bottom="1440" w:gutter="0" w:footer="0" w:header="0"/>
        </w:sectPr>
      </w:pPr>
    </w:p>
    <w:bookmarkStart w:id="69" w:name="page70"/>
    <w:bookmarkEnd w:id="69"/>
    <w:p>
      <w:pPr>
        <w:jc w:val="both"/>
        <w:ind w:right="2939" w:firstLine="274"/>
        <w:spacing w:after="0" w:line="25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422275</wp:posOffset>
            </wp:positionV>
            <wp:extent cx="719010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90105" cy="38735"/>
                    </a:xfrm>
                    <a:prstGeom prst="rect">
                      <a:avLst/>
                    </a:prstGeom>
                    <a:noFill/>
                  </pic:spPr>
                </pic:pic>
              </a:graphicData>
            </a:graphic>
          </wp:anchor>
        </w:drawing>
        <w:t>Moreover, under certain circumstances, the Code may impose a “generation-skipping transfer tax” when all or part of a life insurance policy is transferred to, or a death benefit is paid to, an individual two or more generations younger than the Policy Owner. Regulations issued under the Internal Revenue Code may require us to deduct the tax from your Policy, or from any applicable payment, and pay it directly to the IRS.</w:t>
      </w:r>
    </w:p>
    <w:p>
      <w:pPr>
        <w:spacing w:after="0" w:line="75" w:lineRule="exact"/>
        <w:rPr>
          <w:sz w:val="20"/>
          <w:szCs w:val="20"/>
          <w:color w:val="auto"/>
        </w:rPr>
      </w:pPr>
    </w:p>
    <w:p>
      <w:pPr>
        <w:jc w:val="both"/>
        <w:ind w:right="2939" w:firstLine="274"/>
        <w:spacing w:after="0" w:line="248" w:lineRule="auto"/>
        <w:rPr>
          <w:sz w:val="20"/>
          <w:szCs w:val="20"/>
          <w:color w:val="auto"/>
        </w:rPr>
      </w:pPr>
      <w:r>
        <w:rPr>
          <w:rFonts w:ascii="Times New Roman" w:cs="Times New Roman" w:eastAsia="Times New Roman" w:hAnsi="Times New Roman"/>
          <w:sz w:val="14"/>
          <w:szCs w:val="14"/>
          <w:color w:val="auto"/>
        </w:rPr>
        <w:t>The particular situation of each Policy Owner, Insured or beneficiary will determine how Policy ownership or receipt of Policy Proceeds will be treated for purposes of federal estate, gift and generation-skipping transfer taxes, as well as state and local estate, inheritance and other taxes. Because these rules are complex, you should consult with a qualified tax adviser for specific information. For example, qualified tax advisers should be consulted concerning the estate and gift tax consequences of Policy ownership and distributions under Federal, state and local law. You and your tax adviser should also review the individual situation of each Policy Owner, Insured, or beneficiary to determine the extent, if any, to which Federal, state, and local transfer and inheritance taxes may be imposed and how ownership or receipt of Policy Proceeds will be treated for purposes of Federal, state and local estate, inheritance, generation-skipping and other taxes.</w:t>
      </w:r>
    </w:p>
    <w:p>
      <w:pPr>
        <w:spacing w:after="0" w:line="66" w:lineRule="exact"/>
        <w:rPr>
          <w:sz w:val="20"/>
          <w:szCs w:val="20"/>
          <w:color w:val="auto"/>
        </w:rPr>
      </w:pPr>
    </w:p>
    <w:p>
      <w:pPr>
        <w:jc w:val="both"/>
        <w:ind w:right="2939" w:firstLine="274"/>
        <w:spacing w:after="0" w:line="267" w:lineRule="auto"/>
        <w:rPr>
          <w:sz w:val="20"/>
          <w:szCs w:val="20"/>
          <w:color w:val="auto"/>
        </w:rPr>
      </w:pPr>
      <w:r>
        <w:rPr>
          <w:rFonts w:ascii="Times New Roman" w:cs="Times New Roman" w:eastAsia="Times New Roman" w:hAnsi="Times New Roman"/>
          <w:sz w:val="14"/>
          <w:szCs w:val="14"/>
          <w:color w:val="auto"/>
        </w:rPr>
        <w:t>In 2026, federal tax law provides for a $15,000,000 gift, estate and generation-skipping transfer tax exemption, which will be indexed for inflation in subsequent years.</w:t>
      </w:r>
    </w:p>
    <w:p>
      <w:pPr>
        <w:spacing w:after="0" w:line="64" w:lineRule="exact"/>
        <w:rPr>
          <w:sz w:val="20"/>
          <w:szCs w:val="20"/>
          <w:color w:val="auto"/>
        </w:rPr>
      </w:pPr>
    </w:p>
    <w:p>
      <w:pPr>
        <w:jc w:val="both"/>
        <w:ind w:right="2939" w:firstLine="274"/>
        <w:spacing w:after="0" w:line="256" w:lineRule="auto"/>
        <w:rPr>
          <w:sz w:val="20"/>
          <w:szCs w:val="20"/>
          <w:color w:val="auto"/>
        </w:rPr>
      </w:pPr>
      <w:r>
        <w:rPr>
          <w:rFonts w:ascii="Times New Roman" w:cs="Times New Roman" w:eastAsia="Times New Roman" w:hAnsi="Times New Roman"/>
          <w:sz w:val="14"/>
          <w:szCs w:val="14"/>
          <w:color w:val="auto"/>
        </w:rPr>
        <w:t>The complexity of the tax law, along with uncertainty as to how it might be modified in coming years, underscores the importance of seeking guidance from a qualified adviser to help ensure that your estate plan adequately addresses your needs and those of your beneficiaries under all possible scenarios.</w:t>
      </w:r>
    </w:p>
    <w:p>
      <w:pPr>
        <w:spacing w:after="0" w:line="67" w:lineRule="exact"/>
        <w:rPr>
          <w:sz w:val="20"/>
          <w:szCs w:val="20"/>
          <w:color w:val="auto"/>
        </w:rPr>
      </w:pPr>
    </w:p>
    <w:p>
      <w:pPr>
        <w:jc w:val="both"/>
        <w:ind w:right="2939" w:firstLine="274"/>
        <w:spacing w:after="0" w:line="276" w:lineRule="auto"/>
        <w:rPr>
          <w:sz w:val="20"/>
          <w:szCs w:val="20"/>
          <w:color w:val="auto"/>
        </w:rPr>
      </w:pPr>
      <w:r>
        <w:rPr>
          <w:rFonts w:ascii="Times New Roman" w:cs="Times New Roman" w:eastAsia="Times New Roman" w:hAnsi="Times New Roman"/>
          <w:sz w:val="13"/>
          <w:szCs w:val="13"/>
          <w:b w:val="1"/>
          <w:bCs w:val="1"/>
          <w:color w:val="auto"/>
        </w:rPr>
        <w:t xml:space="preserve">Transfer of Issued Life Insurance Policies to Third Parties. </w:t>
      </w:r>
      <w:r>
        <w:rPr>
          <w:rFonts w:ascii="Times New Roman" w:cs="Times New Roman" w:eastAsia="Times New Roman" w:hAnsi="Times New Roman"/>
          <w:sz w:val="13"/>
          <w:szCs w:val="13"/>
          <w:color w:val="auto"/>
        </w:rPr>
        <w:t>If you transfer the Policy to a third party,</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including a sale of the Policy to a life settlement company, such transfer may be taxable. As noted above, the death benefit will also be taxable in the case of a transfer for value unless certain exceptions apply. We may be required to report certain information to the IRS, as required under Section 6050Y and applicable tax regulations. You should consult with a qualified tax adviser for additional information prior to transferring the Policy.</w:t>
      </w:r>
    </w:p>
    <w:p>
      <w:pPr>
        <w:spacing w:after="0" w:line="46" w:lineRule="exact"/>
        <w:rPr>
          <w:sz w:val="20"/>
          <w:szCs w:val="20"/>
          <w:color w:val="auto"/>
        </w:rPr>
      </w:pPr>
    </w:p>
    <w:p>
      <w:pPr>
        <w:jc w:val="both"/>
        <w:ind w:right="2939" w:firstLine="274"/>
        <w:spacing w:after="0" w:line="259" w:lineRule="auto"/>
        <w:rPr>
          <w:sz w:val="20"/>
          <w:szCs w:val="20"/>
          <w:color w:val="auto"/>
        </w:rPr>
      </w:pPr>
      <w:r>
        <w:rPr>
          <w:rFonts w:ascii="Times New Roman" w:cs="Times New Roman" w:eastAsia="Times New Roman" w:hAnsi="Times New Roman"/>
          <w:sz w:val="14"/>
          <w:szCs w:val="14"/>
          <w:b w:val="1"/>
          <w:bCs w:val="1"/>
          <w:color w:val="auto"/>
        </w:rPr>
        <w:t xml:space="preserve">Other Policy Owner Tax Matters. </w:t>
      </w:r>
      <w:r>
        <w:rPr>
          <w:rFonts w:ascii="Times New Roman" w:cs="Times New Roman" w:eastAsia="Times New Roman" w:hAnsi="Times New Roman"/>
          <w:sz w:val="14"/>
          <w:szCs w:val="14"/>
          <w:color w:val="auto"/>
        </w:rPr>
        <w:t>The application of certain tax rules after age 100 is not entirely clear.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tax consequences of continuing the Policy beyond the Insured’s Attained Age 121 are also unclear. You should consult a tax adviser if you intend to keep the Policy in force beyond the Insured’s Attained Age 100.</w:t>
      </w:r>
    </w:p>
    <w:p>
      <w:pPr>
        <w:spacing w:after="0" w:line="69" w:lineRule="exact"/>
        <w:rPr>
          <w:sz w:val="20"/>
          <w:szCs w:val="20"/>
          <w:color w:val="auto"/>
        </w:rPr>
      </w:pPr>
    </w:p>
    <w:p>
      <w:pPr>
        <w:jc w:val="both"/>
        <w:ind w:right="2939" w:firstLine="274"/>
        <w:spacing w:after="0" w:line="251" w:lineRule="auto"/>
        <w:rPr>
          <w:sz w:val="20"/>
          <w:szCs w:val="20"/>
          <w:color w:val="auto"/>
        </w:rPr>
      </w:pPr>
      <w:r>
        <w:rPr>
          <w:rFonts w:ascii="Times New Roman" w:cs="Times New Roman" w:eastAsia="Times New Roman" w:hAnsi="Times New Roman"/>
          <w:sz w:val="14"/>
          <w:szCs w:val="14"/>
          <w:color w:val="auto"/>
        </w:rPr>
        <w:t>The Policy is not specifically designed to be issued in connection with a plan governed under the Employee Retirement Income Security Act of 1974, as amended, or in connection with a pension or profit-sharing plan, or other similar arrangement. As a result, purchase of the Policy in connection with such plans may result in adverse tax consequences. You should seek advice from a qualified tax adviser if you intend to use the Policy in connection with such plans.</w:t>
      </w:r>
    </w:p>
    <w:p>
      <w:pPr>
        <w:spacing w:after="0" w:line="74" w:lineRule="exact"/>
        <w:rPr>
          <w:sz w:val="20"/>
          <w:szCs w:val="20"/>
          <w:color w:val="auto"/>
        </w:rPr>
      </w:pPr>
    </w:p>
    <w:p>
      <w:pPr>
        <w:jc w:val="both"/>
        <w:ind w:right="2939" w:firstLine="274"/>
        <w:spacing w:after="0" w:line="249" w:lineRule="auto"/>
        <w:rPr>
          <w:sz w:val="20"/>
          <w:szCs w:val="20"/>
          <w:color w:val="auto"/>
        </w:rPr>
      </w:pPr>
      <w:r>
        <w:rPr>
          <w:rFonts w:ascii="Times New Roman" w:cs="Times New Roman" w:eastAsia="Times New Roman" w:hAnsi="Times New Roman"/>
          <w:sz w:val="14"/>
          <w:szCs w:val="14"/>
          <w:color w:val="auto"/>
        </w:rPr>
        <w:t>Ownership of the Policy by a corporation, trust or other non-natural person could jeopardize some (or all) of such entity’s interest deduction under Code Section 264, even where such entity’s indebtedness is in no way connected to the Policy. In addition, under Section 264(f)(5), if a business (other than a sole proprietorship) is directly or indirectly a beneficiary of the Policy, the Policy could be treated as held by the business for purposes of the Section 264(f) entity-holder rules. Therefore, it would be advisable to consult with a qualified tax adviser before any non-natural person is made an owner or holder of the Policy, or before a business (other than a sole proprietorship) is made a beneficiary of the Policy.</w:t>
      </w:r>
    </w:p>
    <w:p>
      <w:pPr>
        <w:spacing w:after="0" w:line="61" w:lineRule="exact"/>
        <w:rPr>
          <w:sz w:val="20"/>
          <w:szCs w:val="20"/>
          <w:color w:val="auto"/>
        </w:rPr>
      </w:pPr>
    </w:p>
    <w:p>
      <w:pPr>
        <w:jc w:val="both"/>
        <w:ind w:right="2939" w:firstLine="274"/>
        <w:spacing w:after="0" w:line="248" w:lineRule="auto"/>
        <w:rPr>
          <w:sz w:val="20"/>
          <w:szCs w:val="20"/>
          <w:color w:val="auto"/>
        </w:rPr>
      </w:pPr>
      <w:r>
        <w:rPr>
          <w:rFonts w:ascii="Times New Roman" w:cs="Times New Roman" w:eastAsia="Times New Roman" w:hAnsi="Times New Roman"/>
          <w:sz w:val="14"/>
          <w:szCs w:val="14"/>
          <w:b w:val="1"/>
          <w:bCs w:val="1"/>
          <w:color w:val="auto"/>
        </w:rPr>
        <w:t xml:space="preserve">Business Uses of Policy. </w:t>
      </w:r>
      <w:r>
        <w:rPr>
          <w:rFonts w:ascii="Times New Roman" w:cs="Times New Roman" w:eastAsia="Times New Roman" w:hAnsi="Times New Roman"/>
          <w:sz w:val="14"/>
          <w:szCs w:val="14"/>
          <w:color w:val="auto"/>
        </w:rPr>
        <w:t>Subject to our administrative rules, businesses can own the Policy and may use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Policy in various arrangements, including split dollar insurance plans. The tax consequences of such plans may vary depending on the particular facts and circumstances. In the case of a business owned Policy, the provisions of Code Section 101(j) may limit the amount of the death benefit excludable from gross income unless a specified exception applies and a notice and consent requirement is satisfied, as discussed above. In addition, Policy premium payments generally may not be deductible, and you should consult with a tax adviser concerning the tax impact of any purchase of the Policy or in connection with any business uses of the Policy. If you are contemplating a change to an existing Policy or purchasing the Policy for any arrangement the value of which depends in part on its tax consequences, you should consult a qualified tax adviser.</w:t>
      </w:r>
    </w:p>
    <w:p>
      <w:pPr>
        <w:spacing w:after="0" w:line="66" w:lineRule="exact"/>
        <w:rPr>
          <w:sz w:val="20"/>
          <w:szCs w:val="20"/>
          <w:color w:val="auto"/>
        </w:rPr>
      </w:pPr>
    </w:p>
    <w:p>
      <w:pPr>
        <w:jc w:val="both"/>
        <w:ind w:right="2939" w:firstLine="274"/>
        <w:spacing w:after="0" w:line="274" w:lineRule="auto"/>
        <w:rPr>
          <w:sz w:val="20"/>
          <w:szCs w:val="20"/>
          <w:color w:val="auto"/>
        </w:rPr>
      </w:pPr>
      <w:r>
        <w:rPr>
          <w:rFonts w:ascii="Times New Roman" w:cs="Times New Roman" w:eastAsia="Times New Roman" w:hAnsi="Times New Roman"/>
          <w:sz w:val="13"/>
          <w:szCs w:val="13"/>
          <w:b w:val="1"/>
          <w:bCs w:val="1"/>
          <w:color w:val="auto"/>
        </w:rPr>
        <w:t xml:space="preserve">Guidance on Split Dollar Plans. </w:t>
      </w:r>
      <w:r>
        <w:rPr>
          <w:rFonts w:ascii="Times New Roman" w:cs="Times New Roman" w:eastAsia="Times New Roman" w:hAnsi="Times New Roman"/>
          <w:sz w:val="13"/>
          <w:szCs w:val="13"/>
          <w:color w:val="auto"/>
        </w:rPr>
        <w:t>The IRS has issued guidance on split dollar insurance plans. A tax adviser</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should be consulted with respect to this guidance if you have purchased or are considering the purchase of a Policy for a split dollar insurance plan. If your Policy is part of an equity split dollar arrangement taxed under the economic benefit regime, there is a risk that some portion of the Policy’s Cash Value may be taxed prior to any Policy distribution. If your split dollar plan provides deferred compensation, specific tax rules governing deferred compensation arrangements may apply. Failure to adhere to these rules will result in adverse tax consequences.</w:t>
      </w:r>
    </w:p>
    <w:p>
      <w:pPr>
        <w:spacing w:after="0" w:line="50" w:lineRule="exact"/>
        <w:rPr>
          <w:sz w:val="20"/>
          <w:szCs w:val="20"/>
          <w:color w:val="auto"/>
        </w:rPr>
      </w:pPr>
    </w:p>
    <w:p>
      <w:pPr>
        <w:jc w:val="both"/>
        <w:ind w:right="2939" w:firstLine="274"/>
        <w:spacing w:after="0" w:line="252" w:lineRule="auto"/>
        <w:rPr>
          <w:sz w:val="20"/>
          <w:szCs w:val="20"/>
          <w:color w:val="auto"/>
        </w:rPr>
      </w:pPr>
      <w:r>
        <w:rPr>
          <w:rFonts w:ascii="Times New Roman" w:cs="Times New Roman" w:eastAsia="Times New Roman" w:hAnsi="Times New Roman"/>
          <w:sz w:val="14"/>
          <w:szCs w:val="14"/>
          <w:color w:val="auto"/>
        </w:rPr>
        <w:t>In addition, the Sarbanes-Oxley Act of 2002 (the “Act”), which was signed into law on July 30, 2002, prohibits, with limited exceptions, publicly traded companies, including non-U.S. companies that have securities listed on U.S. exchanges, from extending, directly or indirectly or through a subsidiary, many types of personal loans to their directors or executive</w:t>
      </w:r>
    </w:p>
    <w:p>
      <w:pPr>
        <w:spacing w:after="0" w:line="198"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4"/>
          <w:szCs w:val="14"/>
          <w:color w:val="auto"/>
        </w:rPr>
        <w:t>67</w:t>
      </w:r>
    </w:p>
    <w:p>
      <w:pPr>
        <w:sectPr>
          <w:pgSz w:w="11900" w:h="16838" w:orient="portrait"/>
          <w:cols w:equalWidth="0" w:num="1">
            <w:col w:w="9219"/>
          </w:cols>
          <w:pgMar w:left="1240" w:top="1083" w:right="1440" w:bottom="1440" w:gutter="0" w:footer="0" w:header="0"/>
        </w:sectPr>
      </w:pPr>
    </w:p>
    <w:bookmarkStart w:id="70" w:name="page71"/>
    <w:bookmarkEnd w:id="70"/>
    <w:p>
      <w:pPr>
        <w:jc w:val="both"/>
        <w:ind w:right="2939"/>
        <w:spacing w:after="0" w:line="256"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422275</wp:posOffset>
            </wp:positionV>
            <wp:extent cx="719010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90105" cy="38735"/>
                    </a:xfrm>
                    <a:prstGeom prst="rect">
                      <a:avLst/>
                    </a:prstGeom>
                    <a:noFill/>
                  </pic:spPr>
                </pic:pic>
              </a:graphicData>
            </a:graphic>
          </wp:anchor>
        </w:drawing>
        <w:t>officers. It is possible that this prohibition may be interpreted to apply to split-dollar life insurance arrangements for directors and executive officers of such companies, since such arrangements can arguably be viewed as involving a loan from the employer for at least some purposes.</w:t>
      </w:r>
    </w:p>
    <w:p>
      <w:pPr>
        <w:spacing w:after="0" w:line="61" w:lineRule="exact"/>
        <w:rPr>
          <w:sz w:val="20"/>
          <w:szCs w:val="20"/>
          <w:color w:val="auto"/>
        </w:rPr>
      </w:pPr>
    </w:p>
    <w:p>
      <w:pPr>
        <w:jc w:val="both"/>
        <w:ind w:right="2939" w:firstLine="274"/>
        <w:spacing w:after="0" w:line="267" w:lineRule="auto"/>
        <w:rPr>
          <w:sz w:val="20"/>
          <w:szCs w:val="20"/>
          <w:color w:val="auto"/>
        </w:rPr>
      </w:pPr>
      <w:r>
        <w:rPr>
          <w:rFonts w:ascii="Times New Roman" w:cs="Times New Roman" w:eastAsia="Times New Roman" w:hAnsi="Times New Roman"/>
          <w:sz w:val="14"/>
          <w:szCs w:val="14"/>
          <w:color w:val="auto"/>
        </w:rPr>
        <w:t>Any affected business contemplating the payment of a premium on an existing Policy or the purchase of a new Policy in connection with a split-dollar life insurance arrangement should consult legal counsel.</w:t>
      </w:r>
    </w:p>
    <w:p>
      <w:pPr>
        <w:spacing w:after="0" w:line="49" w:lineRule="exact"/>
        <w:rPr>
          <w:sz w:val="20"/>
          <w:szCs w:val="20"/>
          <w:color w:val="auto"/>
        </w:rPr>
      </w:pPr>
    </w:p>
    <w:p>
      <w:pPr>
        <w:jc w:val="both"/>
        <w:ind w:right="2939" w:firstLine="274"/>
        <w:spacing w:after="0" w:line="259" w:lineRule="auto"/>
        <w:rPr>
          <w:sz w:val="20"/>
          <w:szCs w:val="20"/>
          <w:color w:val="auto"/>
        </w:rPr>
      </w:pPr>
      <w:r>
        <w:rPr>
          <w:rFonts w:ascii="Times New Roman" w:cs="Times New Roman" w:eastAsia="Times New Roman" w:hAnsi="Times New Roman"/>
          <w:sz w:val="14"/>
          <w:szCs w:val="14"/>
          <w:b w:val="1"/>
          <w:bCs w:val="1"/>
          <w:color w:val="auto"/>
        </w:rPr>
        <w:t xml:space="preserve">Possible Tax Law Changes. </w:t>
      </w:r>
      <w:r>
        <w:rPr>
          <w:rFonts w:ascii="Times New Roman" w:cs="Times New Roman" w:eastAsia="Times New Roman" w:hAnsi="Times New Roman"/>
          <w:sz w:val="14"/>
          <w:szCs w:val="14"/>
          <w:color w:val="auto"/>
        </w:rPr>
        <w:t>Although the likelihood of legislative changes is uncertain, there is always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possibility that the tax treatment of the Policy could change by legislation or otherwise. Consult a tax adviser with respect to legislative developments and their effect on the Policy.</w:t>
      </w:r>
    </w:p>
    <w:p>
      <w:pPr>
        <w:spacing w:after="0" w:line="55" w:lineRule="exact"/>
        <w:rPr>
          <w:sz w:val="20"/>
          <w:szCs w:val="20"/>
          <w:color w:val="auto"/>
        </w:rPr>
      </w:pPr>
    </w:p>
    <w:p>
      <w:pPr>
        <w:jc w:val="both"/>
        <w:ind w:right="2939" w:firstLine="274"/>
        <w:spacing w:after="0" w:line="254" w:lineRule="auto"/>
        <w:rPr>
          <w:sz w:val="20"/>
          <w:szCs w:val="20"/>
          <w:color w:val="auto"/>
        </w:rPr>
      </w:pPr>
      <w:r>
        <w:rPr>
          <w:rFonts w:ascii="Times New Roman" w:cs="Times New Roman" w:eastAsia="Times New Roman" w:hAnsi="Times New Roman"/>
          <w:sz w:val="14"/>
          <w:szCs w:val="14"/>
          <w:b w:val="1"/>
          <w:bCs w:val="1"/>
          <w:color w:val="auto"/>
        </w:rPr>
        <w:t xml:space="preserve">Tax Credits and Deductions. </w:t>
      </w:r>
      <w:r>
        <w:rPr>
          <w:rFonts w:ascii="Times New Roman" w:cs="Times New Roman" w:eastAsia="Times New Roman" w:hAnsi="Times New Roman"/>
          <w:sz w:val="14"/>
          <w:szCs w:val="14"/>
          <w:color w:val="auto"/>
        </w:rPr>
        <w:t>BLIC may be entitled to certain tax benefits related to the assets of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Separate Account. These tax benefits, which may include foreign tax credits and corporate dividend received deductions, are not passed back to the Separate Account or to Policy Owners since BLIC is the owner of the assets from which the tax benefits are derived.</w:t>
      </w:r>
    </w:p>
    <w:p>
      <w:pPr>
        <w:spacing w:after="0" w:line="224"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4"/>
          <w:szCs w:val="14"/>
          <w:b w:val="1"/>
          <w:bCs w:val="1"/>
          <w:color w:val="auto"/>
        </w:rPr>
        <w:t>YOUR RIGHT TO EXAMINE</w:t>
      </w:r>
    </w:p>
    <w:p>
      <w:pPr>
        <w:spacing w:after="0" w:line="90" w:lineRule="exact"/>
        <w:rPr>
          <w:sz w:val="20"/>
          <w:szCs w:val="20"/>
          <w:color w:val="auto"/>
        </w:rPr>
      </w:pPr>
    </w:p>
    <w:p>
      <w:pPr>
        <w:jc w:val="both"/>
        <w:ind w:right="2939" w:firstLine="274"/>
        <w:spacing w:after="0" w:line="251" w:lineRule="auto"/>
        <w:rPr>
          <w:sz w:val="20"/>
          <w:szCs w:val="20"/>
          <w:color w:val="auto"/>
        </w:rPr>
      </w:pPr>
      <w:r>
        <w:rPr>
          <w:rFonts w:ascii="Times New Roman" w:cs="Times New Roman" w:eastAsia="Times New Roman" w:hAnsi="Times New Roman"/>
          <w:sz w:val="14"/>
          <w:szCs w:val="14"/>
          <w:color w:val="auto"/>
        </w:rPr>
        <w:t>You may cancel the Policy within ten days (more in some states) after you receive it. See Appendix F for state variations. This is known as the “Right to Examine” or “Free Look.” You may return the Policy to our Administrative Office or your financial representative. Insurance coverage ends as soon as you return the Policy (determined by postmark, if the Policy is mailed). When you cancel the Policy within this Right to Examine period, we will not assess a Surrender charge.</w:t>
      </w:r>
    </w:p>
    <w:p>
      <w:pPr>
        <w:spacing w:after="0" w:line="63" w:lineRule="exact"/>
        <w:rPr>
          <w:sz w:val="20"/>
          <w:szCs w:val="20"/>
          <w:color w:val="auto"/>
        </w:rPr>
      </w:pPr>
    </w:p>
    <w:p>
      <w:pPr>
        <w:jc w:val="both"/>
        <w:ind w:right="2939" w:firstLine="274"/>
        <w:spacing w:after="0" w:line="248" w:lineRule="auto"/>
        <w:rPr>
          <w:sz w:val="20"/>
          <w:szCs w:val="20"/>
          <w:color w:val="auto"/>
        </w:rPr>
      </w:pPr>
      <w:r>
        <w:rPr>
          <w:rFonts w:ascii="Times New Roman" w:cs="Times New Roman" w:eastAsia="Times New Roman" w:hAnsi="Times New Roman"/>
          <w:sz w:val="14"/>
          <w:szCs w:val="14"/>
          <w:color w:val="auto"/>
        </w:rPr>
        <w:t>If you cancel the Policy, depending on state law, we refund either: (a) premiums paid, less any loan amount; or (b) the Policy’s Cash Value as of the date we receive the returned Policy, plus any charges we deducted (the Percent of Premium Charge and the Annual Deduction), less any Policy Loan Balance. The amount you receive for a cancellation request submitted to your financial representative will depend on the day that such request is, in turn, provided to us. In states where we return your Cash Value, the amount you receive may be more or less than your premium payments depending upon the Indexed Accounts you allocated your Net Premiums to during the Right to Examine period. It is important to note that we will use an Interim Segment Value calculation to determine the Indexed Account Cash Value. This means that you bear the risk of any decline in the Cash Value of your Policy during the Right to Examine period.</w:t>
      </w:r>
    </w:p>
    <w:p>
      <w:pPr>
        <w:spacing w:after="0" w:line="227"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4"/>
          <w:szCs w:val="14"/>
          <w:b w:val="1"/>
          <w:bCs w:val="1"/>
          <w:color w:val="auto"/>
        </w:rPr>
        <w:t>OWNERSHIP PROVISIONS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Owner</w:t>
      </w:r>
    </w:p>
    <w:p>
      <w:pPr>
        <w:spacing w:after="0" w:line="90" w:lineRule="exact"/>
        <w:rPr>
          <w:sz w:val="20"/>
          <w:szCs w:val="20"/>
          <w:color w:val="auto"/>
        </w:rPr>
      </w:pPr>
    </w:p>
    <w:p>
      <w:pPr>
        <w:jc w:val="both"/>
        <w:ind w:right="2939" w:firstLine="274"/>
        <w:spacing w:after="0" w:line="267" w:lineRule="auto"/>
        <w:rPr>
          <w:sz w:val="20"/>
          <w:szCs w:val="20"/>
          <w:color w:val="auto"/>
        </w:rPr>
      </w:pPr>
      <w:r>
        <w:rPr>
          <w:rFonts w:ascii="Times New Roman" w:cs="Times New Roman" w:eastAsia="Times New Roman" w:hAnsi="Times New Roman"/>
          <w:sz w:val="14"/>
          <w:szCs w:val="14"/>
          <w:color w:val="auto"/>
        </w:rPr>
        <w:t>You, as the Owner, have all the interest and rights under the Policy. Subject to our administrative procedures, we may also permit ownership by a corporation (a type of non-natural person) or other legal entity.</w:t>
      </w:r>
    </w:p>
    <w:p>
      <w:pPr>
        <w:spacing w:after="0" w:line="5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These rights include the right to:</w:t>
      </w:r>
    </w:p>
    <w:p>
      <w:pPr>
        <w:spacing w:after="0" w:line="86" w:lineRule="exact"/>
        <w:rPr>
          <w:sz w:val="20"/>
          <w:szCs w:val="20"/>
          <w:color w:val="auto"/>
        </w:rPr>
      </w:pPr>
    </w:p>
    <w:p>
      <w:pPr>
        <w:ind w:left="540" w:hanging="271"/>
        <w:spacing w:after="0"/>
        <w:tabs>
          <w:tab w:leader="none" w:pos="54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 the Owner.</w:t>
      </w:r>
    </w:p>
    <w:p>
      <w:pPr>
        <w:spacing w:after="0" w:line="85" w:lineRule="exact"/>
        <w:rPr>
          <w:rFonts w:ascii="Times New Roman" w:cs="Times New Roman" w:eastAsia="Times New Roman" w:hAnsi="Times New Roman"/>
          <w:sz w:val="14"/>
          <w:szCs w:val="14"/>
          <w:color w:val="auto"/>
        </w:rPr>
      </w:pPr>
    </w:p>
    <w:p>
      <w:pPr>
        <w:ind w:left="540" w:hanging="271"/>
        <w:spacing w:after="0"/>
        <w:tabs>
          <w:tab w:leader="none" w:pos="54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 the beneficiary.</w:t>
      </w:r>
    </w:p>
    <w:p>
      <w:pPr>
        <w:spacing w:after="0" w:line="85" w:lineRule="exact"/>
        <w:rPr>
          <w:rFonts w:ascii="Times New Roman" w:cs="Times New Roman" w:eastAsia="Times New Roman" w:hAnsi="Times New Roman"/>
          <w:sz w:val="14"/>
          <w:szCs w:val="14"/>
          <w:color w:val="auto"/>
        </w:rPr>
      </w:pPr>
    </w:p>
    <w:p>
      <w:pPr>
        <w:ind w:left="540" w:hanging="271"/>
        <w:spacing w:after="0"/>
        <w:tabs>
          <w:tab w:leader="none" w:pos="54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assign the Policy (subject to limitation).</w:t>
      </w:r>
    </w:p>
    <w:p>
      <w:pPr>
        <w:spacing w:after="0" w:line="85" w:lineRule="exact"/>
        <w:rPr>
          <w:rFonts w:ascii="Times New Roman" w:cs="Times New Roman" w:eastAsia="Times New Roman" w:hAnsi="Times New Roman"/>
          <w:sz w:val="14"/>
          <w:szCs w:val="14"/>
          <w:color w:val="auto"/>
        </w:rPr>
      </w:pPr>
    </w:p>
    <w:p>
      <w:pPr>
        <w:ind w:left="540" w:hanging="271"/>
        <w:spacing w:after="0"/>
        <w:tabs>
          <w:tab w:leader="none" w:pos="54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exercise all other rights, benefits, options, and privileges permitted by the Policy or us.</w:t>
      </w:r>
    </w:p>
    <w:p>
      <w:pPr>
        <w:spacing w:after="0" w:line="86" w:lineRule="exact"/>
        <w:rPr>
          <w:sz w:val="20"/>
          <w:szCs w:val="20"/>
          <w:color w:val="auto"/>
        </w:rPr>
      </w:pPr>
    </w:p>
    <w:p>
      <w:pPr>
        <w:jc w:val="both"/>
        <w:ind w:right="2939" w:firstLine="274"/>
        <w:spacing w:after="0" w:line="249" w:lineRule="auto"/>
        <w:rPr>
          <w:sz w:val="20"/>
          <w:szCs w:val="20"/>
          <w:color w:val="auto"/>
        </w:rPr>
      </w:pPr>
      <w:r>
        <w:rPr>
          <w:rFonts w:ascii="Times New Roman" w:cs="Times New Roman" w:eastAsia="Times New Roman" w:hAnsi="Times New Roman"/>
          <w:sz w:val="14"/>
          <w:szCs w:val="14"/>
          <w:color w:val="auto"/>
        </w:rPr>
        <w:t>The Owner is as designated at the time the Policy is issued, unless changed. After the date we issue the Policy but before the death of the Insured, you may change the Owner at any time. Any change of Owner is subject to our underwriting requirements in effect at the time of the request. A change of Owner will automatically revoke any prior designation of the Owner unless there is an irrevocable beneficiary. Irrevocable beneficiaries must consent to any change of beneficiary. The new Owner will have all of the rights of the Owner, including the right to make further change of Owner.</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More than One Owner</w:t>
      </w:r>
    </w:p>
    <w:p>
      <w:pPr>
        <w:spacing w:after="0" w:line="90" w:lineRule="exact"/>
        <w:rPr>
          <w:sz w:val="20"/>
          <w:szCs w:val="20"/>
          <w:color w:val="auto"/>
        </w:rPr>
      </w:pPr>
    </w:p>
    <w:p>
      <w:pPr>
        <w:jc w:val="both"/>
        <w:ind w:right="2939" w:firstLine="274"/>
        <w:spacing w:after="0" w:line="252" w:lineRule="auto"/>
        <w:rPr>
          <w:sz w:val="20"/>
          <w:szCs w:val="20"/>
          <w:color w:val="auto"/>
        </w:rPr>
      </w:pPr>
      <w:r>
        <w:rPr>
          <w:rFonts w:ascii="Times New Roman" w:cs="Times New Roman" w:eastAsia="Times New Roman" w:hAnsi="Times New Roman"/>
          <w:sz w:val="14"/>
          <w:szCs w:val="14"/>
          <w:color w:val="auto"/>
        </w:rPr>
        <w:t>The Policy can be owned by more than one Owner. All Owners must exercise the rights of ownership by joint action. Upon the death of an Owner that Owner’s estate will be the Owner, unless a successor Owner or contingent Owner has been named. The rights of the Owner will end at the death of the Insured, except as provided in the beneficiary of Your Policy provision.</w:t>
      </w:r>
    </w:p>
    <w:p>
      <w:pPr>
        <w:spacing w:after="0" w:line="208"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4"/>
          <w:szCs w:val="14"/>
          <w:color w:val="auto"/>
        </w:rPr>
        <w:t>68</w:t>
      </w:r>
    </w:p>
    <w:p>
      <w:pPr>
        <w:sectPr>
          <w:pgSz w:w="11900" w:h="16838" w:orient="portrait"/>
          <w:cols w:equalWidth="0" w:num="1">
            <w:col w:w="9219"/>
          </w:cols>
          <w:pgMar w:left="1240" w:top="1083" w:right="1440"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422275</wp:posOffset>
            </wp:positionV>
            <wp:extent cx="719010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90105" cy="38735"/>
                    </a:xfrm>
                    <a:prstGeom prst="rect">
                      <a:avLst/>
                    </a:prstGeom>
                    <a:noFill/>
                  </pic:spPr>
                </pic:pic>
              </a:graphicData>
            </a:graphic>
          </wp:anchor>
        </w:drawing>
        <w:t>Beneficiary</w:t>
      </w:r>
    </w:p>
    <w:p>
      <w:pPr>
        <w:spacing w:after="0" w:line="90" w:lineRule="exact"/>
        <w:rPr>
          <w:sz w:val="20"/>
          <w:szCs w:val="20"/>
          <w:color w:val="auto"/>
        </w:rPr>
      </w:pPr>
    </w:p>
    <w:p>
      <w:pPr>
        <w:jc w:val="both"/>
        <w:ind w:right="2939" w:firstLine="274"/>
        <w:spacing w:after="0" w:line="249" w:lineRule="auto"/>
        <w:rPr>
          <w:sz w:val="20"/>
          <w:szCs w:val="20"/>
          <w:color w:val="auto"/>
        </w:rPr>
      </w:pPr>
      <w:r>
        <w:rPr>
          <w:rFonts w:ascii="Times New Roman" w:cs="Times New Roman" w:eastAsia="Times New Roman" w:hAnsi="Times New Roman"/>
          <w:sz w:val="14"/>
          <w:szCs w:val="14"/>
          <w:color w:val="auto"/>
        </w:rPr>
        <w:t>The person(s) or entity(ies) you name to receive the Policy Proceeds upon the death of the Insured. The beneficiary is named at the time the Policy is issued unless changed at a later date. Unless an irrevocable beneficiary has been named, you can change the beneficiary at any time after the date we issue the Policy but before the death of the Insured. The beneficiary has no interest in the Policy until the death of the Insured. A person must survive the Insured to qualify as beneficiary. If no beneficiary survives, the proceeds will be paid to the Owner, if alive, otherwise the Owner’s estate.</w:t>
      </w:r>
    </w:p>
    <w:p>
      <w:pPr>
        <w:spacing w:after="0" w:line="68" w:lineRule="exact"/>
        <w:rPr>
          <w:sz w:val="20"/>
          <w:szCs w:val="20"/>
          <w:color w:val="auto"/>
        </w:rPr>
      </w:pPr>
    </w:p>
    <w:p>
      <w:pPr>
        <w:jc w:val="both"/>
        <w:ind w:right="2939" w:firstLine="274"/>
        <w:spacing w:after="0" w:line="251" w:lineRule="auto"/>
        <w:rPr>
          <w:sz w:val="20"/>
          <w:szCs w:val="20"/>
          <w:color w:val="auto"/>
        </w:rPr>
      </w:pPr>
      <w:r>
        <w:rPr>
          <w:rFonts w:ascii="Times New Roman" w:cs="Times New Roman" w:eastAsia="Times New Roman" w:hAnsi="Times New Roman"/>
          <w:sz w:val="14"/>
          <w:szCs w:val="14"/>
          <w:color w:val="auto"/>
        </w:rPr>
        <w:t>If you want the change the Owner or beneficiary, you must make a request by submitting a Notice to us during the Insured’s lifetime. Once the request is received, unless you tell us otherwise, the change will take effect as of the date you signed the Notice, whether or not the Insured is living when we receive your request. The change will be subject to any legal restrictions. It will also be subject to any payment we made or action we took before we received the change.</w:t>
      </w:r>
    </w:p>
    <w:p>
      <w:pPr>
        <w:spacing w:after="0" w:line="63" w:lineRule="exact"/>
        <w:rPr>
          <w:sz w:val="20"/>
          <w:szCs w:val="20"/>
          <w:color w:val="auto"/>
        </w:rPr>
      </w:pPr>
    </w:p>
    <w:p>
      <w:pPr>
        <w:jc w:val="both"/>
        <w:ind w:right="2939" w:firstLine="274"/>
        <w:spacing w:after="0" w:line="256" w:lineRule="auto"/>
        <w:rPr>
          <w:sz w:val="20"/>
          <w:szCs w:val="20"/>
          <w:color w:val="auto"/>
        </w:rPr>
      </w:pPr>
      <w:r>
        <w:rPr>
          <w:rFonts w:ascii="Times New Roman" w:cs="Times New Roman" w:eastAsia="Times New Roman" w:hAnsi="Times New Roman"/>
          <w:sz w:val="14"/>
          <w:szCs w:val="14"/>
          <w:color w:val="auto"/>
        </w:rPr>
        <w:t>A numbered sequence can be used to name successive Owners or beneficiaries. Co-beneficiaries will receive equal shares unless otherwise stated. In naming (designating) Owners or beneficiaries, unless you tell us otherwise, if you use the terms below, they will be interpreted as stated in this provision:</w:t>
      </w:r>
    </w:p>
    <w:p>
      <w:pPr>
        <w:spacing w:after="0" w:line="61" w:lineRule="exact"/>
        <w:rPr>
          <w:sz w:val="20"/>
          <w:szCs w:val="20"/>
          <w:color w:val="auto"/>
        </w:rPr>
      </w:pPr>
    </w:p>
    <w:p>
      <w:pPr>
        <w:jc w:val="both"/>
        <w:ind w:right="2939" w:firstLine="274"/>
        <w:spacing w:after="0" w:line="267" w:lineRule="auto"/>
        <w:rPr>
          <w:sz w:val="20"/>
          <w:szCs w:val="20"/>
          <w:color w:val="auto"/>
        </w:rPr>
      </w:pPr>
      <w:r>
        <w:rPr>
          <w:rFonts w:ascii="Times New Roman" w:cs="Times New Roman" w:eastAsia="Times New Roman" w:hAnsi="Times New Roman"/>
          <w:sz w:val="14"/>
          <w:szCs w:val="14"/>
          <w:color w:val="auto"/>
        </w:rPr>
        <w:t>A general designation of unnamed children as a group of beneficiaries includes all future children born to or adopted by the Insured after the date of the designation, including a posthumous child.</w:t>
      </w:r>
    </w:p>
    <w:p>
      <w:pPr>
        <w:spacing w:after="0" w:line="53" w:lineRule="exact"/>
        <w:rPr>
          <w:sz w:val="20"/>
          <w:szCs w:val="20"/>
          <w:color w:val="auto"/>
        </w:rPr>
      </w:pPr>
    </w:p>
    <w:p>
      <w:pPr>
        <w:jc w:val="both"/>
        <w:ind w:right="2939" w:firstLine="274"/>
        <w:spacing w:after="0" w:line="267" w:lineRule="auto"/>
        <w:rPr>
          <w:sz w:val="20"/>
          <w:szCs w:val="20"/>
          <w:color w:val="auto"/>
        </w:rPr>
      </w:pPr>
      <w:r>
        <w:rPr>
          <w:rFonts w:ascii="Times New Roman" w:cs="Times New Roman" w:eastAsia="Times New Roman" w:hAnsi="Times New Roman"/>
          <w:sz w:val="14"/>
          <w:szCs w:val="14"/>
          <w:color w:val="auto"/>
        </w:rPr>
        <w:t>“Provision for issue” means that if a named beneficiary does not survive the Insured, the share of the Policy Proceeds for that beneficiary will go to that beneficiary’s living issue by right of representation.</w:t>
      </w:r>
    </w:p>
    <w:p>
      <w:pPr>
        <w:spacing w:after="0" w:line="53" w:lineRule="exact"/>
        <w:rPr>
          <w:sz w:val="20"/>
          <w:szCs w:val="20"/>
          <w:color w:val="auto"/>
        </w:rPr>
      </w:pPr>
    </w:p>
    <w:p>
      <w:pPr>
        <w:jc w:val="both"/>
        <w:ind w:right="2939" w:firstLine="274"/>
        <w:spacing w:after="0" w:line="267" w:lineRule="auto"/>
        <w:rPr>
          <w:sz w:val="20"/>
          <w:szCs w:val="20"/>
          <w:color w:val="auto"/>
        </w:rPr>
      </w:pPr>
      <w:r>
        <w:rPr>
          <w:rFonts w:ascii="Times New Roman" w:cs="Times New Roman" w:eastAsia="Times New Roman" w:hAnsi="Times New Roman"/>
          <w:sz w:val="14"/>
          <w:szCs w:val="14"/>
          <w:color w:val="auto"/>
        </w:rPr>
        <w:t>A designation that specifies a family relationship such as “wife,” “husband,” “spouse,” or “child” refers to their relationship to the Insured.</w:t>
      </w:r>
    </w:p>
    <w:p>
      <w:pPr>
        <w:spacing w:after="0" w:line="53" w:lineRule="exact"/>
        <w:rPr>
          <w:sz w:val="20"/>
          <w:szCs w:val="20"/>
          <w:color w:val="auto"/>
        </w:rPr>
      </w:pPr>
    </w:p>
    <w:p>
      <w:pPr>
        <w:jc w:val="both"/>
        <w:ind w:right="2939" w:firstLine="274"/>
        <w:spacing w:after="0" w:line="267" w:lineRule="auto"/>
        <w:rPr>
          <w:sz w:val="20"/>
          <w:szCs w:val="20"/>
          <w:color w:val="auto"/>
        </w:rPr>
      </w:pPr>
      <w:r>
        <w:rPr>
          <w:rFonts w:ascii="Times New Roman" w:cs="Times New Roman" w:eastAsia="Times New Roman" w:hAnsi="Times New Roman"/>
          <w:sz w:val="14"/>
          <w:szCs w:val="14"/>
          <w:color w:val="auto"/>
        </w:rPr>
        <w:t>At the time of payment of Policy Proceeds, we can rely on an affidavit of any Owner or other responsible person to determine family relations or members of a class.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Assignment</w:t>
      </w:r>
    </w:p>
    <w:p>
      <w:pPr>
        <w:spacing w:after="0" w:line="90" w:lineRule="exact"/>
        <w:rPr>
          <w:sz w:val="20"/>
          <w:szCs w:val="20"/>
          <w:color w:val="auto"/>
        </w:rPr>
      </w:pPr>
    </w:p>
    <w:p>
      <w:pPr>
        <w:jc w:val="both"/>
        <w:ind w:right="2939" w:firstLine="274"/>
        <w:spacing w:after="0" w:line="247" w:lineRule="auto"/>
        <w:rPr>
          <w:sz w:val="20"/>
          <w:szCs w:val="20"/>
          <w:color w:val="auto"/>
        </w:rPr>
      </w:pPr>
      <w:r>
        <w:rPr>
          <w:rFonts w:ascii="Times New Roman" w:cs="Times New Roman" w:eastAsia="Times New Roman" w:hAnsi="Times New Roman"/>
          <w:sz w:val="14"/>
          <w:szCs w:val="14"/>
          <w:color w:val="auto"/>
        </w:rPr>
        <w:t>The Policy may be assigned with our prior approval. You must send a Notice to us at our Administrative Office. To the extent allowed by state law, we reserve the right to refuse our consent to any assignment at any time on a nondiscriminatory basis. If you make an absolute assignment of the Policy, there is no change of Owner or beneficiary. However, the rights of the Owner and beneficiary will be subject to the terms of the collateral assignment. We will not be party to a collateral assignment, nor will we be responsible for verifying any information provided to us in connection with any assignment or determining whether or not an assignment is valid. An assignment, unless you tell us otherwise, will be effective on the date signed by you, subject to any payments made or actions taken by us prior to receipt of such Notice. We assume no responsibility for the validity or effect of any assignment. We will not be liable for any payment or other action we take in accordance with the Policy before we record the assignment. Assignments will be effective as of the date the written Notice of assignment was signed, subject to all payments made and actions taken by us before a copy of the signed assignment form is received by us at our Administrative Office. You should consult your tax adviser regarding the tax consequences of an assignment. An assignment may be a taxable event.</w:t>
      </w:r>
    </w:p>
    <w:p>
      <w:pPr>
        <w:spacing w:after="0" w:line="22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b w:val="1"/>
          <w:bCs w:val="1"/>
          <w:color w:val="auto"/>
        </w:rPr>
        <w:t>SUSPENSION OF PAYMENT OR TRANSFERS</w:t>
      </w:r>
    </w:p>
    <w:p>
      <w:pPr>
        <w:spacing w:after="0" w:line="90" w:lineRule="exact"/>
        <w:rPr>
          <w:sz w:val="20"/>
          <w:szCs w:val="20"/>
          <w:color w:val="auto"/>
        </w:rPr>
      </w:pPr>
    </w:p>
    <w:p>
      <w:pPr>
        <w:jc w:val="both"/>
        <w:ind w:right="2939" w:firstLine="274"/>
        <w:spacing w:after="0" w:line="307" w:lineRule="auto"/>
        <w:rPr>
          <w:sz w:val="20"/>
          <w:szCs w:val="20"/>
          <w:color w:val="auto"/>
        </w:rPr>
      </w:pPr>
      <w:r>
        <w:rPr>
          <w:rFonts w:ascii="Times New Roman" w:cs="Times New Roman" w:eastAsia="Times New Roman" w:hAnsi="Times New Roman"/>
          <w:sz w:val="13"/>
          <w:szCs w:val="13"/>
          <w:color w:val="auto"/>
        </w:rPr>
        <w:t>We may be required to suspend or delay the payment of the Policy Proceeds, the calculation of Distribution Payments, and transfers when we cannot obtain a Closing Value on the Index under the following circumstances:</w:t>
      </w:r>
    </w:p>
    <w:p>
      <w:pPr>
        <w:spacing w:after="0" w:line="29" w:lineRule="exact"/>
        <w:rPr>
          <w:sz w:val="20"/>
          <w:szCs w:val="20"/>
          <w:color w:val="auto"/>
        </w:rPr>
      </w:pPr>
    </w:p>
    <w:p>
      <w:pPr>
        <w:ind w:left="540" w:right="3059" w:hanging="271"/>
        <w:spacing w:after="0" w:line="267" w:lineRule="auto"/>
        <w:tabs>
          <w:tab w:leader="none" w:pos="54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NYSE, or any other relevant stock exchange, is closed (other than customary weekend and holiday closings);</w:t>
      </w:r>
    </w:p>
    <w:p>
      <w:pPr>
        <w:spacing w:after="0" w:line="53" w:lineRule="exact"/>
        <w:rPr>
          <w:rFonts w:ascii="Times New Roman" w:cs="Times New Roman" w:eastAsia="Times New Roman" w:hAnsi="Times New Roman"/>
          <w:sz w:val="14"/>
          <w:szCs w:val="14"/>
          <w:color w:val="auto"/>
        </w:rPr>
      </w:pPr>
    </w:p>
    <w:p>
      <w:pPr>
        <w:ind w:left="540" w:hanging="271"/>
        <w:spacing w:after="0"/>
        <w:tabs>
          <w:tab w:leader="none" w:pos="54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trading on the NYSE, or any other relevant stock exchange, is restricted;</w:t>
      </w:r>
    </w:p>
    <w:p>
      <w:pPr>
        <w:spacing w:after="0" w:line="85" w:lineRule="exact"/>
        <w:rPr>
          <w:rFonts w:ascii="Times New Roman" w:cs="Times New Roman" w:eastAsia="Times New Roman" w:hAnsi="Times New Roman"/>
          <w:sz w:val="14"/>
          <w:szCs w:val="14"/>
          <w:color w:val="auto"/>
        </w:rPr>
      </w:pPr>
    </w:p>
    <w:p>
      <w:pPr>
        <w:ind w:left="540" w:hanging="271"/>
        <w:spacing w:after="0"/>
        <w:tabs>
          <w:tab w:leader="none" w:pos="54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emergency exists such that we cannot obtain a Closing Value of the Index; or</w:t>
      </w:r>
    </w:p>
    <w:p>
      <w:pPr>
        <w:spacing w:after="0" w:line="85" w:lineRule="exact"/>
        <w:rPr>
          <w:rFonts w:ascii="Times New Roman" w:cs="Times New Roman" w:eastAsia="Times New Roman" w:hAnsi="Times New Roman"/>
          <w:sz w:val="14"/>
          <w:szCs w:val="14"/>
          <w:color w:val="auto"/>
        </w:rPr>
      </w:pPr>
    </w:p>
    <w:p>
      <w:pPr>
        <w:ind w:left="540" w:hanging="271"/>
        <w:spacing w:after="0"/>
        <w:tabs>
          <w:tab w:leader="none" w:pos="54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any other period when a regulator by order, so permits.</w:t>
      </w:r>
    </w:p>
    <w:p>
      <w:pPr>
        <w:spacing w:after="0" w:line="86" w:lineRule="exact"/>
        <w:rPr>
          <w:sz w:val="20"/>
          <w:szCs w:val="20"/>
          <w:color w:val="auto"/>
        </w:rPr>
      </w:pPr>
    </w:p>
    <w:p>
      <w:pPr>
        <w:ind w:right="2939" w:firstLine="274"/>
        <w:spacing w:after="0" w:line="267" w:lineRule="auto"/>
        <w:rPr>
          <w:sz w:val="20"/>
          <w:szCs w:val="20"/>
          <w:color w:val="auto"/>
        </w:rPr>
      </w:pPr>
      <w:r>
        <w:rPr>
          <w:rFonts w:ascii="Times New Roman" w:cs="Times New Roman" w:eastAsia="Times New Roman" w:hAnsi="Times New Roman"/>
          <w:sz w:val="14"/>
          <w:szCs w:val="14"/>
          <w:color w:val="auto"/>
        </w:rPr>
        <w:t>We have the right to defer payment of the part of any amount paid from the Fixed Account or the Holding Accounts on Surrender for no more than six months.</w:t>
      </w:r>
    </w:p>
    <w:p>
      <w:pPr>
        <w:spacing w:after="0" w:line="200" w:lineRule="exact"/>
        <w:rPr>
          <w:sz w:val="20"/>
          <w:szCs w:val="20"/>
          <w:color w:val="auto"/>
        </w:rPr>
      </w:pPr>
    </w:p>
    <w:p>
      <w:pPr>
        <w:spacing w:after="0" w:line="244"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4"/>
          <w:szCs w:val="14"/>
          <w:color w:val="auto"/>
        </w:rPr>
        <w:t>69</w:t>
      </w:r>
    </w:p>
    <w:p>
      <w:pPr>
        <w:sectPr>
          <w:pgSz w:w="11900" w:h="16838" w:orient="portrait"/>
          <w:cols w:equalWidth="0" w:num="1">
            <w:col w:w="9219"/>
          </w:cols>
          <w:pgMar w:left="1240" w:top="1079" w:right="1440" w:bottom="1440" w:gutter="0" w:footer="0" w:header="0"/>
        </w:sectPr>
      </w:pPr>
    </w:p>
    <w:bookmarkStart w:id="72" w:name="page73"/>
    <w:bookmarkEnd w:id="72"/>
    <w:p>
      <w:pPr>
        <w:ind w:left="220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422275</wp:posOffset>
            </wp:positionV>
            <wp:extent cx="719010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90105" cy="38735"/>
                    </a:xfrm>
                    <a:prstGeom prst="rect">
                      <a:avLst/>
                    </a:prstGeom>
                    <a:noFill/>
                  </pic:spPr>
                </pic:pic>
              </a:graphicData>
            </a:graphic>
          </wp:anchor>
        </w:drawing>
        <w:t>THE INSURANCE COMPANY</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Brighthouse Life Insurance Company (“BLIC”)</w:t>
      </w:r>
    </w:p>
    <w:p>
      <w:pPr>
        <w:spacing w:after="0" w:line="90" w:lineRule="exact"/>
        <w:rPr>
          <w:sz w:val="20"/>
          <w:szCs w:val="20"/>
          <w:color w:val="auto"/>
        </w:rPr>
      </w:pPr>
    </w:p>
    <w:p>
      <w:pPr>
        <w:jc w:val="both"/>
        <w:ind w:right="2939" w:firstLine="274"/>
        <w:spacing w:after="0" w:line="272" w:lineRule="auto"/>
        <w:rPr>
          <w:sz w:val="20"/>
          <w:szCs w:val="20"/>
          <w:color w:val="auto"/>
        </w:rPr>
      </w:pPr>
      <w:r>
        <w:rPr>
          <w:rFonts w:ascii="Times New Roman" w:cs="Times New Roman" w:eastAsia="Times New Roman" w:hAnsi="Times New Roman"/>
          <w:sz w:val="13"/>
          <w:szCs w:val="13"/>
          <w:color w:val="auto"/>
        </w:rPr>
        <w:t>BLIC is a Delaware stock insurance company originally incorporated in Connecticut in 1863. BLIC is licensed to conduct business in all states of the United States (except New York), the District of Columbia, the Bahamas, Guam, Puerto Rico, the British Virgin Islands and the U.S. Virgin Islands. BLIC is an indirect wholly-owned subsidiary of, and ultimately controlled by, Brighthouse Financial, Inc. (“BHF”), a publicly-traded company. BHF, through its subsidiaries and affiliates, is one of the largest providers of annuities and life insurance in the U.S. BLIC’s executive offices are located at 11225 North Community House Road, Charlotte, NC 28277.</w:t>
      </w:r>
    </w:p>
    <w:p>
      <w:pPr>
        <w:spacing w:after="0" w:line="53" w:lineRule="exact"/>
        <w:rPr>
          <w:sz w:val="20"/>
          <w:szCs w:val="20"/>
          <w:color w:val="auto"/>
        </w:rPr>
      </w:pPr>
    </w:p>
    <w:p>
      <w:pPr>
        <w:jc w:val="both"/>
        <w:ind w:right="2939" w:firstLine="274"/>
        <w:spacing w:after="0" w:line="251" w:lineRule="auto"/>
        <w:rPr>
          <w:sz w:val="20"/>
          <w:szCs w:val="20"/>
          <w:color w:val="auto"/>
        </w:rPr>
      </w:pPr>
      <w:r>
        <w:rPr>
          <w:rFonts w:ascii="Times New Roman" w:cs="Times New Roman" w:eastAsia="Times New Roman" w:hAnsi="Times New Roman"/>
          <w:sz w:val="14"/>
          <w:szCs w:val="14"/>
          <w:color w:val="auto"/>
        </w:rPr>
        <w:t>On November 6, 2025, BHF and Aquarian Capital LLC (“Aquarian”) announced that they had entered into a definitive agreement under which an affiliate of Aquarian will acquire BHF. This transaction is subject to the satisfaction or waiver of customary closing conditions, including receipt of applicable regulatory approvals. Subject to such approvals and the satisfaction or waiver of the other conditions, the transaction is expected to be consummated in 2026.</w:t>
      </w:r>
    </w:p>
    <w:p>
      <w:pPr>
        <w:spacing w:after="0" w:line="63" w:lineRule="exact"/>
        <w:rPr>
          <w:sz w:val="20"/>
          <w:szCs w:val="20"/>
          <w:color w:val="auto"/>
        </w:rPr>
      </w:pPr>
    </w:p>
    <w:p>
      <w:pPr>
        <w:jc w:val="both"/>
        <w:ind w:right="2939" w:firstLine="274"/>
        <w:spacing w:after="0" w:line="252" w:lineRule="auto"/>
        <w:rPr>
          <w:sz w:val="20"/>
          <w:szCs w:val="20"/>
          <w:color w:val="auto"/>
        </w:rPr>
      </w:pPr>
      <w:r>
        <w:rPr>
          <w:rFonts w:ascii="Times New Roman" w:cs="Times New Roman" w:eastAsia="Times New Roman" w:hAnsi="Times New Roman"/>
          <w:sz w:val="14"/>
          <w:szCs w:val="14"/>
          <w:color w:val="auto"/>
        </w:rPr>
        <w:t>Upon the consummation of the transaction, Aquarian will become the ultimate parent of BHF and BLIC will remain an indirect wholly-owned subsidiary of BHF. Although Aquarian will replace BHF as BLIC’s ultimate parent, BLIC will continue in its present role as the issuer of your Policy. All of your rights and benefits under your Policy and BLIC’s obligations under the Policy will remain unchanged.</w:t>
      </w:r>
    </w:p>
    <w:p>
      <w:pPr>
        <w:spacing w:after="0" w:line="64" w:lineRule="exact"/>
        <w:rPr>
          <w:sz w:val="20"/>
          <w:szCs w:val="20"/>
          <w:color w:val="auto"/>
        </w:rPr>
      </w:pPr>
    </w:p>
    <w:p>
      <w:pPr>
        <w:jc w:val="both"/>
        <w:ind w:right="2939" w:firstLine="274"/>
        <w:spacing w:after="0" w:line="267" w:lineRule="auto"/>
        <w:rPr>
          <w:sz w:val="20"/>
          <w:szCs w:val="20"/>
          <w:color w:val="auto"/>
        </w:rPr>
      </w:pPr>
      <w:r>
        <w:rPr>
          <w:rFonts w:ascii="Times New Roman" w:cs="Times New Roman" w:eastAsia="Times New Roman" w:hAnsi="Times New Roman"/>
          <w:sz w:val="14"/>
          <w:szCs w:val="14"/>
          <w:color w:val="auto"/>
        </w:rPr>
        <w:t>Founded in 2017, Aquarian is a diversified global holding company with a strategic portfolio of insurance and asset management solutions. Aquarian is headquartered in New York, NY.</w:t>
      </w:r>
    </w:p>
    <w:p>
      <w:pPr>
        <w:spacing w:after="0" w:line="214"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4"/>
          <w:szCs w:val="14"/>
          <w:b w:val="1"/>
          <w:bCs w:val="1"/>
          <w:color w:val="auto"/>
        </w:rPr>
        <w:t>THE SEPARATE ACCOUNT</w:t>
      </w:r>
    </w:p>
    <w:p>
      <w:pPr>
        <w:spacing w:after="0" w:line="90" w:lineRule="exact"/>
        <w:rPr>
          <w:sz w:val="20"/>
          <w:szCs w:val="20"/>
          <w:color w:val="auto"/>
        </w:rPr>
      </w:pPr>
    </w:p>
    <w:p>
      <w:pPr>
        <w:jc w:val="both"/>
        <w:ind w:right="2939" w:firstLine="274"/>
        <w:spacing w:after="0" w:line="247" w:lineRule="auto"/>
        <w:rPr>
          <w:sz w:val="20"/>
          <w:szCs w:val="20"/>
          <w:color w:val="auto"/>
        </w:rPr>
      </w:pPr>
      <w:r>
        <w:rPr>
          <w:rFonts w:ascii="Times New Roman" w:cs="Times New Roman" w:eastAsia="Times New Roman" w:hAnsi="Times New Roman"/>
          <w:sz w:val="14"/>
          <w:szCs w:val="14"/>
          <w:color w:val="auto"/>
        </w:rPr>
        <w:t>The assets of the Separate Account are held in our name on behalf of the Separate Account and legally belong to us. These assets are subject to the claims of the creditors of BLIC. We are obligated to pay all money we owe under the Policies—such as Death Benefits, Policy Proceeds, and Distribution Payments— and these obligations are subject to our claims-paying ability. These amounts are not guaranteed by any other party. If the obligation exceeds the assets of the Separate Account, amounts will be transferred to the Separate Account from the General Account. We guarantee all benefits relating to your value in the Indexed Account, regardless of whether assets supporting the Indexed Account are held in a separate account or our General Account. An owner should look to the claims paying ability of BLIC. We issue other annuity contracts and life insurance policies where we pay all money we owe under those contracts and policies from our General Account. The Separate Account is non-insulated, meaning that all of the assets of the Separate Account are chargeable with the claims of any of our policy owners and are subject to the liabilities arising from any of our other business. BLIC is regulated as an insurance company under state law, which includes, generally, limits on the amount and type of investments in its General Account. However, there is no guarantee that we will be able to meet our claims paying obligations; there are risks to purchasing any insurance product.</w:t>
      </w:r>
    </w:p>
    <w:p>
      <w:pPr>
        <w:spacing w:after="0" w:line="67" w:lineRule="exact"/>
        <w:rPr>
          <w:sz w:val="20"/>
          <w:szCs w:val="20"/>
          <w:color w:val="auto"/>
        </w:rPr>
      </w:pPr>
    </w:p>
    <w:p>
      <w:pPr>
        <w:jc w:val="both"/>
        <w:ind w:right="2939" w:firstLine="274"/>
        <w:spacing w:after="0" w:line="248" w:lineRule="auto"/>
        <w:rPr>
          <w:sz w:val="20"/>
          <w:szCs w:val="20"/>
          <w:color w:val="auto"/>
        </w:rPr>
      </w:pPr>
      <w:r>
        <w:rPr>
          <w:rFonts w:ascii="Times New Roman" w:cs="Times New Roman" w:eastAsia="Times New Roman" w:hAnsi="Times New Roman"/>
          <w:sz w:val="14"/>
          <w:szCs w:val="14"/>
          <w:color w:val="auto"/>
        </w:rPr>
        <w:t>When you make a premium payment to the Indexed Accounts of the Policy, the Net Premium applied to an Indexed Account is held in the Separate Account. It is a non-insulated, non-unitized separate account established under Delaware law. We have exclusive and absolute ownership and control of the assets of the Separate Account. You do not share in the investment performance of assets allocated to the Separate Account. All investment income, gains and losses, whether or not realized, from assets allocated to the Separate Account are borne by BLIC. The obligations under the Policy are independent of the investment performance of the Separate Account and are our obligations. We are not obligated to invest according to specific guidelines or strategies except as may be required by Delaware and other state insurance laws.</w:t>
      </w:r>
    </w:p>
    <w:p>
      <w:pPr>
        <w:spacing w:after="0" w:line="68" w:lineRule="exact"/>
        <w:rPr>
          <w:sz w:val="20"/>
          <w:szCs w:val="20"/>
          <w:color w:val="auto"/>
        </w:rPr>
      </w:pPr>
    </w:p>
    <w:p>
      <w:pPr>
        <w:jc w:val="both"/>
        <w:ind w:right="2939" w:firstLine="274"/>
        <w:spacing w:after="0" w:line="267" w:lineRule="auto"/>
        <w:rPr>
          <w:sz w:val="20"/>
          <w:szCs w:val="20"/>
          <w:color w:val="auto"/>
        </w:rPr>
      </w:pPr>
      <w:r>
        <w:rPr>
          <w:rFonts w:ascii="Times New Roman" w:cs="Times New Roman" w:eastAsia="Times New Roman" w:hAnsi="Times New Roman"/>
          <w:sz w:val="14"/>
          <w:szCs w:val="14"/>
          <w:color w:val="auto"/>
        </w:rPr>
        <w:t>We will maintain in the Separate Account assets with an aggregate value at least equal to the Policy reserves associated with the Indexed Accounts of the Separate Account.</w:t>
      </w:r>
    </w:p>
    <w:p>
      <w:pPr>
        <w:spacing w:after="0" w:line="214"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4"/>
          <w:szCs w:val="14"/>
          <w:b w:val="1"/>
          <w:bCs w:val="1"/>
          <w:color w:val="auto"/>
        </w:rPr>
        <w:t>INVESTMENTS BY BLIC</w:t>
      </w:r>
    </w:p>
    <w:p>
      <w:pPr>
        <w:spacing w:after="0" w:line="90" w:lineRule="exact"/>
        <w:rPr>
          <w:sz w:val="20"/>
          <w:szCs w:val="20"/>
          <w:color w:val="auto"/>
        </w:rPr>
      </w:pPr>
    </w:p>
    <w:p>
      <w:pPr>
        <w:jc w:val="both"/>
        <w:ind w:right="2939" w:firstLine="274"/>
        <w:spacing w:after="0" w:line="251" w:lineRule="auto"/>
        <w:rPr>
          <w:sz w:val="20"/>
          <w:szCs w:val="20"/>
          <w:color w:val="auto"/>
        </w:rPr>
      </w:pPr>
      <w:r>
        <w:rPr>
          <w:rFonts w:ascii="Times New Roman" w:cs="Times New Roman" w:eastAsia="Times New Roman" w:hAnsi="Times New Roman"/>
          <w:sz w:val="14"/>
          <w:szCs w:val="14"/>
          <w:color w:val="auto"/>
        </w:rPr>
        <w:t>We must invest our assets, including those in the Separate Account, according to applicable state laws regarding the nature, quality and diversification of investments that may be made by life insurance companies. In general, these laws permit investments, within specified limits and subject to certain qualifications, in Federal, state and municipal obligations, corporate bonds, preferred and common stocks, real estate mortgages, real estate and certain other investments.</w:t>
      </w:r>
    </w:p>
    <w:p>
      <w:pPr>
        <w:spacing w:after="0" w:line="290"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4"/>
          <w:szCs w:val="14"/>
          <w:color w:val="auto"/>
        </w:rPr>
        <w:t>70</w:t>
      </w:r>
    </w:p>
    <w:p>
      <w:pPr>
        <w:sectPr>
          <w:pgSz w:w="11900" w:h="16838" w:orient="portrait"/>
          <w:cols w:equalWidth="0" w:num="1">
            <w:col w:w="9219"/>
          </w:cols>
          <w:pgMar w:left="1240" w:top="1079" w:right="1440" w:bottom="1440" w:gutter="0" w:footer="0" w:header="0"/>
        </w:sectPr>
      </w:pPr>
    </w:p>
    <w:bookmarkStart w:id="73" w:name="page74"/>
    <w:bookmarkEnd w:id="73"/>
    <w:p>
      <w:pPr>
        <w:ind w:left="242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422275</wp:posOffset>
            </wp:positionV>
            <wp:extent cx="719010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90105" cy="38735"/>
                    </a:xfrm>
                    <a:prstGeom prst="rect">
                      <a:avLst/>
                    </a:prstGeom>
                    <a:noFill/>
                  </pic:spPr>
                </pic:pic>
              </a:graphicData>
            </a:graphic>
          </wp:anchor>
        </w:drawing>
        <w:t>ANNUAL STATEMENT</w:t>
      </w:r>
    </w:p>
    <w:p>
      <w:pPr>
        <w:spacing w:after="0" w:line="90" w:lineRule="exact"/>
        <w:rPr>
          <w:sz w:val="20"/>
          <w:szCs w:val="20"/>
          <w:color w:val="auto"/>
        </w:rPr>
      </w:pPr>
    </w:p>
    <w:p>
      <w:pPr>
        <w:ind w:right="2939" w:firstLine="274"/>
        <w:spacing w:after="0" w:line="267" w:lineRule="auto"/>
        <w:rPr>
          <w:sz w:val="20"/>
          <w:szCs w:val="20"/>
          <w:color w:val="auto"/>
        </w:rPr>
      </w:pPr>
      <w:r>
        <w:rPr>
          <w:rFonts w:ascii="Times New Roman" w:cs="Times New Roman" w:eastAsia="Times New Roman" w:hAnsi="Times New Roman"/>
          <w:sz w:val="14"/>
          <w:szCs w:val="14"/>
          <w:color w:val="auto"/>
        </w:rPr>
        <w:t>Each year, or more often if required by law or regulation, we will send you a statement that shows current information, as of a date not more than four months prior to the date of the mailing. The statement will show:</w:t>
      </w:r>
    </w:p>
    <w:p>
      <w:pPr>
        <w:spacing w:after="0" w:line="53" w:lineRule="exact"/>
        <w:rPr>
          <w:sz w:val="20"/>
          <w:szCs w:val="20"/>
          <w:color w:val="auto"/>
        </w:rPr>
      </w:pPr>
    </w:p>
    <w:p>
      <w:pPr>
        <w:ind w:left="540" w:hanging="271"/>
        <w:spacing w:after="0"/>
        <w:tabs>
          <w:tab w:leader="none" w:pos="54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beginning and end dates of the current report period;</w:t>
      </w:r>
    </w:p>
    <w:p>
      <w:pPr>
        <w:spacing w:after="0" w:line="85" w:lineRule="exact"/>
        <w:rPr>
          <w:rFonts w:ascii="Times New Roman" w:cs="Times New Roman" w:eastAsia="Times New Roman" w:hAnsi="Times New Roman"/>
          <w:sz w:val="14"/>
          <w:szCs w:val="14"/>
          <w:color w:val="auto"/>
        </w:rPr>
      </w:pPr>
    </w:p>
    <w:p>
      <w:pPr>
        <w:ind w:left="540" w:hanging="271"/>
        <w:spacing w:after="0"/>
        <w:tabs>
          <w:tab w:leader="none" w:pos="54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Cash Value at the beginning and the end of the current report period;</w:t>
      </w:r>
    </w:p>
    <w:p>
      <w:pPr>
        <w:spacing w:after="0" w:line="85" w:lineRule="exact"/>
        <w:rPr>
          <w:rFonts w:ascii="Times New Roman" w:cs="Times New Roman" w:eastAsia="Times New Roman" w:hAnsi="Times New Roman"/>
          <w:sz w:val="14"/>
          <w:szCs w:val="14"/>
          <w:color w:val="auto"/>
        </w:rPr>
      </w:pPr>
    </w:p>
    <w:p>
      <w:pPr>
        <w:ind w:left="540" w:hanging="271"/>
        <w:spacing w:after="0"/>
        <w:tabs>
          <w:tab w:leader="none" w:pos="54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that have been credited or debited during the current report period, (defined by type);</w:t>
      </w:r>
    </w:p>
    <w:p>
      <w:pPr>
        <w:spacing w:after="0" w:line="85" w:lineRule="exact"/>
        <w:rPr>
          <w:rFonts w:ascii="Times New Roman" w:cs="Times New Roman" w:eastAsia="Times New Roman" w:hAnsi="Times New Roman"/>
          <w:sz w:val="14"/>
          <w:szCs w:val="14"/>
          <w:color w:val="auto"/>
        </w:rPr>
      </w:pPr>
    </w:p>
    <w:p>
      <w:pPr>
        <w:ind w:left="540" w:hanging="271"/>
        <w:spacing w:after="0"/>
        <w:tabs>
          <w:tab w:leader="none" w:pos="54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Policy Loan Balance, if any, at the end of the current report period;</w:t>
      </w:r>
    </w:p>
    <w:p>
      <w:pPr>
        <w:spacing w:after="0" w:line="85" w:lineRule="exact"/>
        <w:rPr>
          <w:rFonts w:ascii="Times New Roman" w:cs="Times New Roman" w:eastAsia="Times New Roman" w:hAnsi="Times New Roman"/>
          <w:sz w:val="14"/>
          <w:szCs w:val="14"/>
          <w:color w:val="auto"/>
        </w:rPr>
      </w:pPr>
    </w:p>
    <w:p>
      <w:pPr>
        <w:ind w:left="540" w:hanging="271"/>
        <w:spacing w:after="0"/>
        <w:tabs>
          <w:tab w:leader="none" w:pos="54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death benefit at the end of the current report period; and</w:t>
      </w:r>
    </w:p>
    <w:p>
      <w:pPr>
        <w:spacing w:after="0" w:line="85" w:lineRule="exact"/>
        <w:rPr>
          <w:rFonts w:ascii="Times New Roman" w:cs="Times New Roman" w:eastAsia="Times New Roman" w:hAnsi="Times New Roman"/>
          <w:sz w:val="14"/>
          <w:szCs w:val="14"/>
          <w:color w:val="auto"/>
        </w:rPr>
      </w:pPr>
    </w:p>
    <w:p>
      <w:pPr>
        <w:ind w:left="540" w:hanging="271"/>
        <w:spacing w:after="0"/>
        <w:tabs>
          <w:tab w:leader="none" w:pos="54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Cash Surrender Value, if any, at the end of the current report period.</w:t>
      </w:r>
    </w:p>
    <w:p>
      <w:pPr>
        <w:spacing w:after="0" w:line="86" w:lineRule="exact"/>
        <w:rPr>
          <w:sz w:val="20"/>
          <w:szCs w:val="20"/>
          <w:color w:val="auto"/>
        </w:rPr>
      </w:pPr>
    </w:p>
    <w:p>
      <w:pPr>
        <w:jc w:val="both"/>
        <w:ind w:right="2939" w:firstLine="274"/>
        <w:spacing w:after="0" w:line="256" w:lineRule="auto"/>
        <w:rPr>
          <w:sz w:val="20"/>
          <w:szCs w:val="20"/>
          <w:color w:val="auto"/>
        </w:rPr>
      </w:pPr>
      <w:r>
        <w:rPr>
          <w:rFonts w:ascii="Times New Roman" w:cs="Times New Roman" w:eastAsia="Times New Roman" w:hAnsi="Times New Roman"/>
          <w:sz w:val="14"/>
          <w:szCs w:val="14"/>
          <w:color w:val="auto"/>
        </w:rPr>
        <w:t>If assuming guaranteed interest, mortality and expense charges, and continued Planned Premium Payments, the Cash Surrender Value will not be sufficient to maintain the Policy in force until the end of the next reporting period, a notification to this effect will be included in the report.</w:t>
      </w:r>
    </w:p>
    <w:p>
      <w:pPr>
        <w:spacing w:after="0" w:line="61" w:lineRule="exact"/>
        <w:rPr>
          <w:sz w:val="20"/>
          <w:szCs w:val="20"/>
          <w:color w:val="auto"/>
        </w:rPr>
      </w:pPr>
    </w:p>
    <w:p>
      <w:pPr>
        <w:jc w:val="both"/>
        <w:ind w:right="2939" w:firstLine="274"/>
        <w:spacing w:after="0" w:line="256" w:lineRule="auto"/>
        <w:rPr>
          <w:sz w:val="20"/>
          <w:szCs w:val="20"/>
          <w:color w:val="auto"/>
        </w:rPr>
      </w:pPr>
      <w:r>
        <w:rPr>
          <w:rFonts w:ascii="Times New Roman" w:cs="Times New Roman" w:eastAsia="Times New Roman" w:hAnsi="Times New Roman"/>
          <w:sz w:val="14"/>
          <w:szCs w:val="14"/>
          <w:color w:val="auto"/>
        </w:rPr>
        <w:t>Such statements will be sent to your last known address on our records. You will have sixty (60) days from the date you receive such statement to inform us of any errors, otherwise such statement will be deemed final and correct.</w:t>
      </w:r>
    </w:p>
    <w:p>
      <w:pPr>
        <w:spacing w:after="0" w:line="221"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4"/>
          <w:szCs w:val="14"/>
          <w:b w:val="1"/>
          <w:bCs w:val="1"/>
          <w:color w:val="auto"/>
        </w:rPr>
        <w:t>DISTRIBUTION OF THE POLICIES</w:t>
      </w:r>
    </w:p>
    <w:p>
      <w:pPr>
        <w:spacing w:after="0" w:line="90" w:lineRule="exact"/>
        <w:rPr>
          <w:sz w:val="20"/>
          <w:szCs w:val="20"/>
          <w:color w:val="auto"/>
        </w:rPr>
      </w:pPr>
    </w:p>
    <w:p>
      <w:pPr>
        <w:jc w:val="both"/>
        <w:ind w:right="2939" w:firstLine="274"/>
        <w:spacing w:after="0" w:line="248" w:lineRule="auto"/>
        <w:rPr>
          <w:sz w:val="20"/>
          <w:szCs w:val="20"/>
          <w:color w:val="auto"/>
        </w:rPr>
      </w:pPr>
      <w:r>
        <w:rPr>
          <w:rFonts w:ascii="Times New Roman" w:cs="Times New Roman" w:eastAsia="Times New Roman" w:hAnsi="Times New Roman"/>
          <w:sz w:val="14"/>
          <w:szCs w:val="14"/>
          <w:color w:val="auto"/>
        </w:rPr>
        <w:t>Brighthouse Securities, LLC (“Brighthouse Securities”) is the principal underwriter and distributor of the securities offered through this prospectus. Brighthouse Securities is our affiliate and its principal executive offices are located at 11225 North Community House Road, Charlotte, NC 28277. Both we and Brighthouse Securities are indirect, wholly owned subsidiaries of BHF. Brighthouse Securities is a member of the Financial Industry Regulatory Authority (FINRA). FINRA provides background information about broker-dealers and their registered representatives through FINRA BrokerCheck. You may contact the FINRA BrokerCheck Hotline at 1-800-289-9999 or log on to www.finra.org. An investor brochure that includes information describing FINRA BrokerCheck is available through the Hotline or on-line.</w:t>
      </w:r>
    </w:p>
    <w:p>
      <w:pPr>
        <w:spacing w:after="0" w:line="68" w:lineRule="exact"/>
        <w:rPr>
          <w:sz w:val="20"/>
          <w:szCs w:val="20"/>
          <w:color w:val="auto"/>
        </w:rPr>
      </w:pPr>
    </w:p>
    <w:p>
      <w:pPr>
        <w:jc w:val="both"/>
        <w:ind w:right="2939" w:firstLine="274"/>
        <w:spacing w:after="0" w:line="247" w:lineRule="auto"/>
        <w:rPr>
          <w:sz w:val="20"/>
          <w:szCs w:val="20"/>
          <w:color w:val="auto"/>
        </w:rPr>
      </w:pPr>
      <w:r>
        <w:rPr>
          <w:rFonts w:ascii="Times New Roman" w:cs="Times New Roman" w:eastAsia="Times New Roman" w:hAnsi="Times New Roman"/>
          <w:sz w:val="14"/>
          <w:szCs w:val="14"/>
          <w:color w:val="auto"/>
        </w:rPr>
        <w:t>Brighthouse Securities is not obligated to take and pay for, and is not required to sell, any specific number or dollar amount of Policies. Brighthouse Securities, and in certain cases, we, have entered into selling agreements with unaffiliated selling firms for the sale of the Policies. No selling firms are affiliated with us or Brighthouse Securities. We pay compensation to Brighthouse Securities for sales of the Policies by selling firms. We also pay amounts to Brighthouse Securities that may be used for its operating and other expenses, including the following sales expenses: compensation and bonuses for Brighthouse Securities’ management team, advertising expenses and other expenses of distributing the Policies. Brighthouse Securities’ management team and registered representatives also may be eligible for non-cash compensation items that we may provide jointly with Brighthouse Securities. Non-cash items include conferences, seminars and trips (including travel, lodging and meals in connection therewith), entertainment, merchandise and other similar items.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Selling Firms</w:t>
      </w:r>
    </w:p>
    <w:p>
      <w:pPr>
        <w:spacing w:after="0" w:line="90" w:lineRule="exact"/>
        <w:rPr>
          <w:sz w:val="20"/>
          <w:szCs w:val="20"/>
          <w:color w:val="auto"/>
        </w:rPr>
      </w:pPr>
    </w:p>
    <w:p>
      <w:pPr>
        <w:jc w:val="both"/>
        <w:ind w:right="2939" w:firstLine="274"/>
        <w:spacing w:after="0" w:line="247" w:lineRule="auto"/>
        <w:rPr>
          <w:sz w:val="20"/>
          <w:szCs w:val="20"/>
          <w:color w:val="auto"/>
        </w:rPr>
      </w:pPr>
      <w:r>
        <w:rPr>
          <w:rFonts w:ascii="Times New Roman" w:cs="Times New Roman" w:eastAsia="Times New Roman" w:hAnsi="Times New Roman"/>
          <w:sz w:val="14"/>
          <w:szCs w:val="14"/>
          <w:color w:val="auto"/>
        </w:rPr>
        <w:t>As noted above, Brighthouse Securities, and in certain cases, we, have entered into selling agreements with selling firms for the sale of the Policies. Selling firms receive commissions, and may receive some form of non-cash compensation. Certain selected selling firms receive additional compensation (described below under “Additional Compensation for Selected Selling Firms”). These commissions and other incentives or payments are not charged directly to Owners. We intend to recoup commissions and other sales expenses through the charges and deductions under the Policy. A portion of the payments made to selling firms may be passed on to their financial representatives in accordance with the selling firms’ internal compensation programs. Those programs may also include other types of cash and non-cash compensation and other benefits. Financial representatives of the selling firms may also receive non-cash compensation, pursuant to their firm’s guidelines, directly from us or Brighthouse Securities.</w:t>
      </w:r>
    </w:p>
    <w:p>
      <w:pPr>
        <w:spacing w:after="0" w:line="67" w:lineRule="exact"/>
        <w:rPr>
          <w:sz w:val="20"/>
          <w:szCs w:val="20"/>
          <w:color w:val="auto"/>
        </w:rPr>
      </w:pPr>
    </w:p>
    <w:p>
      <w:pPr>
        <w:jc w:val="both"/>
        <w:ind w:right="2939" w:firstLine="274"/>
        <w:spacing w:after="0" w:line="250" w:lineRule="auto"/>
        <w:rPr>
          <w:sz w:val="20"/>
          <w:szCs w:val="20"/>
          <w:color w:val="auto"/>
        </w:rPr>
      </w:pPr>
      <w:r>
        <w:rPr>
          <w:rFonts w:ascii="Times New Roman" w:cs="Times New Roman" w:eastAsia="Times New Roman" w:hAnsi="Times New Roman"/>
          <w:sz w:val="14"/>
          <w:szCs w:val="14"/>
          <w:b w:val="1"/>
          <w:bCs w:val="1"/>
          <w:color w:val="auto"/>
        </w:rPr>
        <w:t xml:space="preserve">Compensation Paid to Selling Firms. </w:t>
      </w:r>
      <w:r>
        <w:rPr>
          <w:rFonts w:ascii="Times New Roman" w:cs="Times New Roman" w:eastAsia="Times New Roman" w:hAnsi="Times New Roman"/>
          <w:sz w:val="14"/>
          <w:szCs w:val="14"/>
          <w:color w:val="auto"/>
        </w:rPr>
        <w:t>Brighthouse Securities pays compensation to all selling firms in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form of commissions and may also provide certain types of non-cash compensation. The maximum commissions paid for sale of the Policies are as follows: 120% of premiums paid up to the commissionable target premium, and 2% of premiums paid in excess of commissionable target premium in Policy year 1; and 2% of all premiums paid in Policy year 2 thereafter. Brighthouse Securities may also provide non-cash compensation items that we may provide jointly with Brighthouse Securities. Non-cash items may include expenses for conference or seminar trips, certain gifts, prizes and awards.</w:t>
      </w:r>
    </w:p>
    <w:p>
      <w:pPr>
        <w:spacing w:after="0" w:line="208"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4"/>
          <w:szCs w:val="14"/>
          <w:color w:val="auto"/>
        </w:rPr>
        <w:t>71</w:t>
      </w:r>
    </w:p>
    <w:p>
      <w:pPr>
        <w:sectPr>
          <w:pgSz w:w="11900" w:h="16838" w:orient="portrait"/>
          <w:cols w:equalWidth="0" w:num="1">
            <w:col w:w="9219"/>
          </w:cols>
          <w:pgMar w:left="1240" w:top="1079" w:right="1440" w:bottom="1440" w:gutter="0" w:footer="0" w:header="0"/>
        </w:sectPr>
      </w:pPr>
    </w:p>
    <w:bookmarkStart w:id="74" w:name="page75"/>
    <w:bookmarkEnd w:id="74"/>
    <w:p>
      <w:pPr>
        <w:jc w:val="both"/>
        <w:ind w:right="2939" w:firstLine="274"/>
        <w:spacing w:after="0" w:line="30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179070</wp:posOffset>
            </wp:positionH>
            <wp:positionV relativeFrom="page">
              <wp:posOffset>422275</wp:posOffset>
            </wp:positionV>
            <wp:extent cx="719010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90105" cy="38735"/>
                    </a:xfrm>
                    <a:prstGeom prst="rect">
                      <a:avLst/>
                    </a:prstGeom>
                    <a:noFill/>
                  </pic:spPr>
                </pic:pic>
              </a:graphicData>
            </a:graphic>
          </wp:anchor>
        </w:drawing>
        <w:t>Ask your financial representative for further information about what payments your financial representative and the selling firm for which he or she works may receive in connection with your purchase of a Policy.</w:t>
      </w:r>
    </w:p>
    <w:p>
      <w:pPr>
        <w:spacing w:after="0" w:line="35" w:lineRule="exact"/>
        <w:rPr>
          <w:sz w:val="20"/>
          <w:szCs w:val="20"/>
          <w:color w:val="auto"/>
        </w:rPr>
      </w:pPr>
    </w:p>
    <w:p>
      <w:pPr>
        <w:jc w:val="both"/>
        <w:ind w:right="2939" w:firstLine="274"/>
        <w:spacing w:after="0" w:line="247" w:lineRule="auto"/>
        <w:rPr>
          <w:sz w:val="20"/>
          <w:szCs w:val="20"/>
          <w:color w:val="auto"/>
        </w:rPr>
      </w:pPr>
      <w:r>
        <w:rPr>
          <w:rFonts w:ascii="Times New Roman" w:cs="Times New Roman" w:eastAsia="Times New Roman" w:hAnsi="Times New Roman"/>
          <w:sz w:val="14"/>
          <w:szCs w:val="14"/>
          <w:b w:val="1"/>
          <w:bCs w:val="1"/>
          <w:color w:val="auto"/>
        </w:rPr>
        <w:t xml:space="preserve">Additional Compensation for Selected Selling Firms. </w:t>
      </w:r>
      <w:r>
        <w:rPr>
          <w:rFonts w:ascii="Times New Roman" w:cs="Times New Roman" w:eastAsia="Times New Roman" w:hAnsi="Times New Roman"/>
          <w:sz w:val="14"/>
          <w:szCs w:val="14"/>
          <w:color w:val="auto"/>
        </w:rPr>
        <w:t>Brighthouse Securities has entered into distribution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arrangements with certain selected unaffiliated selling firms. Under these arrangements Brighthouse Securities may pay additional compensation to selected selling firms, including marketing allowances, introduction fees, persistency payments, preferred status fees and industry conference fees. Marketing allowances are periodic payments to certain selling firms, the amount of which may be an annual flat fee, or in some cases, depends on cumulative periodic (usually quarterly) sales of our insurance contracts (including the Policies) and may also depend on meeting thresholds in the sale of certain of our insurance contracts (other than the Policies). They may also include payments we make to cover the cost of marketing or other support services provided for or by registered representatives who may sell our products. Introduction fees are payments to selling firms in connection with the addition of our products to the selling firm’s line of investment products, including expenses relating to establishing the data communications systems necessary for the selling firm to offer, sell and administer our products. Persistency payments are periodic payments based on account values of our insurance contracts (including Cash Values of the Policies) or other persistency standards. Preferred status fees are paid to obtain preferred treatment in selling firms’ marketing programs, which may include marketing services, participation in marketing meetings, listings in data resources and increased access to their financial representatives. Industry conference fees are amounts paid to cover in part the costs associated with sales conferences and educational seminars for selling firms’ financial representatives.</w:t>
      </w:r>
    </w:p>
    <w:p>
      <w:pPr>
        <w:spacing w:after="0" w:line="67" w:lineRule="exact"/>
        <w:rPr>
          <w:sz w:val="20"/>
          <w:szCs w:val="20"/>
          <w:color w:val="auto"/>
        </w:rPr>
      </w:pPr>
    </w:p>
    <w:p>
      <w:pPr>
        <w:jc w:val="both"/>
        <w:ind w:right="2939" w:firstLine="274"/>
        <w:spacing w:after="0" w:line="248" w:lineRule="auto"/>
        <w:rPr>
          <w:sz w:val="20"/>
          <w:szCs w:val="20"/>
          <w:color w:val="auto"/>
        </w:rPr>
      </w:pPr>
      <w:r>
        <w:rPr>
          <w:rFonts w:ascii="Times New Roman" w:cs="Times New Roman" w:eastAsia="Times New Roman" w:hAnsi="Times New Roman"/>
          <w:sz w:val="14"/>
          <w:szCs w:val="14"/>
          <w:color w:val="auto"/>
        </w:rPr>
        <w:t>The additional types of compensation discussed above are not offered to all selling firms. The terms of any particular agreement governing compensation may vary among selling firms and the amounts may be significant. The prospect of receiving, or the receipt of, additional compensation as described above may provide selling firms and/or their financial representatives with an incentive to favor sales of the Policies over other life insurance contracts (or other investments) with respect to which selling firm does not receive additional compensation, or lower levels of additional compensation. You may wish to take such payment arrangements into account when considering and evaluating any recommendation relating to the Policies. For more information about any such additional compensation arrangements, ask your financial representative.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Wholesaling Firms</w:t>
      </w:r>
    </w:p>
    <w:p>
      <w:pPr>
        <w:spacing w:after="0" w:line="100" w:lineRule="exact"/>
        <w:rPr>
          <w:sz w:val="20"/>
          <w:szCs w:val="20"/>
          <w:color w:val="auto"/>
        </w:rPr>
      </w:pPr>
    </w:p>
    <w:p>
      <w:pPr>
        <w:jc w:val="both"/>
        <w:ind w:right="2939" w:firstLine="274"/>
        <w:spacing w:after="0" w:line="251" w:lineRule="auto"/>
        <w:rPr>
          <w:sz w:val="20"/>
          <w:szCs w:val="20"/>
          <w:color w:val="auto"/>
        </w:rPr>
      </w:pPr>
      <w:r>
        <w:rPr>
          <w:rFonts w:ascii="Times New Roman" w:cs="Times New Roman" w:eastAsia="Times New Roman" w:hAnsi="Times New Roman"/>
          <w:sz w:val="14"/>
          <w:szCs w:val="14"/>
          <w:color w:val="auto"/>
        </w:rPr>
        <w:t>In addition to the distribution arrangements discussed above, Brighthouse Securities has entered into wholesaling agreements with wholesaling firms to provide marketing and training support services to selling firms and the registered representatives of selling firms. These services may include, but not be limited to, training and promotional support for the solicitation, sale and on-going servicing of the Policies by the selling firms. Brighthouse Securities pays compensation to wholesaling firms in connection with these services.</w:t>
      </w:r>
    </w:p>
    <w:p>
      <w:pPr>
        <w:spacing w:after="0" w:line="224"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4"/>
          <w:szCs w:val="14"/>
          <w:b w:val="1"/>
          <w:bCs w:val="1"/>
          <w:color w:val="auto"/>
        </w:rPr>
        <w:t>THE FIXED ACCOUNT</w:t>
      </w:r>
    </w:p>
    <w:p>
      <w:pPr>
        <w:spacing w:after="0" w:line="9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We offer a Fixed Account. Please refer to your Policy and Appendix C for more information.</w:t>
      </w:r>
    </w:p>
    <w:p>
      <w:pPr>
        <w:spacing w:after="0" w:line="25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b w:val="1"/>
          <w:bCs w:val="1"/>
          <w:color w:val="auto"/>
        </w:rPr>
        <w:t>RESTRICTIONS ON FINANCIAL TRANSACTIONS</w:t>
      </w:r>
    </w:p>
    <w:p>
      <w:pPr>
        <w:spacing w:after="0" w:line="100" w:lineRule="exact"/>
        <w:rPr>
          <w:sz w:val="20"/>
          <w:szCs w:val="20"/>
          <w:color w:val="auto"/>
        </w:rPr>
      </w:pPr>
    </w:p>
    <w:p>
      <w:pPr>
        <w:jc w:val="both"/>
        <w:ind w:right="2939" w:firstLine="274"/>
        <w:spacing w:after="0" w:line="252" w:lineRule="auto"/>
        <w:rPr>
          <w:sz w:val="20"/>
          <w:szCs w:val="20"/>
          <w:color w:val="auto"/>
        </w:rPr>
      </w:pPr>
      <w:r>
        <w:rPr>
          <w:rFonts w:ascii="Times New Roman" w:cs="Times New Roman" w:eastAsia="Times New Roman" w:hAnsi="Times New Roman"/>
          <w:sz w:val="14"/>
          <w:szCs w:val="14"/>
          <w:color w:val="auto"/>
        </w:rPr>
        <w:t>Federal laws designed to counter terrorism and prevent money laundering might, in certain circumstances, require us to block an Owner’s ability to make certain transactions and thereby refuse to accept any request for transfers Surrenders, or death benefits, until instructions are received from the appropriate regulator. We may also be required to provide additional information about you and your Policy to government regulators.</w:t>
      </w:r>
    </w:p>
    <w:p>
      <w:pPr>
        <w:spacing w:after="0" w:line="225"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4"/>
          <w:szCs w:val="14"/>
          <w:b w:val="1"/>
          <w:bCs w:val="1"/>
          <w:color w:val="auto"/>
        </w:rPr>
        <w:t>REQUESTS AND ELECTIONS</w:t>
      </w:r>
    </w:p>
    <w:p>
      <w:pPr>
        <w:spacing w:after="0" w:line="100" w:lineRule="exact"/>
        <w:rPr>
          <w:sz w:val="20"/>
          <w:szCs w:val="20"/>
          <w:color w:val="auto"/>
        </w:rPr>
      </w:pPr>
    </w:p>
    <w:p>
      <w:pPr>
        <w:jc w:val="both"/>
        <w:ind w:right="2939" w:firstLine="274"/>
        <w:spacing w:after="0" w:line="247" w:lineRule="auto"/>
        <w:rPr>
          <w:sz w:val="20"/>
          <w:szCs w:val="20"/>
          <w:color w:val="auto"/>
        </w:rPr>
      </w:pPr>
      <w:r>
        <w:rPr>
          <w:rFonts w:ascii="Times New Roman" w:cs="Times New Roman" w:eastAsia="Times New Roman" w:hAnsi="Times New Roman"/>
          <w:sz w:val="14"/>
          <w:szCs w:val="14"/>
          <w:color w:val="auto"/>
        </w:rPr>
        <w:t>We will treat your request for a Policy transaction, or your submission of the premium payment, as received by us if we receive a request conforming to our administrative procedures or the premium payment at our Administrative Office on any Business Day before 4:00 PM Eastern Standard Time. We will treat your submission of the premium payment as received by us if we receive it at our Administrative Office on any Business Day before 4:00 PM Eastern Standard Time or when the NYSE closes, whichever is earlier. If we receive the request, or if we (or our designee) receive the premium payment, on any Business Day on or after 4:00 PM Eastern Standard Time or when the NYSE closes, whichever is earlier, then the request or payment will be treated as received on the next day. If you send your premium payment or transaction requests to an address other than the one we have designated for receipt of such premium payment or requests, as indicated in the chart below, we may return the premium payment to you, or there may be a delay in applying the premium payment or processing the transaction.</w:t>
      </w:r>
    </w:p>
    <w:p>
      <w:pPr>
        <w:spacing w:after="0" w:line="214"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4"/>
          <w:szCs w:val="14"/>
          <w:color w:val="auto"/>
        </w:rPr>
        <w:t>72</w:t>
      </w:r>
    </w:p>
    <w:p>
      <w:pPr>
        <w:sectPr>
          <w:pgSz w:w="11900" w:h="16838" w:orient="portrait"/>
          <w:cols w:equalWidth="0" w:num="1">
            <w:col w:w="9219"/>
          </w:cols>
          <w:pgMar w:left="1240" w:top="1083" w:right="1440"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422275</wp:posOffset>
            </wp:positionV>
            <wp:extent cx="719010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90105" cy="38735"/>
                    </a:xfrm>
                    <a:prstGeom prst="rect">
                      <a:avLst/>
                    </a:prstGeom>
                    <a:noFill/>
                  </pic:spPr>
                </pic:pic>
              </a:graphicData>
            </a:graphic>
          </wp:anchor>
        </w:drawing>
        <w:t>The Administrative Office for various Policy transactions is as follows:</w:t>
      </w:r>
    </w:p>
    <w:p>
      <w:pPr>
        <w:spacing w:after="0" w:line="33" w:lineRule="exact"/>
        <w:rPr>
          <w:sz w:val="20"/>
          <w:szCs w:val="20"/>
          <w:color w:val="auto"/>
        </w:rPr>
      </w:pPr>
    </w:p>
    <w:tbl>
      <w:tblPr>
        <w:tblLayout w:type="fixed"/>
        <w:tblInd w:w="10" w:type="dxa"/>
        <w:tblCellMar>
          <w:top w:w="0" w:type="dxa"/>
          <w:left w:w="0" w:type="dxa"/>
          <w:bottom w:w="0" w:type="dxa"/>
          <w:right w:w="0" w:type="dxa"/>
        </w:tblCellMar>
      </w:tblPr>
      <w:tr>
        <w:trPr>
          <w:trHeight w:val="188"/>
        </w:trPr>
        <w:tc>
          <w:tcPr>
            <w:tcW w:w="232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Applications when purchasing the</w:t>
            </w:r>
          </w:p>
        </w:tc>
        <w:tc>
          <w:tcPr>
            <w:tcW w:w="398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Brighthouse Life Insurance Company</w:t>
            </w:r>
          </w:p>
        </w:tc>
      </w:tr>
      <w:tr>
        <w:trPr>
          <w:trHeight w:val="165"/>
        </w:trPr>
        <w:tc>
          <w:tcPr>
            <w:tcW w:w="23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Policy, including initial Premium</w:t>
            </w:r>
          </w:p>
        </w:tc>
        <w:tc>
          <w:tcPr>
            <w:tcW w:w="39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P.O. Box 4365</w:t>
            </w:r>
          </w:p>
        </w:tc>
      </w:tr>
      <w:tr>
        <w:trPr>
          <w:trHeight w:val="165"/>
        </w:trPr>
        <w:tc>
          <w:tcPr>
            <w:tcW w:w="23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Payments</w:t>
            </w:r>
          </w:p>
        </w:tc>
        <w:tc>
          <w:tcPr>
            <w:tcW w:w="39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Clinton, IA 52733-4365</w:t>
            </w:r>
          </w:p>
        </w:tc>
      </w:tr>
      <w:tr>
        <w:trPr>
          <w:trHeight w:val="165"/>
        </w:trPr>
        <w:tc>
          <w:tcPr>
            <w:tcW w:w="2320" w:type="dxa"/>
            <w:vAlign w:val="bottom"/>
            <w:tcBorders>
              <w:left w:val="single" w:sz="8" w:color="auto"/>
              <w:right w:val="single" w:sz="8" w:color="auto"/>
            </w:tcBorders>
          </w:tcPr>
          <w:p>
            <w:pPr>
              <w:spacing w:after="0"/>
              <w:rPr>
                <w:sz w:val="14"/>
                <w:szCs w:val="14"/>
                <w:color w:val="auto"/>
              </w:rPr>
            </w:pPr>
          </w:p>
        </w:tc>
        <w:tc>
          <w:tcPr>
            <w:tcW w:w="39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Fax: (877) 245-2964</w:t>
            </w:r>
          </w:p>
        </w:tc>
      </w:tr>
      <w:tr>
        <w:trPr>
          <w:trHeight w:val="176"/>
        </w:trPr>
        <w:tc>
          <w:tcPr>
            <w:tcW w:w="2320" w:type="dxa"/>
            <w:vAlign w:val="bottom"/>
            <w:tcBorders>
              <w:left w:val="single" w:sz="8" w:color="auto"/>
              <w:right w:val="single" w:sz="8" w:color="auto"/>
            </w:tcBorders>
          </w:tcPr>
          <w:p>
            <w:pPr>
              <w:spacing w:after="0"/>
              <w:rPr>
                <w:sz w:val="15"/>
                <w:szCs w:val="15"/>
                <w:color w:val="auto"/>
              </w:rPr>
            </w:pPr>
          </w:p>
        </w:tc>
        <w:tc>
          <w:tcPr>
            <w:tcW w:w="39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Or through your financial representative</w:t>
            </w:r>
          </w:p>
        </w:tc>
      </w:tr>
      <w:tr>
        <w:trPr>
          <w:trHeight w:val="22"/>
        </w:trPr>
        <w:tc>
          <w:tcPr>
            <w:tcW w:w="23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980" w:type="dxa"/>
            <w:vAlign w:val="bottom"/>
            <w:tcBorders>
              <w:bottom w:val="single" w:sz="8" w:color="auto"/>
              <w:right w:val="single" w:sz="8" w:color="auto"/>
            </w:tcBorders>
          </w:tcPr>
          <w:p>
            <w:pPr>
              <w:spacing w:after="0" w:line="20" w:lineRule="exact"/>
              <w:rPr>
                <w:sz w:val="1"/>
                <w:szCs w:val="1"/>
                <w:color w:val="auto"/>
              </w:rPr>
            </w:pPr>
          </w:p>
        </w:tc>
      </w:tr>
      <w:tr>
        <w:trPr>
          <w:trHeight w:val="163"/>
        </w:trPr>
        <w:tc>
          <w:tcPr>
            <w:tcW w:w="2320" w:type="dxa"/>
            <w:vAlign w:val="bottom"/>
            <w:tcBorders>
              <w:left w:val="single" w:sz="8" w:color="auto"/>
              <w:right w:val="single" w:sz="8" w:color="auto"/>
            </w:tcBorders>
            <w:shd w:val="clear" w:color="auto" w:fill="F0FFFF"/>
          </w:tcPr>
          <w:p>
            <w:pPr>
              <w:ind w:left="80"/>
              <w:spacing w:after="0"/>
              <w:rPr>
                <w:sz w:val="20"/>
                <w:szCs w:val="20"/>
                <w:color w:val="auto"/>
              </w:rPr>
            </w:pPr>
            <w:r>
              <w:rPr>
                <w:rFonts w:ascii="Times New Roman" w:cs="Times New Roman" w:eastAsia="Times New Roman" w:hAnsi="Times New Roman"/>
                <w:sz w:val="14"/>
                <w:szCs w:val="14"/>
                <w:color w:val="auto"/>
              </w:rPr>
              <w:t>Subsequent Premium Payments or</w:t>
            </w:r>
          </w:p>
        </w:tc>
        <w:tc>
          <w:tcPr>
            <w:tcW w:w="3980" w:type="dxa"/>
            <w:vAlign w:val="bottom"/>
            <w:tcBorders>
              <w:right w:val="single" w:sz="8" w:color="auto"/>
            </w:tcBorders>
            <w:shd w:val="clear" w:color="auto" w:fill="F0FFFF"/>
          </w:tcPr>
          <w:p>
            <w:pPr>
              <w:ind w:left="60"/>
              <w:spacing w:after="0"/>
              <w:rPr>
                <w:sz w:val="20"/>
                <w:szCs w:val="20"/>
                <w:color w:val="auto"/>
              </w:rPr>
            </w:pPr>
            <w:r>
              <w:rPr>
                <w:rFonts w:ascii="Times New Roman" w:cs="Times New Roman" w:eastAsia="Times New Roman" w:hAnsi="Times New Roman"/>
                <w:sz w:val="14"/>
                <w:szCs w:val="14"/>
                <w:color w:val="auto"/>
              </w:rPr>
              <w:t>Brighthouse Life Insurance Company</w:t>
            </w:r>
          </w:p>
        </w:tc>
      </w:tr>
      <w:tr>
        <w:trPr>
          <w:trHeight w:val="165"/>
        </w:trPr>
        <w:tc>
          <w:tcPr>
            <w:tcW w:w="2320" w:type="dxa"/>
            <w:vAlign w:val="bottom"/>
            <w:tcBorders>
              <w:left w:val="single" w:sz="8" w:color="auto"/>
              <w:right w:val="single" w:sz="8" w:color="auto"/>
            </w:tcBorders>
            <w:shd w:val="clear" w:color="auto" w:fill="F0FFFF"/>
          </w:tcPr>
          <w:p>
            <w:pPr>
              <w:ind w:left="80"/>
              <w:spacing w:after="0"/>
              <w:rPr>
                <w:sz w:val="20"/>
                <w:szCs w:val="20"/>
                <w:color w:val="auto"/>
              </w:rPr>
            </w:pPr>
            <w:r>
              <w:rPr>
                <w:rFonts w:ascii="Times New Roman" w:cs="Times New Roman" w:eastAsia="Times New Roman" w:hAnsi="Times New Roman"/>
                <w:sz w:val="14"/>
                <w:szCs w:val="14"/>
                <w:color w:val="auto"/>
              </w:rPr>
              <w:t>Loan Repayments</w:t>
            </w:r>
          </w:p>
        </w:tc>
        <w:tc>
          <w:tcPr>
            <w:tcW w:w="3980" w:type="dxa"/>
            <w:vAlign w:val="bottom"/>
            <w:tcBorders>
              <w:right w:val="single" w:sz="8" w:color="auto"/>
            </w:tcBorders>
            <w:shd w:val="clear" w:color="auto" w:fill="F0FFFF"/>
          </w:tcPr>
          <w:p>
            <w:pPr>
              <w:ind w:left="60"/>
              <w:spacing w:after="0"/>
              <w:rPr>
                <w:sz w:val="20"/>
                <w:szCs w:val="20"/>
                <w:color w:val="auto"/>
              </w:rPr>
            </w:pPr>
            <w:r>
              <w:rPr>
                <w:rFonts w:ascii="Times New Roman" w:cs="Times New Roman" w:eastAsia="Times New Roman" w:hAnsi="Times New Roman"/>
                <w:sz w:val="14"/>
                <w:szCs w:val="14"/>
                <w:color w:val="auto"/>
              </w:rPr>
              <w:t>P.O. Box 956067</w:t>
            </w:r>
          </w:p>
        </w:tc>
      </w:tr>
      <w:tr>
        <w:trPr>
          <w:trHeight w:val="154"/>
        </w:trPr>
        <w:tc>
          <w:tcPr>
            <w:tcW w:w="2320" w:type="dxa"/>
            <w:vAlign w:val="bottom"/>
            <w:tcBorders>
              <w:left w:val="single" w:sz="8" w:color="auto"/>
              <w:right w:val="single" w:sz="8" w:color="auto"/>
            </w:tcBorders>
            <w:shd w:val="clear" w:color="auto" w:fill="F0FFFF"/>
          </w:tcPr>
          <w:p>
            <w:pPr>
              <w:spacing w:after="0"/>
              <w:rPr>
                <w:sz w:val="13"/>
                <w:szCs w:val="13"/>
                <w:color w:val="auto"/>
              </w:rPr>
            </w:pPr>
          </w:p>
        </w:tc>
        <w:tc>
          <w:tcPr>
            <w:tcW w:w="3980" w:type="dxa"/>
            <w:vAlign w:val="bottom"/>
            <w:tcBorders>
              <w:right w:val="single" w:sz="8" w:color="auto"/>
            </w:tcBorders>
            <w:shd w:val="clear" w:color="auto" w:fill="F0FFFF"/>
          </w:tcPr>
          <w:p>
            <w:pPr>
              <w:ind w:left="60"/>
              <w:spacing w:after="0" w:line="155" w:lineRule="exact"/>
              <w:rPr>
                <w:sz w:val="20"/>
                <w:szCs w:val="20"/>
                <w:color w:val="auto"/>
              </w:rPr>
            </w:pPr>
            <w:r>
              <w:rPr>
                <w:rFonts w:ascii="Times New Roman" w:cs="Times New Roman" w:eastAsia="Times New Roman" w:hAnsi="Times New Roman"/>
                <w:sz w:val="14"/>
                <w:szCs w:val="14"/>
                <w:color w:val="auto"/>
              </w:rPr>
              <w:t>St. Louis, MO 63195-6067</w:t>
            </w:r>
          </w:p>
        </w:tc>
      </w:tr>
      <w:tr>
        <w:trPr>
          <w:trHeight w:val="165"/>
        </w:trPr>
        <w:tc>
          <w:tcPr>
            <w:tcW w:w="2320" w:type="dxa"/>
            <w:vAlign w:val="bottom"/>
            <w:tcBorders>
              <w:left w:val="single" w:sz="8" w:color="auto"/>
              <w:right w:val="single" w:sz="8" w:color="auto"/>
            </w:tcBorders>
            <w:shd w:val="clear" w:color="auto" w:fill="F0FFFF"/>
          </w:tcPr>
          <w:p>
            <w:pPr>
              <w:spacing w:after="0"/>
              <w:rPr>
                <w:sz w:val="14"/>
                <w:szCs w:val="14"/>
                <w:color w:val="auto"/>
              </w:rPr>
            </w:pPr>
          </w:p>
        </w:tc>
        <w:tc>
          <w:tcPr>
            <w:tcW w:w="3980" w:type="dxa"/>
            <w:vAlign w:val="bottom"/>
            <w:tcBorders>
              <w:right w:val="single" w:sz="8" w:color="auto"/>
            </w:tcBorders>
            <w:shd w:val="clear" w:color="auto" w:fill="F0FFFF"/>
          </w:tcPr>
          <w:p>
            <w:pPr>
              <w:ind w:left="60"/>
              <w:spacing w:after="0"/>
              <w:rPr>
                <w:sz w:val="20"/>
                <w:szCs w:val="20"/>
                <w:color w:val="auto"/>
              </w:rPr>
            </w:pPr>
            <w:r>
              <w:rPr>
                <w:rFonts w:ascii="Times New Roman" w:cs="Times New Roman" w:eastAsia="Times New Roman" w:hAnsi="Times New Roman"/>
                <w:sz w:val="14"/>
                <w:szCs w:val="14"/>
                <w:color w:val="auto"/>
              </w:rPr>
              <w:t> </w:t>
            </w:r>
          </w:p>
        </w:tc>
      </w:tr>
      <w:tr>
        <w:trPr>
          <w:trHeight w:val="203"/>
        </w:trPr>
        <w:tc>
          <w:tcPr>
            <w:tcW w:w="2320" w:type="dxa"/>
            <w:vAlign w:val="bottom"/>
            <w:tcBorders>
              <w:left w:val="single" w:sz="8" w:color="auto"/>
              <w:bottom w:val="single" w:sz="8" w:color="F0FFFF"/>
              <w:right w:val="single" w:sz="8" w:color="auto"/>
            </w:tcBorders>
            <w:shd w:val="clear" w:color="auto" w:fill="F0FFFF"/>
          </w:tcPr>
          <w:p>
            <w:pPr>
              <w:spacing w:after="0"/>
              <w:rPr>
                <w:sz w:val="17"/>
                <w:szCs w:val="17"/>
                <w:color w:val="auto"/>
              </w:rPr>
            </w:pPr>
          </w:p>
        </w:tc>
        <w:tc>
          <w:tcPr>
            <w:tcW w:w="3980" w:type="dxa"/>
            <w:vAlign w:val="bottom"/>
            <w:tcBorders>
              <w:bottom w:val="single" w:sz="8" w:color="F0FFFF"/>
              <w:right w:val="single" w:sz="8" w:color="auto"/>
            </w:tcBorders>
            <w:shd w:val="clear" w:color="auto" w:fill="F0FFFF"/>
          </w:tcPr>
          <w:p>
            <w:pPr>
              <w:ind w:left="60"/>
              <w:spacing w:after="0"/>
              <w:rPr>
                <w:sz w:val="20"/>
                <w:szCs w:val="20"/>
                <w:color w:val="auto"/>
              </w:rPr>
            </w:pPr>
            <w:r>
              <w:rPr>
                <w:rFonts w:ascii="Times New Roman" w:cs="Times New Roman" w:eastAsia="Times New Roman" w:hAnsi="Times New Roman"/>
                <w:sz w:val="14"/>
                <w:szCs w:val="14"/>
                <w:color w:val="auto"/>
              </w:rPr>
              <w:t>Fax: (877) 246-8424</w:t>
            </w:r>
          </w:p>
        </w:tc>
      </w:tr>
      <w:tr>
        <w:trPr>
          <w:trHeight w:val="163"/>
        </w:trPr>
        <w:tc>
          <w:tcPr>
            <w:tcW w:w="232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Death Claims</w:t>
            </w:r>
          </w:p>
        </w:tc>
        <w:tc>
          <w:tcPr>
            <w:tcW w:w="398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Brighthouse Life Insurance Company</w:t>
            </w:r>
          </w:p>
        </w:tc>
      </w:tr>
      <w:tr>
        <w:trPr>
          <w:trHeight w:val="165"/>
        </w:trPr>
        <w:tc>
          <w:tcPr>
            <w:tcW w:w="2320" w:type="dxa"/>
            <w:vAlign w:val="bottom"/>
            <w:tcBorders>
              <w:left w:val="single" w:sz="8" w:color="auto"/>
              <w:right w:val="single" w:sz="8" w:color="auto"/>
            </w:tcBorders>
          </w:tcPr>
          <w:p>
            <w:pPr>
              <w:spacing w:after="0"/>
              <w:rPr>
                <w:sz w:val="14"/>
                <w:szCs w:val="14"/>
                <w:color w:val="auto"/>
              </w:rPr>
            </w:pPr>
          </w:p>
        </w:tc>
        <w:tc>
          <w:tcPr>
            <w:tcW w:w="39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P.O. Box 4330</w:t>
            </w:r>
          </w:p>
        </w:tc>
      </w:tr>
      <w:tr>
        <w:trPr>
          <w:trHeight w:val="154"/>
        </w:trPr>
        <w:tc>
          <w:tcPr>
            <w:tcW w:w="2320" w:type="dxa"/>
            <w:vAlign w:val="bottom"/>
            <w:tcBorders>
              <w:left w:val="single" w:sz="8" w:color="auto"/>
              <w:right w:val="single" w:sz="8" w:color="auto"/>
            </w:tcBorders>
          </w:tcPr>
          <w:p>
            <w:pPr>
              <w:spacing w:after="0"/>
              <w:rPr>
                <w:sz w:val="13"/>
                <w:szCs w:val="13"/>
                <w:color w:val="auto"/>
              </w:rPr>
            </w:pPr>
          </w:p>
        </w:tc>
        <w:tc>
          <w:tcPr>
            <w:tcW w:w="3980" w:type="dxa"/>
            <w:vAlign w:val="bottom"/>
            <w:tcBorders>
              <w:right w:val="single" w:sz="8" w:color="auto"/>
            </w:tcBorders>
          </w:tcPr>
          <w:p>
            <w:pPr>
              <w:ind w:left="60"/>
              <w:spacing w:after="0" w:line="155" w:lineRule="exact"/>
              <w:rPr>
                <w:sz w:val="20"/>
                <w:szCs w:val="20"/>
                <w:color w:val="auto"/>
              </w:rPr>
            </w:pPr>
            <w:r>
              <w:rPr>
                <w:rFonts w:ascii="Times New Roman" w:cs="Times New Roman" w:eastAsia="Times New Roman" w:hAnsi="Times New Roman"/>
                <w:sz w:val="14"/>
                <w:szCs w:val="14"/>
                <w:color w:val="auto"/>
              </w:rPr>
              <w:t>Clinton, IA 52733-4330</w:t>
            </w:r>
          </w:p>
        </w:tc>
      </w:tr>
      <w:tr>
        <w:trPr>
          <w:trHeight w:val="165"/>
        </w:trPr>
        <w:tc>
          <w:tcPr>
            <w:tcW w:w="2320" w:type="dxa"/>
            <w:vAlign w:val="bottom"/>
            <w:tcBorders>
              <w:left w:val="single" w:sz="8" w:color="auto"/>
              <w:right w:val="single" w:sz="8" w:color="auto"/>
            </w:tcBorders>
          </w:tcPr>
          <w:p>
            <w:pPr>
              <w:spacing w:after="0"/>
              <w:rPr>
                <w:sz w:val="14"/>
                <w:szCs w:val="14"/>
                <w:color w:val="auto"/>
              </w:rPr>
            </w:pPr>
          </w:p>
        </w:tc>
        <w:tc>
          <w:tcPr>
            <w:tcW w:w="39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 </w:t>
            </w:r>
          </w:p>
        </w:tc>
      </w:tr>
      <w:tr>
        <w:trPr>
          <w:trHeight w:val="176"/>
        </w:trPr>
        <w:tc>
          <w:tcPr>
            <w:tcW w:w="2320" w:type="dxa"/>
            <w:vAlign w:val="bottom"/>
            <w:tcBorders>
              <w:left w:val="single" w:sz="8" w:color="auto"/>
              <w:right w:val="single" w:sz="8" w:color="auto"/>
            </w:tcBorders>
          </w:tcPr>
          <w:p>
            <w:pPr>
              <w:spacing w:after="0"/>
              <w:rPr>
                <w:sz w:val="15"/>
                <w:szCs w:val="15"/>
                <w:color w:val="auto"/>
              </w:rPr>
            </w:pPr>
          </w:p>
        </w:tc>
        <w:tc>
          <w:tcPr>
            <w:tcW w:w="39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Fax: (877) 245-8163</w:t>
            </w:r>
          </w:p>
        </w:tc>
      </w:tr>
      <w:tr>
        <w:trPr>
          <w:trHeight w:val="22"/>
        </w:trPr>
        <w:tc>
          <w:tcPr>
            <w:tcW w:w="23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980" w:type="dxa"/>
            <w:vAlign w:val="bottom"/>
            <w:tcBorders>
              <w:bottom w:val="single" w:sz="8" w:color="auto"/>
              <w:right w:val="single" w:sz="8" w:color="auto"/>
            </w:tcBorders>
          </w:tcPr>
          <w:p>
            <w:pPr>
              <w:spacing w:after="0" w:line="20" w:lineRule="exact"/>
              <w:rPr>
                <w:sz w:val="1"/>
                <w:szCs w:val="1"/>
                <w:color w:val="auto"/>
              </w:rPr>
            </w:pPr>
          </w:p>
        </w:tc>
      </w:tr>
      <w:tr>
        <w:trPr>
          <w:trHeight w:val="142"/>
        </w:trPr>
        <w:tc>
          <w:tcPr>
            <w:tcW w:w="2320" w:type="dxa"/>
            <w:vAlign w:val="bottom"/>
            <w:tcBorders>
              <w:left w:val="single" w:sz="8" w:color="auto"/>
              <w:right w:val="single" w:sz="8" w:color="auto"/>
            </w:tcBorders>
            <w:shd w:val="clear" w:color="auto" w:fill="F0FFFF"/>
          </w:tcPr>
          <w:p>
            <w:pPr>
              <w:ind w:left="80"/>
              <w:spacing w:after="0" w:line="142" w:lineRule="exact"/>
              <w:rPr>
                <w:sz w:val="20"/>
                <w:szCs w:val="20"/>
                <w:color w:val="auto"/>
              </w:rPr>
            </w:pPr>
            <w:r>
              <w:rPr>
                <w:rFonts w:ascii="Times New Roman" w:cs="Times New Roman" w:eastAsia="Times New Roman" w:hAnsi="Times New Roman"/>
                <w:sz w:val="14"/>
                <w:szCs w:val="14"/>
                <w:color w:val="auto"/>
              </w:rPr>
              <w:t>All Other Policy Transactions and</w:t>
            </w:r>
          </w:p>
        </w:tc>
        <w:tc>
          <w:tcPr>
            <w:tcW w:w="3980" w:type="dxa"/>
            <w:vAlign w:val="bottom"/>
            <w:tcBorders>
              <w:right w:val="single" w:sz="8" w:color="auto"/>
            </w:tcBorders>
            <w:shd w:val="clear" w:color="auto" w:fill="F0FFFF"/>
          </w:tcPr>
          <w:p>
            <w:pPr>
              <w:ind w:left="60"/>
              <w:spacing w:after="0" w:line="142" w:lineRule="exact"/>
              <w:rPr>
                <w:sz w:val="20"/>
                <w:szCs w:val="20"/>
                <w:color w:val="auto"/>
              </w:rPr>
            </w:pPr>
            <w:r>
              <w:rPr>
                <w:rFonts w:ascii="Times New Roman" w:cs="Times New Roman" w:eastAsia="Times New Roman" w:hAnsi="Times New Roman"/>
                <w:sz w:val="14"/>
                <w:szCs w:val="14"/>
                <w:color w:val="auto"/>
              </w:rPr>
              <w:t>Brighthouse Life Insurance Company</w:t>
            </w:r>
          </w:p>
        </w:tc>
      </w:tr>
      <w:tr>
        <w:trPr>
          <w:trHeight w:val="144"/>
        </w:trPr>
        <w:tc>
          <w:tcPr>
            <w:tcW w:w="2320" w:type="dxa"/>
            <w:vAlign w:val="bottom"/>
            <w:tcBorders>
              <w:left w:val="single" w:sz="8" w:color="auto"/>
              <w:right w:val="single" w:sz="8" w:color="auto"/>
            </w:tcBorders>
            <w:shd w:val="clear" w:color="auto" w:fill="F0FFFF"/>
          </w:tcPr>
          <w:p>
            <w:pPr>
              <w:ind w:left="80"/>
              <w:spacing w:after="0" w:line="144" w:lineRule="exact"/>
              <w:rPr>
                <w:sz w:val="20"/>
                <w:szCs w:val="20"/>
                <w:color w:val="auto"/>
              </w:rPr>
            </w:pPr>
            <w:r>
              <w:rPr>
                <w:rFonts w:ascii="Times New Roman" w:cs="Times New Roman" w:eastAsia="Times New Roman" w:hAnsi="Times New Roman"/>
                <w:sz w:val="14"/>
                <w:szCs w:val="14"/>
                <w:color w:val="auto"/>
              </w:rPr>
              <w:t>Inquiries, including Surrenders, Loans,</w:t>
            </w:r>
          </w:p>
        </w:tc>
        <w:tc>
          <w:tcPr>
            <w:tcW w:w="3980" w:type="dxa"/>
            <w:vAlign w:val="bottom"/>
            <w:tcBorders>
              <w:right w:val="single" w:sz="8" w:color="auto"/>
            </w:tcBorders>
            <w:shd w:val="clear" w:color="auto" w:fill="F0FFFF"/>
          </w:tcPr>
          <w:p>
            <w:pPr>
              <w:ind w:left="60"/>
              <w:spacing w:after="0" w:line="144" w:lineRule="exact"/>
              <w:rPr>
                <w:sz w:val="20"/>
                <w:szCs w:val="20"/>
                <w:color w:val="auto"/>
              </w:rPr>
            </w:pPr>
            <w:r>
              <w:rPr>
                <w:rFonts w:ascii="Times New Roman" w:cs="Times New Roman" w:eastAsia="Times New Roman" w:hAnsi="Times New Roman"/>
                <w:sz w:val="14"/>
                <w:szCs w:val="14"/>
                <w:color w:val="auto"/>
              </w:rPr>
              <w:t>P.O. Box 4301</w:t>
            </w:r>
          </w:p>
        </w:tc>
      </w:tr>
      <w:tr>
        <w:trPr>
          <w:trHeight w:val="154"/>
        </w:trPr>
        <w:tc>
          <w:tcPr>
            <w:tcW w:w="2320" w:type="dxa"/>
            <w:vAlign w:val="bottom"/>
            <w:tcBorders>
              <w:left w:val="single" w:sz="8" w:color="auto"/>
              <w:right w:val="single" w:sz="8" w:color="auto"/>
            </w:tcBorders>
            <w:shd w:val="clear" w:color="auto" w:fill="F0FFFF"/>
          </w:tcPr>
          <w:p>
            <w:pPr>
              <w:ind w:left="80"/>
              <w:spacing w:after="0" w:line="155" w:lineRule="exact"/>
              <w:rPr>
                <w:sz w:val="20"/>
                <w:szCs w:val="20"/>
                <w:color w:val="auto"/>
              </w:rPr>
            </w:pPr>
            <w:r>
              <w:rPr>
                <w:rFonts w:ascii="Times New Roman" w:cs="Times New Roman" w:eastAsia="Times New Roman" w:hAnsi="Times New Roman"/>
                <w:sz w:val="14"/>
                <w:szCs w:val="14"/>
                <w:color w:val="auto"/>
              </w:rPr>
              <w:t>Transfers, Beneficiary and Ownership</w:t>
            </w:r>
          </w:p>
        </w:tc>
        <w:tc>
          <w:tcPr>
            <w:tcW w:w="3980" w:type="dxa"/>
            <w:vAlign w:val="bottom"/>
            <w:tcBorders>
              <w:right w:val="single" w:sz="8" w:color="auto"/>
            </w:tcBorders>
            <w:shd w:val="clear" w:color="auto" w:fill="F0FFFF"/>
          </w:tcPr>
          <w:p>
            <w:pPr>
              <w:ind w:left="60"/>
              <w:spacing w:after="0" w:line="155" w:lineRule="exact"/>
              <w:rPr>
                <w:sz w:val="20"/>
                <w:szCs w:val="20"/>
                <w:color w:val="auto"/>
              </w:rPr>
            </w:pPr>
            <w:r>
              <w:rPr>
                <w:rFonts w:ascii="Times New Roman" w:cs="Times New Roman" w:eastAsia="Times New Roman" w:hAnsi="Times New Roman"/>
                <w:sz w:val="14"/>
                <w:szCs w:val="14"/>
                <w:color w:val="auto"/>
              </w:rPr>
              <w:t>Clinton, IA 52733-4301</w:t>
            </w:r>
          </w:p>
        </w:tc>
      </w:tr>
      <w:tr>
        <w:trPr>
          <w:trHeight w:val="154"/>
        </w:trPr>
        <w:tc>
          <w:tcPr>
            <w:tcW w:w="2320" w:type="dxa"/>
            <w:vAlign w:val="bottom"/>
            <w:tcBorders>
              <w:left w:val="single" w:sz="8" w:color="auto"/>
              <w:right w:val="single" w:sz="8" w:color="auto"/>
            </w:tcBorders>
            <w:shd w:val="clear" w:color="auto" w:fill="F0FFFF"/>
          </w:tcPr>
          <w:p>
            <w:pPr>
              <w:ind w:left="80"/>
              <w:spacing w:after="0" w:line="155" w:lineRule="exact"/>
              <w:rPr>
                <w:sz w:val="20"/>
                <w:szCs w:val="20"/>
                <w:color w:val="auto"/>
              </w:rPr>
            </w:pPr>
            <w:r>
              <w:rPr>
                <w:rFonts w:ascii="Times New Roman" w:cs="Times New Roman" w:eastAsia="Times New Roman" w:hAnsi="Times New Roman"/>
                <w:sz w:val="14"/>
                <w:szCs w:val="14"/>
                <w:color w:val="auto"/>
              </w:rPr>
              <w:t>Changes, and Cancellations (Right to</w:t>
            </w:r>
          </w:p>
        </w:tc>
        <w:tc>
          <w:tcPr>
            <w:tcW w:w="3980" w:type="dxa"/>
            <w:vAlign w:val="bottom"/>
            <w:tcBorders>
              <w:right w:val="single" w:sz="8" w:color="auto"/>
            </w:tcBorders>
            <w:shd w:val="clear" w:color="auto" w:fill="F0FFFF"/>
          </w:tcPr>
          <w:p>
            <w:pPr>
              <w:ind w:left="60"/>
              <w:spacing w:after="0" w:line="155" w:lineRule="exact"/>
              <w:rPr>
                <w:sz w:val="20"/>
                <w:szCs w:val="20"/>
                <w:color w:val="auto"/>
              </w:rPr>
            </w:pPr>
            <w:r>
              <w:rPr>
                <w:rFonts w:ascii="Times New Roman" w:cs="Times New Roman" w:eastAsia="Times New Roman" w:hAnsi="Times New Roman"/>
                <w:sz w:val="14"/>
                <w:szCs w:val="14"/>
                <w:color w:val="auto"/>
              </w:rPr>
              <w:t> </w:t>
            </w:r>
          </w:p>
        </w:tc>
      </w:tr>
      <w:tr>
        <w:trPr>
          <w:trHeight w:val="144"/>
        </w:trPr>
        <w:tc>
          <w:tcPr>
            <w:tcW w:w="2320" w:type="dxa"/>
            <w:vAlign w:val="bottom"/>
            <w:tcBorders>
              <w:left w:val="single" w:sz="8" w:color="auto"/>
              <w:right w:val="single" w:sz="8" w:color="auto"/>
            </w:tcBorders>
            <w:shd w:val="clear" w:color="auto" w:fill="F0FFFF"/>
          </w:tcPr>
          <w:p>
            <w:pPr>
              <w:ind w:left="80"/>
              <w:spacing w:after="0" w:line="144" w:lineRule="exact"/>
              <w:rPr>
                <w:sz w:val="20"/>
                <w:szCs w:val="20"/>
                <w:color w:val="auto"/>
              </w:rPr>
            </w:pPr>
            <w:r>
              <w:rPr>
                <w:rFonts w:ascii="Times New Roman" w:cs="Times New Roman" w:eastAsia="Times New Roman" w:hAnsi="Times New Roman"/>
                <w:sz w:val="14"/>
                <w:szCs w:val="14"/>
                <w:color w:val="auto"/>
              </w:rPr>
              <w:t>Examine Policy Period)</w:t>
            </w:r>
          </w:p>
        </w:tc>
        <w:tc>
          <w:tcPr>
            <w:tcW w:w="3980" w:type="dxa"/>
            <w:vAlign w:val="bottom"/>
            <w:tcBorders>
              <w:right w:val="single" w:sz="8" w:color="auto"/>
            </w:tcBorders>
            <w:shd w:val="clear" w:color="auto" w:fill="F0FFFF"/>
          </w:tcPr>
          <w:p>
            <w:pPr>
              <w:ind w:left="60"/>
              <w:spacing w:after="0" w:line="144" w:lineRule="exact"/>
              <w:rPr>
                <w:sz w:val="20"/>
                <w:szCs w:val="20"/>
                <w:color w:val="auto"/>
              </w:rPr>
            </w:pPr>
            <w:r>
              <w:rPr>
                <w:rFonts w:ascii="Times New Roman" w:cs="Times New Roman" w:eastAsia="Times New Roman" w:hAnsi="Times New Roman"/>
                <w:sz w:val="14"/>
                <w:szCs w:val="14"/>
                <w:color w:val="auto"/>
              </w:rPr>
              <w:t>Phone: (800) 882-1292</w:t>
            </w:r>
          </w:p>
        </w:tc>
      </w:tr>
      <w:tr>
        <w:trPr>
          <w:trHeight w:val="154"/>
        </w:trPr>
        <w:tc>
          <w:tcPr>
            <w:tcW w:w="2320" w:type="dxa"/>
            <w:vAlign w:val="bottom"/>
            <w:tcBorders>
              <w:left w:val="single" w:sz="8" w:color="auto"/>
              <w:right w:val="single" w:sz="8" w:color="auto"/>
            </w:tcBorders>
            <w:shd w:val="clear" w:color="auto" w:fill="F0FFFF"/>
          </w:tcPr>
          <w:p>
            <w:pPr>
              <w:spacing w:after="0"/>
              <w:rPr>
                <w:sz w:val="13"/>
                <w:szCs w:val="13"/>
                <w:color w:val="auto"/>
              </w:rPr>
            </w:pPr>
          </w:p>
        </w:tc>
        <w:tc>
          <w:tcPr>
            <w:tcW w:w="3980" w:type="dxa"/>
            <w:vAlign w:val="bottom"/>
            <w:tcBorders>
              <w:right w:val="single" w:sz="8" w:color="auto"/>
            </w:tcBorders>
            <w:shd w:val="clear" w:color="auto" w:fill="F0FFFF"/>
          </w:tcPr>
          <w:p>
            <w:pPr>
              <w:ind w:left="60"/>
              <w:spacing w:after="0" w:line="155" w:lineRule="exact"/>
              <w:rPr>
                <w:sz w:val="20"/>
                <w:szCs w:val="20"/>
                <w:color w:val="auto"/>
              </w:rPr>
            </w:pPr>
            <w:r>
              <w:rPr>
                <w:rFonts w:ascii="Times New Roman" w:cs="Times New Roman" w:eastAsia="Times New Roman" w:hAnsi="Times New Roman"/>
                <w:sz w:val="14"/>
                <w:szCs w:val="14"/>
                <w:color w:val="auto"/>
              </w:rPr>
              <w:t>Monday through Friday, 8:30AM to 6:30PM Eastern Time</w:t>
            </w:r>
          </w:p>
        </w:tc>
      </w:tr>
      <w:tr>
        <w:trPr>
          <w:trHeight w:val="154"/>
        </w:trPr>
        <w:tc>
          <w:tcPr>
            <w:tcW w:w="2320" w:type="dxa"/>
            <w:vAlign w:val="bottom"/>
            <w:tcBorders>
              <w:left w:val="single" w:sz="8" w:color="auto"/>
              <w:right w:val="single" w:sz="8" w:color="auto"/>
            </w:tcBorders>
            <w:shd w:val="clear" w:color="auto" w:fill="F0FFFF"/>
          </w:tcPr>
          <w:p>
            <w:pPr>
              <w:spacing w:after="0"/>
              <w:rPr>
                <w:sz w:val="13"/>
                <w:szCs w:val="13"/>
                <w:color w:val="auto"/>
              </w:rPr>
            </w:pPr>
          </w:p>
        </w:tc>
        <w:tc>
          <w:tcPr>
            <w:tcW w:w="3980" w:type="dxa"/>
            <w:vAlign w:val="bottom"/>
            <w:tcBorders>
              <w:right w:val="single" w:sz="8" w:color="auto"/>
            </w:tcBorders>
            <w:shd w:val="clear" w:color="auto" w:fill="F0FFFF"/>
          </w:tcPr>
          <w:p>
            <w:pPr>
              <w:ind w:left="60"/>
              <w:spacing w:after="0" w:line="155" w:lineRule="exact"/>
              <w:rPr>
                <w:sz w:val="20"/>
                <w:szCs w:val="20"/>
                <w:color w:val="auto"/>
              </w:rPr>
            </w:pPr>
            <w:r>
              <w:rPr>
                <w:rFonts w:ascii="Times New Roman" w:cs="Times New Roman" w:eastAsia="Times New Roman" w:hAnsi="Times New Roman"/>
                <w:sz w:val="14"/>
                <w:szCs w:val="14"/>
                <w:color w:val="auto"/>
              </w:rPr>
              <w:t> </w:t>
            </w:r>
          </w:p>
        </w:tc>
      </w:tr>
      <w:tr>
        <w:trPr>
          <w:trHeight w:val="144"/>
        </w:trPr>
        <w:tc>
          <w:tcPr>
            <w:tcW w:w="2320" w:type="dxa"/>
            <w:vAlign w:val="bottom"/>
            <w:tcBorders>
              <w:left w:val="single" w:sz="8" w:color="auto"/>
              <w:right w:val="single" w:sz="8" w:color="auto"/>
            </w:tcBorders>
            <w:shd w:val="clear" w:color="auto" w:fill="F0FFFF"/>
          </w:tcPr>
          <w:p>
            <w:pPr>
              <w:spacing w:after="0"/>
              <w:rPr>
                <w:sz w:val="12"/>
                <w:szCs w:val="12"/>
                <w:color w:val="auto"/>
              </w:rPr>
            </w:pPr>
          </w:p>
        </w:tc>
        <w:tc>
          <w:tcPr>
            <w:tcW w:w="3980" w:type="dxa"/>
            <w:vAlign w:val="bottom"/>
            <w:tcBorders>
              <w:right w:val="single" w:sz="8" w:color="auto"/>
            </w:tcBorders>
            <w:shd w:val="clear" w:color="auto" w:fill="F0FFFF"/>
          </w:tcPr>
          <w:p>
            <w:pPr>
              <w:ind w:left="60"/>
              <w:spacing w:after="0" w:line="144" w:lineRule="exact"/>
              <w:rPr>
                <w:sz w:val="20"/>
                <w:szCs w:val="20"/>
                <w:color w:val="auto"/>
              </w:rPr>
            </w:pPr>
            <w:r>
              <w:rPr>
                <w:rFonts w:ascii="Times New Roman" w:cs="Times New Roman" w:eastAsia="Times New Roman" w:hAnsi="Times New Roman"/>
                <w:sz w:val="14"/>
                <w:szCs w:val="14"/>
                <w:color w:val="auto"/>
              </w:rPr>
              <w:t>Or Fax to: Policyholder Services</w:t>
            </w:r>
          </w:p>
        </w:tc>
      </w:tr>
      <w:tr>
        <w:trPr>
          <w:trHeight w:val="178"/>
        </w:trPr>
        <w:tc>
          <w:tcPr>
            <w:tcW w:w="2320" w:type="dxa"/>
            <w:vAlign w:val="bottom"/>
            <w:tcBorders>
              <w:left w:val="single" w:sz="8" w:color="auto"/>
              <w:bottom w:val="single" w:sz="8" w:color="F0FFFF"/>
              <w:right w:val="single" w:sz="8" w:color="auto"/>
            </w:tcBorders>
            <w:shd w:val="clear" w:color="auto" w:fill="F0FFFF"/>
          </w:tcPr>
          <w:p>
            <w:pPr>
              <w:spacing w:after="0"/>
              <w:rPr>
                <w:sz w:val="15"/>
                <w:szCs w:val="15"/>
                <w:color w:val="auto"/>
              </w:rPr>
            </w:pPr>
          </w:p>
        </w:tc>
        <w:tc>
          <w:tcPr>
            <w:tcW w:w="3980" w:type="dxa"/>
            <w:vAlign w:val="bottom"/>
            <w:tcBorders>
              <w:bottom w:val="single" w:sz="8" w:color="F0FFFF"/>
              <w:right w:val="single" w:sz="8" w:color="auto"/>
            </w:tcBorders>
            <w:shd w:val="clear" w:color="auto" w:fill="F0FFFF"/>
          </w:tcPr>
          <w:p>
            <w:pPr>
              <w:ind w:left="60"/>
              <w:spacing w:after="0"/>
              <w:rPr>
                <w:sz w:val="20"/>
                <w:szCs w:val="20"/>
                <w:color w:val="auto"/>
              </w:rPr>
            </w:pPr>
            <w:r>
              <w:rPr>
                <w:rFonts w:ascii="Times New Roman" w:cs="Times New Roman" w:eastAsia="Times New Roman" w:hAnsi="Times New Roman"/>
                <w:sz w:val="14"/>
                <w:szCs w:val="14"/>
                <w:color w:val="auto"/>
              </w:rPr>
              <w:t>(877) 246-8424</w:t>
            </w:r>
          </w:p>
        </w:tc>
      </w:tr>
      <w:tr>
        <w:trPr>
          <w:trHeight w:val="20"/>
        </w:trPr>
        <w:tc>
          <w:tcPr>
            <w:tcW w:w="23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3980" w:type="dxa"/>
            <w:vAlign w:val="bottom"/>
            <w:tcBorders>
              <w:right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-2549525</wp:posOffset>
            </wp:positionV>
            <wp:extent cx="3983990" cy="5549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983990" cy="5549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-1445895</wp:posOffset>
            </wp:positionV>
            <wp:extent cx="3983990" cy="5486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983990" cy="548640"/>
                    </a:xfrm>
                    <a:prstGeom prst="rect">
                      <a:avLst/>
                    </a:prstGeom>
                    <a:noFill/>
                  </pic:spPr>
                </pic:pic>
              </a:graphicData>
            </a:graphic>
          </wp:anchor>
        </w:drawing>
      </w:r>
    </w:p>
    <w:p>
      <w:pPr>
        <w:spacing w:after="0" w:line="127" w:lineRule="exact"/>
        <w:rPr>
          <w:sz w:val="20"/>
          <w:szCs w:val="20"/>
          <w:color w:val="auto"/>
        </w:rPr>
      </w:pPr>
    </w:p>
    <w:p>
      <w:pPr>
        <w:jc w:val="both"/>
        <w:ind w:right="2939" w:firstLine="274"/>
        <w:spacing w:after="0" w:line="251" w:lineRule="auto"/>
        <w:rPr>
          <w:sz w:val="20"/>
          <w:szCs w:val="20"/>
          <w:color w:val="auto"/>
        </w:rPr>
      </w:pPr>
      <w:r>
        <w:rPr>
          <w:rFonts w:ascii="Times New Roman" w:cs="Times New Roman" w:eastAsia="Times New Roman" w:hAnsi="Times New Roman"/>
          <w:sz w:val="14"/>
          <w:szCs w:val="14"/>
          <w:color w:val="auto"/>
        </w:rPr>
        <w:t>Some of the requests for service that may be made by telephone include transfers of your Cash Value into Indexed Account(s) or the Fixed Account. We may from time to time permit requests for other types of transactions to be made by telephone. All transaction requests must be in a form satisfactory to us. Contact us for further information. Some selling firms may restrict the ability of their financial representatives to convey transaction requests by telephone on your behalf.</w:t>
      </w:r>
    </w:p>
    <w:p>
      <w:pPr>
        <w:spacing w:after="0" w:line="63" w:lineRule="exact"/>
        <w:rPr>
          <w:sz w:val="20"/>
          <w:szCs w:val="20"/>
          <w:color w:val="auto"/>
        </w:rPr>
      </w:pPr>
    </w:p>
    <w:p>
      <w:pPr>
        <w:jc w:val="both"/>
        <w:ind w:right="2939" w:firstLine="274"/>
        <w:spacing w:after="0" w:line="249" w:lineRule="auto"/>
        <w:rPr>
          <w:sz w:val="20"/>
          <w:szCs w:val="20"/>
          <w:color w:val="auto"/>
        </w:rPr>
      </w:pPr>
      <w:r>
        <w:rPr>
          <w:rFonts w:ascii="Times New Roman" w:cs="Times New Roman" w:eastAsia="Times New Roman" w:hAnsi="Times New Roman"/>
          <w:sz w:val="14"/>
          <w:szCs w:val="14"/>
          <w:color w:val="auto"/>
        </w:rPr>
        <w:t>We are not a fiduciary and do not provide investment advice or make recommendations regarding insurance or investment products. Ask your financial representative for guidance regarding any requests or elections and for information about your particular investment needs. Please bear in mind that your financial representative, or any financial firm or financial professional with whom you consult for advice, acts on your behalf, not ours. We are not party to any agreement between you and your financial representative. We do not recommend and are not responsible for any securities transactions or investment strategies involving securities.</w:t>
      </w:r>
    </w:p>
    <w:p>
      <w:pPr>
        <w:spacing w:after="0" w:line="68" w:lineRule="exact"/>
        <w:rPr>
          <w:sz w:val="20"/>
          <w:szCs w:val="20"/>
          <w:color w:val="auto"/>
        </w:rPr>
      </w:pPr>
    </w:p>
    <w:p>
      <w:pPr>
        <w:jc w:val="both"/>
        <w:ind w:right="2939" w:firstLine="274"/>
        <w:spacing w:after="0" w:line="266" w:lineRule="auto"/>
        <w:rPr>
          <w:sz w:val="20"/>
          <w:szCs w:val="20"/>
          <w:color w:val="auto"/>
        </w:rPr>
      </w:pPr>
      <w:r>
        <w:rPr>
          <w:rFonts w:ascii="Times New Roman" w:cs="Times New Roman" w:eastAsia="Times New Roman" w:hAnsi="Times New Roman"/>
          <w:sz w:val="13"/>
          <w:szCs w:val="13"/>
          <w:color w:val="auto"/>
        </w:rPr>
        <w:t xml:space="preserve">A request or transaction generally is considered in Good Order if it complies with our administrative procedures and the required information is complete and accurate. A request or transaction may be rejected or delayed if not in Good Order. If you have any questions, you should contact us or your financial representative before submitting the form or request. We will use reasonable procedures such as requiring certain identifying information, tape recording the telephone instructions, and providing written confirmation of the transaction, in order to confirm that instructions communicated by telephone or other means are genuine. Any telephone instructions reasonably believed by us to be genuine will be your responsibility, including losses arising from any errors in the communication of instructions. As a result of this policy, you will bear the risk of loss. If we do not employ reasonable procedures to confirm that instructions communicated by telephone are genuine, we may be liable for any losses due to unauthorized or fraudulent transactions. </w:t>
      </w:r>
      <w:r>
        <w:rPr>
          <w:rFonts w:ascii="Times New Roman" w:cs="Times New Roman" w:eastAsia="Times New Roman" w:hAnsi="Times New Roman"/>
          <w:sz w:val="13"/>
          <w:szCs w:val="13"/>
          <w:b w:val="1"/>
          <w:bCs w:val="1"/>
          <w:color w:val="auto"/>
        </w:rPr>
        <w:t>All other requests and elections under your</w:t>
      </w:r>
    </w:p>
    <w:p>
      <w:pPr>
        <w:jc w:val="both"/>
        <w:ind w:right="2939"/>
        <w:spacing w:after="0" w:line="246" w:lineRule="auto"/>
        <w:rPr>
          <w:sz w:val="20"/>
          <w:szCs w:val="20"/>
          <w:color w:val="auto"/>
        </w:rPr>
      </w:pPr>
      <w:r>
        <w:rPr>
          <w:rFonts w:ascii="Times New Roman" w:cs="Times New Roman" w:eastAsia="Times New Roman" w:hAnsi="Times New Roman"/>
          <w:sz w:val="14"/>
          <w:szCs w:val="14"/>
          <w:b w:val="1"/>
          <w:bCs w:val="1"/>
          <w:color w:val="auto"/>
        </w:rPr>
        <w:t xml:space="preserve">Policy must be in writing, signed by the proper party, and include any necessary documentation to be effective. In writing means in a form satisfactory to us and received at our Administrative Office at the addresses specified above or by fax at the numbers specified above. </w:t>
      </w:r>
      <w:r>
        <w:rPr>
          <w:rFonts w:ascii="Times New Roman" w:cs="Times New Roman" w:eastAsia="Times New Roman" w:hAnsi="Times New Roman"/>
          <w:sz w:val="14"/>
          <w:szCs w:val="14"/>
          <w:color w:val="auto"/>
        </w:rPr>
        <w:t>If acceptable to us, requests or elections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relating to Beneficiaries and Ownership will take effect as of the date signed unless we have already acted in reliance on the prior status. We are not responsible for the validity of any written request or action.</w:t>
      </w:r>
    </w:p>
    <w:p>
      <w:pPr>
        <w:spacing w:after="0" w:line="68" w:lineRule="exact"/>
        <w:rPr>
          <w:sz w:val="20"/>
          <w:szCs w:val="20"/>
          <w:color w:val="auto"/>
        </w:rPr>
      </w:pPr>
    </w:p>
    <w:p>
      <w:pPr>
        <w:jc w:val="both"/>
        <w:ind w:right="2939" w:firstLine="274"/>
        <w:spacing w:after="0" w:line="249" w:lineRule="auto"/>
        <w:rPr>
          <w:sz w:val="20"/>
          <w:szCs w:val="20"/>
          <w:color w:val="auto"/>
        </w:rPr>
      </w:pPr>
      <w:r>
        <w:rPr>
          <w:rFonts w:ascii="Times New Roman" w:cs="Times New Roman" w:eastAsia="Times New Roman" w:hAnsi="Times New Roman"/>
          <w:sz w:val="14"/>
          <w:szCs w:val="14"/>
          <w:color w:val="auto"/>
        </w:rPr>
        <w:t>Telephone and computer systems may not always be available. Any telephone or computer system, whether it is yours, your service provider’s, your financial representatives, or ours, can experience outages or slowdowns for a variety of reasons. These outages or slowdowns may delay or prevent our processing of your request. Although we have taken precautions to help our systems handle heavy use, we cannot promise complete reliability under all circumstances. If you experience technical difficulties or problems, you should make your transaction request in writing to our Administrative Office.</w:t>
      </w:r>
    </w:p>
    <w:p>
      <w:pPr>
        <w:spacing w:after="0" w:line="212"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4"/>
          <w:szCs w:val="14"/>
          <w:color w:val="auto"/>
        </w:rPr>
        <w:t>73</w:t>
      </w:r>
    </w:p>
    <w:p>
      <w:pPr>
        <w:sectPr>
          <w:pgSz w:w="11900" w:h="16838" w:orient="portrait"/>
          <w:cols w:equalWidth="0" w:num="1">
            <w:col w:w="9219"/>
          </w:cols>
          <w:pgMar w:left="1240" w:top="1083" w:right="1440"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422275</wp:posOffset>
            </wp:positionV>
            <wp:extent cx="719010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90105" cy="38735"/>
                    </a:xfrm>
                    <a:prstGeom prst="rect">
                      <a:avLst/>
                    </a:prstGeom>
                    <a:noFill/>
                  </pic:spPr>
                </pic:pic>
              </a:graphicData>
            </a:graphic>
          </wp:anchor>
        </w:drawing>
        <w:t>Good Order</w:t>
      </w:r>
    </w:p>
    <w:p>
      <w:pPr>
        <w:spacing w:after="0" w:line="90" w:lineRule="exact"/>
        <w:rPr>
          <w:sz w:val="20"/>
          <w:szCs w:val="20"/>
          <w:color w:val="auto"/>
        </w:rPr>
      </w:pPr>
    </w:p>
    <w:p>
      <w:pPr>
        <w:jc w:val="both"/>
        <w:ind w:right="2939" w:firstLine="274"/>
        <w:spacing w:after="0" w:line="267" w:lineRule="auto"/>
        <w:rPr>
          <w:sz w:val="20"/>
          <w:szCs w:val="20"/>
          <w:color w:val="auto"/>
        </w:rPr>
      </w:pPr>
      <w:r>
        <w:rPr>
          <w:rFonts w:ascii="Times New Roman" w:cs="Times New Roman" w:eastAsia="Times New Roman" w:hAnsi="Times New Roman"/>
          <w:sz w:val="13"/>
          <w:szCs w:val="13"/>
          <w:color w:val="auto"/>
        </w:rPr>
        <w:t>A request or transaction generally is considered in “Good Order” if it complies with our administrative procedures and the required information is complete and accurate. A request or transaction may be rejected or delayed if not in Good Order. Good Order generally means the actual receipt by us of the instructions relating to the requested transaction in writing (or, when permitted, by telephone) along with all forms, information and supporting legal documentation necessary to affect the transaction. This information and documentation generally includes to the extent applicable to the transaction: your completed application; your policy number; the transaction amount (in dollars or percentage terms); the names and allocations to and/or from the Buffer Options, or the Fixed Account if applicable, affected by the requested transaction; the signatures of all Policy Owners (exactly as indicated on the policy), if necessary; Social Security Number or Tax I.D.; and any other information or supporting documentation that we may require, including any spousal or Joint Owner’s consents. With respect to premium payments, Good Order also generally includes receipt by us of sufficient funds to effect the purchase. We may, in our sole discretion, determine whether any particular transaction request is in Good Order, and we reserve the right to change or waive any Good Order requirement at any time. If you have any questions, you should contact us or your financial representative before submitting the form or request.</w:t>
      </w:r>
    </w:p>
    <w:p>
      <w:pPr>
        <w:spacing w:after="0" w:line="219"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b w:val="1"/>
          <w:bCs w:val="1"/>
          <w:color w:val="auto"/>
        </w:rPr>
        <w:t>CONFIRMING TRANSACTIONS</w:t>
      </w:r>
    </w:p>
    <w:p>
      <w:pPr>
        <w:spacing w:after="0" w:line="90" w:lineRule="exact"/>
        <w:rPr>
          <w:sz w:val="20"/>
          <w:szCs w:val="20"/>
          <w:color w:val="auto"/>
        </w:rPr>
      </w:pPr>
    </w:p>
    <w:p>
      <w:pPr>
        <w:jc w:val="both"/>
        <w:ind w:right="2939" w:firstLine="274"/>
        <w:spacing w:after="0" w:line="307" w:lineRule="auto"/>
        <w:rPr>
          <w:sz w:val="20"/>
          <w:szCs w:val="20"/>
          <w:color w:val="auto"/>
        </w:rPr>
      </w:pPr>
      <w:r>
        <w:rPr>
          <w:rFonts w:ascii="Times New Roman" w:cs="Times New Roman" w:eastAsia="Times New Roman" w:hAnsi="Times New Roman"/>
          <w:sz w:val="13"/>
          <w:szCs w:val="13"/>
          <w:color w:val="auto"/>
        </w:rPr>
        <w:t>We will send out written statements confirming that a transaction was recently completed. Unless you inform us of any errors within 60 days of receipt, we will consider these communications to be accurate and complete.</w:t>
      </w:r>
    </w:p>
    <w:p>
      <w:pPr>
        <w:spacing w:after="0" w:line="190"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4"/>
          <w:szCs w:val="14"/>
          <w:b w:val="1"/>
          <w:bCs w:val="1"/>
          <w:color w:val="auto"/>
        </w:rPr>
        <w:t>LEGAL PROCEEDINGS</w:t>
      </w:r>
    </w:p>
    <w:p>
      <w:pPr>
        <w:spacing w:after="0" w:line="90" w:lineRule="exact"/>
        <w:rPr>
          <w:sz w:val="20"/>
          <w:szCs w:val="20"/>
          <w:color w:val="auto"/>
        </w:rPr>
      </w:pPr>
    </w:p>
    <w:p>
      <w:pPr>
        <w:jc w:val="both"/>
        <w:ind w:right="2939" w:firstLine="274"/>
        <w:spacing w:after="0" w:line="274" w:lineRule="auto"/>
        <w:rPr>
          <w:sz w:val="20"/>
          <w:szCs w:val="20"/>
          <w:color w:val="auto"/>
        </w:rPr>
      </w:pPr>
      <w:r>
        <w:rPr>
          <w:rFonts w:ascii="Times New Roman" w:cs="Times New Roman" w:eastAsia="Times New Roman" w:hAnsi="Times New Roman"/>
          <w:sz w:val="13"/>
          <w:szCs w:val="13"/>
          <w:color w:val="auto"/>
        </w:rPr>
        <w:t>In the ordinary course of business, BLIC, similar to other life insurance companies, is involved in lawsuits (including class action lawsuits), arbitrations and other legal proceedings. Also, from time to time, state and Federal regulators or other officials conduct formal and informal examinations or undertake other actions dealing with various aspects of the financial services and insurance industries. In some legal proceedings involving insurers, substantial damages have been sought and/ or material settlement payments have been made.</w:t>
      </w:r>
    </w:p>
    <w:p>
      <w:pPr>
        <w:spacing w:after="0" w:line="52" w:lineRule="exact"/>
        <w:rPr>
          <w:sz w:val="20"/>
          <w:szCs w:val="20"/>
          <w:color w:val="auto"/>
        </w:rPr>
      </w:pPr>
    </w:p>
    <w:p>
      <w:pPr>
        <w:jc w:val="both"/>
        <w:ind w:right="2939" w:firstLine="274"/>
        <w:spacing w:after="0" w:line="252" w:lineRule="auto"/>
        <w:rPr>
          <w:sz w:val="20"/>
          <w:szCs w:val="20"/>
          <w:color w:val="auto"/>
        </w:rPr>
      </w:pPr>
      <w:r>
        <w:rPr>
          <w:rFonts w:ascii="Times New Roman" w:cs="Times New Roman" w:eastAsia="Times New Roman" w:hAnsi="Times New Roman"/>
          <w:sz w:val="14"/>
          <w:szCs w:val="14"/>
          <w:color w:val="auto"/>
        </w:rPr>
        <w:t>It is not possible to predict with certainty the ultimate outcome of any pending legal proceeding or regulatory action. However, BLIC does not believe any such action or proceeding will have a material adverse effect upon the ability of Brighthouse Securities to perform its contract with BLIC or of BLIC to meet its obligations under the contracts.</w:t>
      </w:r>
    </w:p>
    <w:p>
      <w:pPr>
        <w:spacing w:after="0" w:line="225" w:lineRule="exact"/>
        <w:rPr>
          <w:sz w:val="20"/>
          <w:szCs w:val="20"/>
          <w:color w:val="auto"/>
        </w:rPr>
      </w:pPr>
    </w:p>
    <w:p>
      <w:pPr>
        <w:jc w:val="center"/>
        <w:ind w:right="2939"/>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90" w:lineRule="exact"/>
        <w:rPr>
          <w:sz w:val="20"/>
          <w:szCs w:val="20"/>
          <w:color w:val="auto"/>
        </w:rPr>
      </w:pPr>
    </w:p>
    <w:p>
      <w:pPr>
        <w:jc w:val="both"/>
        <w:ind w:right="2939" w:firstLine="274"/>
        <w:spacing w:after="0" w:line="285" w:lineRule="auto"/>
        <w:rPr>
          <w:sz w:val="20"/>
          <w:szCs w:val="20"/>
          <w:color w:val="auto"/>
        </w:rPr>
      </w:pPr>
      <w:r>
        <w:rPr>
          <w:rFonts w:ascii="Times New Roman" w:cs="Times New Roman" w:eastAsia="Times New Roman" w:hAnsi="Times New Roman"/>
          <w:sz w:val="13"/>
          <w:szCs w:val="13"/>
          <w:color w:val="auto"/>
        </w:rPr>
        <w:t>Legal matters in connection with Federal laws and regulations affecting the issue and sale of the Policies described in this prospectus and the organization of BLIC, its authority to issue such Policies under Delaware law and the validity of the forms of the Policies under Delaware law have been passed on by legal counsel for BLIC.</w:t>
      </w:r>
    </w:p>
    <w:p>
      <w:pPr>
        <w:spacing w:after="0" w:line="204"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4"/>
          <w:szCs w:val="14"/>
          <w:b w:val="1"/>
          <w:bCs w:val="1"/>
          <w:color w:val="auto"/>
        </w:rPr>
        <w:t>INDEPENDENT REGISTERED PUBLIC ACCOUNTING FIRM</w:t>
      </w:r>
    </w:p>
    <w:p>
      <w:pPr>
        <w:spacing w:after="0" w:line="90" w:lineRule="exact"/>
        <w:rPr>
          <w:sz w:val="20"/>
          <w:szCs w:val="20"/>
          <w:color w:val="auto"/>
        </w:rPr>
      </w:pPr>
    </w:p>
    <w:p>
      <w:pPr>
        <w:jc w:val="both"/>
        <w:ind w:right="2939" w:firstLine="274"/>
        <w:spacing w:after="0" w:line="252" w:lineRule="auto"/>
        <w:rPr>
          <w:sz w:val="20"/>
          <w:szCs w:val="20"/>
          <w:color w:val="auto"/>
        </w:rPr>
      </w:pPr>
      <w:r>
        <w:rPr>
          <w:rFonts w:ascii="Times New Roman" w:cs="Times New Roman" w:eastAsia="Times New Roman" w:hAnsi="Times New Roman"/>
          <w:sz w:val="14"/>
          <w:szCs w:val="14"/>
          <w:color w:val="auto"/>
        </w:rPr>
        <w:t>[TO BE UPDATED BY AMENDMENT] The financial statements of Brighthouse Life Insurance Company incorporated by reference in this Prospectus, have been audited by [__], an independent registered public accounting firm, as stated in their report. Such financial statements are incorporated by reference in reliance upon the report of such firm, given their authority as experts in accounting and auditing.</w:t>
      </w:r>
    </w:p>
    <w:p>
      <w:pPr>
        <w:spacing w:after="0" w:line="225"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4"/>
          <w:szCs w:val="14"/>
          <w:b w:val="1"/>
          <w:bCs w:val="1"/>
          <w:color w:val="auto"/>
        </w:rPr>
        <w:t>STATE VARIATIONS</w:t>
      </w:r>
    </w:p>
    <w:p>
      <w:pPr>
        <w:spacing w:after="0" w:line="90" w:lineRule="exact"/>
        <w:rPr>
          <w:sz w:val="20"/>
          <w:szCs w:val="20"/>
          <w:color w:val="auto"/>
        </w:rPr>
      </w:pPr>
    </w:p>
    <w:p>
      <w:pPr>
        <w:jc w:val="both"/>
        <w:ind w:right="2939" w:firstLine="274"/>
        <w:spacing w:after="0" w:line="248" w:lineRule="auto"/>
        <w:rPr>
          <w:sz w:val="20"/>
          <w:szCs w:val="20"/>
          <w:color w:val="auto"/>
        </w:rPr>
      </w:pPr>
      <w:r>
        <w:rPr>
          <w:rFonts w:ascii="Times New Roman" w:cs="Times New Roman" w:eastAsia="Times New Roman" w:hAnsi="Times New Roman"/>
          <w:sz w:val="14"/>
          <w:szCs w:val="14"/>
          <w:color w:val="auto"/>
        </w:rPr>
        <w:t>Policies issued in your state may provide different features and benefits from, and impose different costs than, those described in this prospectus because of state law variations. These differences include, among other things, Free Look rights, age issuance limitations, transfer rights and limitations, the right to reject a premium payment, the requirements for unisex life insurance rates and the general availability of certain features. This prospectus describes all the material features of the Policy. Please refer to Appendix F for a summary of the states where certain Policy features and/or benefits are either not available as of the date of this prospectus or vary from the Policy’s features and benefits as described in this prospectus. If you would like to review a copy of the Policy and any endorsements, contact our Administrative Office.</w:t>
      </w:r>
    </w:p>
    <w:p>
      <w:pPr>
        <w:spacing w:after="0" w:line="377"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4"/>
          <w:szCs w:val="14"/>
          <w:color w:val="auto"/>
        </w:rPr>
        <w:t>74</w:t>
      </w:r>
    </w:p>
    <w:p>
      <w:pPr>
        <w:sectPr>
          <w:pgSz w:w="11900" w:h="16838" w:orient="portrait"/>
          <w:cols w:equalWidth="0" w:num="1">
            <w:col w:w="9219"/>
          </w:cols>
          <w:pgMar w:left="1240" w:top="1079" w:right="1440" w:bottom="1440" w:gutter="0" w:footer="0" w:header="0"/>
        </w:sectPr>
      </w:pPr>
    </w:p>
    <w:bookmarkStart w:id="77" w:name="page78"/>
    <w:bookmarkEnd w:id="77"/>
    <w:p>
      <w:pPr>
        <w:ind w:left="230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422275</wp:posOffset>
            </wp:positionV>
            <wp:extent cx="719010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90105" cy="38735"/>
                    </a:xfrm>
                    <a:prstGeom prst="rect">
                      <a:avLst/>
                    </a:prstGeom>
                    <a:noFill/>
                  </pic:spPr>
                </pic:pic>
              </a:graphicData>
            </a:graphic>
          </wp:anchor>
        </w:drawing>
        <w:t>ELECTRONIC DELIVERY</w:t>
      </w:r>
    </w:p>
    <w:p>
      <w:pPr>
        <w:spacing w:after="0" w:line="90" w:lineRule="exact"/>
        <w:rPr>
          <w:sz w:val="20"/>
          <w:szCs w:val="20"/>
          <w:color w:val="auto"/>
        </w:rPr>
      </w:pPr>
    </w:p>
    <w:p>
      <w:pPr>
        <w:jc w:val="both"/>
        <w:ind w:right="2939" w:firstLine="274"/>
        <w:spacing w:after="0" w:line="256" w:lineRule="auto"/>
        <w:rPr>
          <w:sz w:val="20"/>
          <w:szCs w:val="20"/>
          <w:color w:val="auto"/>
        </w:rPr>
      </w:pPr>
      <w:r>
        <w:rPr>
          <w:rFonts w:ascii="Times New Roman" w:cs="Times New Roman" w:eastAsia="Times New Roman" w:hAnsi="Times New Roman"/>
          <w:sz w:val="14"/>
          <w:szCs w:val="14"/>
          <w:color w:val="auto"/>
        </w:rPr>
        <w:t>As Owner, you may elect to receive electronic delivery of current prospectuses related to the Policy and other Policy related documents. Contact us at our website at www.brighthousefinancial.com for more information and to enroll.</w:t>
      </w:r>
    </w:p>
    <w:p>
      <w:pPr>
        <w:spacing w:after="0" w:line="22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b w:val="1"/>
          <w:bCs w:val="1"/>
          <w:color w:val="auto"/>
        </w:rPr>
        <w:t>AMENDMENT OF THE POLICY</w:t>
      </w:r>
    </w:p>
    <w:p>
      <w:pPr>
        <w:spacing w:after="0" w:line="90" w:lineRule="exact"/>
        <w:rPr>
          <w:sz w:val="20"/>
          <w:szCs w:val="20"/>
          <w:color w:val="auto"/>
        </w:rPr>
      </w:pPr>
    </w:p>
    <w:p>
      <w:pPr>
        <w:jc w:val="both"/>
        <w:ind w:right="2939" w:firstLine="274"/>
        <w:spacing w:after="0" w:line="267" w:lineRule="auto"/>
        <w:rPr>
          <w:sz w:val="20"/>
          <w:szCs w:val="20"/>
          <w:color w:val="auto"/>
        </w:rPr>
      </w:pPr>
      <w:r>
        <w:rPr>
          <w:rFonts w:ascii="Times New Roman" w:cs="Times New Roman" w:eastAsia="Times New Roman" w:hAnsi="Times New Roman"/>
          <w:sz w:val="14"/>
          <w:szCs w:val="14"/>
          <w:color w:val="auto"/>
        </w:rPr>
        <w:t>We reserve the right to amend the Policies to comply with applicable Federal or state laws or regulations. We will notify you in writing of any such amendments.</w:t>
      </w:r>
    </w:p>
    <w:p>
      <w:pPr>
        <w:spacing w:after="0" w:line="21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color w:val="auto"/>
        </w:rPr>
        <w:t>INFORMATION INCORPORATED BY REFERENCE</w:t>
      </w:r>
    </w:p>
    <w:p>
      <w:pPr>
        <w:spacing w:after="0" w:line="90" w:lineRule="exact"/>
        <w:rPr>
          <w:sz w:val="20"/>
          <w:szCs w:val="20"/>
          <w:color w:val="auto"/>
        </w:rPr>
      </w:pPr>
    </w:p>
    <w:p>
      <w:pPr>
        <w:jc w:val="both"/>
        <w:ind w:right="2939" w:firstLine="274"/>
        <w:spacing w:after="0" w:line="251" w:lineRule="auto"/>
        <w:rPr>
          <w:sz w:val="20"/>
          <w:szCs w:val="20"/>
          <w:color w:val="auto"/>
        </w:rPr>
      </w:pPr>
      <w:r>
        <w:rPr>
          <w:rFonts w:ascii="Times New Roman" w:cs="Times New Roman" w:eastAsia="Times New Roman" w:hAnsi="Times New Roman"/>
          <w:sz w:val="14"/>
          <w:szCs w:val="14"/>
          <w:color w:val="auto"/>
        </w:rPr>
        <w:t>[TO BE UPDATED BY AMENDMENT] Under the Securities Act of 1933, BLIC has filed with the SEC a registration statement (the “Registration Statement”) relating to the Policies offered by this prospectus. This prospectus has been filed as a part of the Registration Statement and does not contain all of the information set forth in the Registration Statement and the exhibits and reference is hereby made to such Registration Statement and exhibits for further information relating to BLIC and the Policies.</w:t>
      </w:r>
    </w:p>
    <w:p>
      <w:pPr>
        <w:spacing w:after="0" w:line="63" w:lineRule="exact"/>
        <w:rPr>
          <w:sz w:val="20"/>
          <w:szCs w:val="20"/>
          <w:color w:val="auto"/>
        </w:rPr>
      </w:pPr>
    </w:p>
    <w:p>
      <w:pPr>
        <w:jc w:val="both"/>
        <w:ind w:right="2939" w:firstLine="274"/>
        <w:spacing w:after="0" w:line="271" w:lineRule="auto"/>
        <w:rPr>
          <w:rFonts w:ascii="Times New Roman" w:cs="Times New Roman" w:eastAsia="Times New Roman" w:hAnsi="Times New Roman"/>
          <w:sz w:val="13"/>
          <w:szCs w:val="13"/>
          <w:color w:val="0000EE"/>
        </w:rPr>
      </w:pPr>
      <w:hyperlink r:id="rId157">
        <w:r>
          <w:rPr>
            <w:rFonts w:ascii="Times New Roman" w:cs="Times New Roman" w:eastAsia="Times New Roman" w:hAnsi="Times New Roman"/>
            <w:sz w:val="13"/>
            <w:szCs w:val="13"/>
            <w:color w:val="auto"/>
          </w:rPr>
          <w:t xml:space="preserve">We incorporate by reference </w:t>
        </w:r>
        <w:r>
          <w:rPr>
            <w:rFonts w:ascii="Times New Roman" w:cs="Times New Roman" w:eastAsia="Times New Roman" w:hAnsi="Times New Roman"/>
            <w:sz w:val="13"/>
            <w:szCs w:val="13"/>
            <w:u w:val="single" w:color="auto"/>
            <w:color w:val="0000EE"/>
          </w:rPr>
          <w:t>BLIC’s Annual Report on Form 10-K for the year ended [___], as filed with the</w:t>
        </w:r>
      </w:hyperlink>
      <w:r>
        <w:rPr>
          <w:rFonts w:ascii="Times New Roman" w:cs="Times New Roman" w:eastAsia="Times New Roman" w:hAnsi="Times New Roman"/>
          <w:sz w:val="13"/>
          <w:szCs w:val="13"/>
          <w:color w:val="auto"/>
        </w:rPr>
        <w:t xml:space="preserve"> </w:t>
      </w:r>
      <w:hyperlink r:id="rId157">
        <w:r>
          <w:rPr>
            <w:rFonts w:ascii="Times New Roman" w:cs="Times New Roman" w:eastAsia="Times New Roman" w:hAnsi="Times New Roman"/>
            <w:sz w:val="13"/>
            <w:szCs w:val="13"/>
            <w:u w:val="single" w:color="auto"/>
            <w:color w:val="0000EE"/>
          </w:rPr>
          <w:t>SEC on [___] via EDGAR File No.</w:t>
        </w:r>
        <w:r>
          <w:rPr>
            <w:rFonts w:ascii="Times New Roman" w:cs="Times New Roman" w:eastAsia="Times New Roman" w:hAnsi="Times New Roman"/>
            <w:sz w:val="13"/>
            <w:szCs w:val="13"/>
            <w:color w:val="0000EE"/>
          </w:rPr>
          <w:t xml:space="preserve"> </w:t>
        </w:r>
        <w:r>
          <w:rPr>
            <w:rFonts w:ascii="Times New Roman" w:cs="Times New Roman" w:eastAsia="Times New Roman" w:hAnsi="Times New Roman"/>
            <w:sz w:val="13"/>
            <w:szCs w:val="13"/>
            <w:color w:val="000000"/>
          </w:rPr>
          <w:t>[___]. The Annual Report contains additional information about BLIC,</w:t>
        </w:r>
      </w:hyperlink>
      <w:r>
        <w:rPr>
          <w:rFonts w:ascii="Times New Roman" w:cs="Times New Roman" w:eastAsia="Times New Roman" w:hAnsi="Times New Roman"/>
          <w:sz w:val="13"/>
          <w:szCs w:val="13"/>
          <w:color w:val="0000EE"/>
        </w:rPr>
        <w:t xml:space="preserve"> </w:t>
      </w:r>
      <w:r>
        <w:rPr>
          <w:rFonts w:ascii="Times New Roman" w:cs="Times New Roman" w:eastAsia="Times New Roman" w:hAnsi="Times New Roman"/>
          <w:sz w:val="13"/>
          <w:szCs w:val="13"/>
          <w:color w:val="000000"/>
        </w:rPr>
        <w:t>including audited financial statements for BLIC’s latest fiscal year. In addition, all documents subsequently filed by BLIC pursuant to Sections 13(a), 13(c), 14 or 15(d) of the Securities Exchange Act of 1934, as amended (the “Exchange Act”) prior to the termination of the offering, are also incorporated by reference into this prospectus. We are not incorporating by reference any documents or information deemed to have been furnished instead of filed under SEC rules, such as current reports on Form 8-K furnished under Item 2.02 or Item 7.01.</w:t>
      </w:r>
    </w:p>
    <w:p>
      <w:pPr>
        <w:spacing w:after="0" w:line="53" w:lineRule="exact"/>
        <w:rPr>
          <w:sz w:val="20"/>
          <w:szCs w:val="20"/>
          <w:color w:val="auto"/>
        </w:rPr>
      </w:pPr>
    </w:p>
    <w:p>
      <w:pPr>
        <w:jc w:val="both"/>
        <w:ind w:right="2939" w:firstLine="274"/>
        <w:spacing w:after="0" w:line="252" w:lineRule="auto"/>
        <w:rPr>
          <w:sz w:val="20"/>
          <w:szCs w:val="20"/>
          <w:color w:val="auto"/>
        </w:rPr>
      </w:pPr>
      <w:r>
        <w:rPr>
          <w:rFonts w:ascii="Times New Roman" w:cs="Times New Roman" w:eastAsia="Times New Roman" w:hAnsi="Times New Roman"/>
          <w:sz w:val="14"/>
          <w:szCs w:val="14"/>
          <w:color w:val="auto"/>
        </w:rPr>
        <w:t>If requested, BLIC will furnish, without charge, a copy of any and all of the reports or documents that have been incorporated by reference into this prospectus. You may direct your requests to BLIC Administrative Office at 100 Centerview Drive, Suite 100 Charlotte, NC 37214. The telephone number is 1-800-882-1292. You may also access the incorporated reports and other documents at www.brighthousefinancial.com.</w:t>
      </w:r>
    </w:p>
    <w:p>
      <w:pPr>
        <w:spacing w:after="0" w:line="64" w:lineRule="exact"/>
        <w:rPr>
          <w:sz w:val="20"/>
          <w:szCs w:val="20"/>
          <w:color w:val="auto"/>
        </w:rPr>
      </w:pPr>
    </w:p>
    <w:p>
      <w:pPr>
        <w:jc w:val="both"/>
        <w:ind w:right="2939" w:firstLine="274"/>
        <w:spacing w:after="0" w:line="249" w:lineRule="auto"/>
        <w:rPr>
          <w:sz w:val="20"/>
          <w:szCs w:val="20"/>
          <w:color w:val="auto"/>
        </w:rPr>
      </w:pPr>
      <w:r>
        <w:rPr>
          <w:rFonts w:ascii="Times New Roman" w:cs="Times New Roman" w:eastAsia="Times New Roman" w:hAnsi="Times New Roman"/>
          <w:sz w:val="14"/>
          <w:szCs w:val="14"/>
          <w:color w:val="auto"/>
        </w:rPr>
        <w:t>BLIC files periodic reports as required under the Exchange Act (including Form 10-K, 10-Q and 8-K). You may also read and copy any materials that BLIC files with the SEC at the SEC’s Public Reference Room at 100 F Street, N.E., Washington, DC 20549. The public may obtain information on the operation of the Public Reference Room by calling the SEC at 1-800-SEC-0330. The SEC maintains an Internet site that contains reports, proxy and information statements, and other information regarding issuers that file electronically with the SEC at http://www.sec.gov.</w:t>
      </w:r>
    </w:p>
    <w:p>
      <w:pPr>
        <w:spacing w:after="0" w:line="238" w:lineRule="exact"/>
        <w:rPr>
          <w:sz w:val="20"/>
          <w:szCs w:val="20"/>
          <w:color w:val="auto"/>
        </w:rPr>
      </w:pPr>
    </w:p>
    <w:p>
      <w:pPr>
        <w:jc w:val="center"/>
        <w:ind w:right="2979"/>
        <w:spacing w:after="0"/>
        <w:rPr>
          <w:sz w:val="20"/>
          <w:szCs w:val="20"/>
          <w:color w:val="auto"/>
        </w:rPr>
      </w:pPr>
      <w:r>
        <w:rPr>
          <w:rFonts w:ascii="Times New Roman" w:cs="Times New Roman" w:eastAsia="Times New Roman" w:hAnsi="Times New Roman"/>
          <w:sz w:val="14"/>
          <w:szCs w:val="14"/>
          <w:b w:val="1"/>
          <w:bCs w:val="1"/>
          <w:color w:val="auto"/>
        </w:rPr>
        <w:t>DISCLOSURE OF COMMISSION POSITION ON INDEMNIFICATION</w:t>
      </w:r>
    </w:p>
    <w:p>
      <w:pPr>
        <w:spacing w:after="0" w:line="19" w:lineRule="exact"/>
        <w:rPr>
          <w:sz w:val="20"/>
          <w:szCs w:val="20"/>
          <w:color w:val="auto"/>
        </w:rPr>
      </w:pPr>
    </w:p>
    <w:p>
      <w:pPr>
        <w:jc w:val="center"/>
        <w:ind w:right="2939"/>
        <w:spacing w:after="0"/>
        <w:rPr>
          <w:sz w:val="20"/>
          <w:szCs w:val="20"/>
          <w:color w:val="auto"/>
        </w:rPr>
      </w:pPr>
      <w:r>
        <w:rPr>
          <w:rFonts w:ascii="Times New Roman" w:cs="Times New Roman" w:eastAsia="Times New Roman" w:hAnsi="Times New Roman"/>
          <w:sz w:val="14"/>
          <w:szCs w:val="14"/>
          <w:b w:val="1"/>
          <w:bCs w:val="1"/>
          <w:color w:val="auto"/>
        </w:rPr>
        <w:t>FOR SECURITIES ACT LIABILITIES</w:t>
      </w:r>
    </w:p>
    <w:p>
      <w:pPr>
        <w:spacing w:after="0" w:line="74" w:lineRule="exact"/>
        <w:rPr>
          <w:sz w:val="20"/>
          <w:szCs w:val="20"/>
          <w:color w:val="auto"/>
        </w:rPr>
      </w:pPr>
    </w:p>
    <w:p>
      <w:pPr>
        <w:jc w:val="both"/>
        <w:ind w:right="2939" w:firstLine="274"/>
        <w:spacing w:after="0" w:line="271" w:lineRule="auto"/>
        <w:rPr>
          <w:sz w:val="20"/>
          <w:szCs w:val="20"/>
          <w:color w:val="auto"/>
        </w:rPr>
      </w:pPr>
      <w:r>
        <w:rPr>
          <w:rFonts w:ascii="Times New Roman" w:cs="Times New Roman" w:eastAsia="Times New Roman" w:hAnsi="Times New Roman"/>
          <w:sz w:val="13"/>
          <w:szCs w:val="13"/>
          <w:color w:val="auto"/>
        </w:rPr>
        <w:t>Pursuant to applicable provisions of BLIC’s by-laws or internal corporate policies adopted by BLIC or BHF, the directors, officers and other controlling persons of BLIC and of BLIC’s affiliate and principal underwriter, Brighthouse Securities, who are made or threatened to be made a party to an action or proceeding, may be eligible to obtain indemnification against judgments, fines, amounts paid in settlement and reasonable expenses, including attorneys’ fees, incurred as a result of such action or proceeding. Under the principal underwriting agreement between BLIC and Brighthouse Securities, the parties have agreed to indemnify each other against certain liabilities and expenses from legal proceedings arising out of Brighthouse Securities’ distribution of the Policies.</w:t>
      </w:r>
    </w:p>
    <w:p>
      <w:pPr>
        <w:spacing w:after="0" w:line="53" w:lineRule="exact"/>
        <w:rPr>
          <w:sz w:val="20"/>
          <w:szCs w:val="20"/>
          <w:color w:val="auto"/>
        </w:rPr>
      </w:pPr>
    </w:p>
    <w:p>
      <w:pPr>
        <w:jc w:val="both"/>
        <w:ind w:right="2939" w:firstLine="274"/>
        <w:spacing w:after="0" w:line="252" w:lineRule="auto"/>
        <w:rPr>
          <w:sz w:val="20"/>
          <w:szCs w:val="20"/>
          <w:color w:val="auto"/>
        </w:rPr>
      </w:pPr>
      <w:r>
        <w:rPr>
          <w:rFonts w:ascii="Times New Roman" w:cs="Times New Roman" w:eastAsia="Times New Roman" w:hAnsi="Times New Roman"/>
          <w:sz w:val="14"/>
          <w:szCs w:val="14"/>
          <w:color w:val="auto"/>
        </w:rPr>
        <w:t>Insofar as indemnification for liabilities arising under the Securities Act of 1933 may be permitted to directors, officers or persons controlling BLIC pursuant to the foregoing provisions, BLIC has been informed that in the opinion of the Securities and Exchange Commission such indemnification is against public policy as expressed in the Securities Act of 1933 and is therefore unenforceable.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4"/>
          <w:szCs w:val="14"/>
          <w:color w:val="auto"/>
        </w:rPr>
        <w:t>75</w:t>
      </w:r>
    </w:p>
    <w:p>
      <w:pPr>
        <w:sectPr>
          <w:pgSz w:w="11900" w:h="16838" w:orient="portrait"/>
          <w:cols w:equalWidth="0" w:num="1">
            <w:col w:w="9219"/>
          </w:cols>
          <w:pgMar w:left="1240" w:top="1079" w:right="1440" w:bottom="1440" w:gutter="0" w:footer="0" w:header="0"/>
        </w:sectPr>
      </w:pPr>
    </w:p>
    <w:bookmarkStart w:id="78" w:name="page79"/>
    <w:bookmarkEnd w:id="7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179070</wp:posOffset>
            </wp:positionH>
            <wp:positionV relativeFrom="page">
              <wp:posOffset>422275</wp:posOffset>
            </wp:positionV>
            <wp:extent cx="7190105"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640" w:type="dxa"/>
            <w:vAlign w:val="bottom"/>
            <w:vMerge w:val="restart"/>
          </w:tcPr>
          <w:p>
            <w:pPr>
              <w:ind w:left="840"/>
              <w:spacing w:after="0"/>
              <w:rPr>
                <w:sz w:val="20"/>
                <w:szCs w:val="20"/>
                <w:color w:val="auto"/>
              </w:rPr>
            </w:pPr>
            <w:r>
              <w:rPr>
                <w:rFonts w:ascii="Times New Roman" w:cs="Times New Roman" w:eastAsia="Times New Roman" w:hAnsi="Times New Roman"/>
                <w:sz w:val="14"/>
                <w:szCs w:val="14"/>
                <w:color w:val="auto"/>
                <w:w w:val="96"/>
              </w:rPr>
              <w:t>(THIS PAGE INTENTIONALLY LEFT BLANK.)</w:t>
            </w:r>
          </w:p>
        </w:tc>
        <w:tc>
          <w:tcPr>
            <w:tcW w:w="0" w:type="dxa"/>
            <w:vAlign w:val="bottom"/>
          </w:tcPr>
          <w:p>
            <w:pPr>
              <w:spacing w:after="0"/>
              <w:rPr>
                <w:sz w:val="1"/>
                <w:szCs w:val="1"/>
                <w:color w:val="auto"/>
              </w:rPr>
            </w:pPr>
          </w:p>
        </w:tc>
      </w:tr>
      <w:tr>
        <w:trPr>
          <w:trHeight w:val="68"/>
        </w:trPr>
        <w:tc>
          <w:tcPr>
            <w:tcW w:w="900" w:type="dxa"/>
            <w:vAlign w:val="bottom"/>
          </w:tcPr>
          <w:p>
            <w:pPr>
              <w:spacing w:after="0"/>
              <w:rPr>
                <w:sz w:val="5"/>
                <w:szCs w:val="5"/>
                <w:color w:val="auto"/>
              </w:rPr>
            </w:pPr>
          </w:p>
        </w:tc>
        <w:tc>
          <w:tcPr>
            <w:tcW w:w="36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9219"/>
          </w:cols>
          <w:pgMar w:left="1240" w:top="1440" w:right="1440" w:bottom="1440" w:gutter="0" w:footer="0" w:header="0"/>
        </w:sectPr>
      </w:pPr>
    </w:p>
    <w:bookmarkStart w:id="79" w:name="page80"/>
    <w:bookmarkEnd w:id="79"/>
    <w:p>
      <w:pPr>
        <w:jc w:val="center"/>
        <w:ind w:right="293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422275</wp:posOffset>
            </wp:positionV>
            <wp:extent cx="7190105"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7190105" cy="38735"/>
                    </a:xfrm>
                    <a:prstGeom prst="rect">
                      <a:avLst/>
                    </a:prstGeom>
                    <a:noFill/>
                  </pic:spPr>
                </pic:pic>
              </a:graphicData>
            </a:graphic>
          </wp:anchor>
        </w:drawing>
        <w:t>APPENDIX A</w:t>
      </w:r>
    </w:p>
    <w:p>
      <w:pPr>
        <w:spacing w:after="0" w:line="96" w:lineRule="exact"/>
        <w:rPr>
          <w:sz w:val="20"/>
          <w:szCs w:val="20"/>
          <w:color w:val="auto"/>
        </w:rPr>
      </w:pPr>
    </w:p>
    <w:p>
      <w:pPr>
        <w:jc w:val="center"/>
        <w:ind w:right="2939"/>
        <w:spacing w:after="0"/>
        <w:rPr>
          <w:sz w:val="20"/>
          <w:szCs w:val="20"/>
          <w:color w:val="auto"/>
        </w:rPr>
      </w:pPr>
      <w:r>
        <w:rPr>
          <w:rFonts w:ascii="Times New Roman" w:cs="Times New Roman" w:eastAsia="Times New Roman" w:hAnsi="Times New Roman"/>
          <w:sz w:val="14"/>
          <w:szCs w:val="14"/>
          <w:b w:val="1"/>
          <w:bCs w:val="1"/>
          <w:color w:val="auto"/>
        </w:rPr>
        <w:t>INDEX PUBLISHERS</w:t>
      </w:r>
    </w:p>
    <w:p>
      <w:pPr>
        <w:spacing w:after="0" w:line="90" w:lineRule="exact"/>
        <w:rPr>
          <w:sz w:val="20"/>
          <w:szCs w:val="20"/>
          <w:color w:val="auto"/>
        </w:rPr>
      </w:pPr>
    </w:p>
    <w:p>
      <w:pPr>
        <w:jc w:val="both"/>
        <w:ind w:right="2939" w:firstLine="274"/>
        <w:spacing w:after="0" w:line="256" w:lineRule="auto"/>
        <w:rPr>
          <w:sz w:val="20"/>
          <w:szCs w:val="20"/>
          <w:color w:val="auto"/>
        </w:rPr>
      </w:pPr>
      <w:r>
        <w:rPr>
          <w:rFonts w:ascii="Times New Roman" w:cs="Times New Roman" w:eastAsia="Times New Roman" w:hAnsi="Times New Roman"/>
          <w:sz w:val="14"/>
          <w:szCs w:val="14"/>
          <w:color w:val="auto"/>
        </w:rPr>
        <w:t>BLIC uses the Indices under license from the Indices’ respective publishers. The following information about the Indices is included in this prospectus in accordance with BLIC’s license agreements with the publishers of the Indices:</w:t>
      </w:r>
    </w:p>
    <w:p>
      <w:pPr>
        <w:spacing w:after="0" w:line="7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S&amp;P Opco, LLC requires that the following disclaimer be included in this prospectus:</w:t>
      </w:r>
    </w:p>
    <w:p>
      <w:pPr>
        <w:spacing w:after="0" w:line="81" w:lineRule="exact"/>
        <w:rPr>
          <w:sz w:val="20"/>
          <w:szCs w:val="20"/>
          <w:color w:val="auto"/>
        </w:rPr>
      </w:pPr>
    </w:p>
    <w:p>
      <w:pPr>
        <w:jc w:val="both"/>
        <w:ind w:right="2939" w:firstLine="274"/>
        <w:spacing w:after="0" w:line="247" w:lineRule="auto"/>
        <w:rPr>
          <w:sz w:val="20"/>
          <w:szCs w:val="20"/>
          <w:color w:val="auto"/>
        </w:rPr>
      </w:pPr>
      <w:r>
        <w:rPr>
          <w:rFonts w:ascii="Times New Roman" w:cs="Times New Roman" w:eastAsia="Times New Roman" w:hAnsi="Times New Roman"/>
          <w:sz w:val="13"/>
          <w:szCs w:val="13"/>
          <w:color w:val="auto"/>
        </w:rPr>
        <w:t>The S&amp;P 500</w:t>
      </w:r>
      <w:r>
        <w:rPr>
          <w:rFonts w:ascii="Times New Roman" w:cs="Times New Roman" w:eastAsia="Times New Roman" w:hAnsi="Times New Roman"/>
          <w:sz w:val="16"/>
          <w:szCs w:val="16"/>
          <w:color w:val="auto"/>
          <w:vertAlign w:val="superscript"/>
        </w:rPr>
        <w:t>®</w:t>
      </w:r>
      <w:r>
        <w:rPr>
          <w:rFonts w:ascii="Times New Roman" w:cs="Times New Roman" w:eastAsia="Times New Roman" w:hAnsi="Times New Roman"/>
          <w:sz w:val="13"/>
          <w:szCs w:val="13"/>
          <w:color w:val="auto"/>
        </w:rPr>
        <w:t xml:space="preserve"> is a product of S&amp;P Dow Jones Indices LLC or its affiliates (“SPDJI”) and has been licensed for use by affiliates of Brighthouse Financial, Inc., including Brighthouse Services, LLC and Brighthouse Life Insurance Company (collectively, “Brighthouse Financial”). S&amp;P</w:t>
      </w:r>
      <w:r>
        <w:rPr>
          <w:rFonts w:ascii="Times New Roman" w:cs="Times New Roman" w:eastAsia="Times New Roman" w:hAnsi="Times New Roman"/>
          <w:sz w:val="16"/>
          <w:szCs w:val="16"/>
          <w:color w:val="auto"/>
          <w:vertAlign w:val="superscript"/>
        </w:rPr>
        <w:t>®</w:t>
      </w:r>
      <w:r>
        <w:rPr>
          <w:rFonts w:ascii="Times New Roman" w:cs="Times New Roman" w:eastAsia="Times New Roman" w:hAnsi="Times New Roman"/>
          <w:sz w:val="13"/>
          <w:szCs w:val="13"/>
          <w:color w:val="auto"/>
        </w:rPr>
        <w:t>, S&amp;P 500</w:t>
      </w:r>
      <w:r>
        <w:rPr>
          <w:rFonts w:ascii="Times New Roman" w:cs="Times New Roman" w:eastAsia="Times New Roman" w:hAnsi="Times New Roman"/>
          <w:sz w:val="16"/>
          <w:szCs w:val="16"/>
          <w:color w:val="auto"/>
          <w:vertAlign w:val="superscript"/>
        </w:rPr>
        <w:t>®</w:t>
      </w:r>
      <w:r>
        <w:rPr>
          <w:rFonts w:ascii="Times New Roman" w:cs="Times New Roman" w:eastAsia="Times New Roman" w:hAnsi="Times New Roman"/>
          <w:sz w:val="13"/>
          <w:szCs w:val="13"/>
          <w:color w:val="auto"/>
        </w:rPr>
        <w:t>, US 500, The 500</w:t>
      </w:r>
      <w:r>
        <w:rPr>
          <w:rFonts w:ascii="Times New Roman" w:cs="Times New Roman" w:eastAsia="Times New Roman" w:hAnsi="Times New Roman"/>
          <w:sz w:val="16"/>
          <w:szCs w:val="16"/>
          <w:color w:val="auto"/>
          <w:vertAlign w:val="superscript"/>
        </w:rPr>
        <w:t>®</w:t>
      </w:r>
      <w:r>
        <w:rPr>
          <w:rFonts w:ascii="Times New Roman" w:cs="Times New Roman" w:eastAsia="Times New Roman" w:hAnsi="Times New Roman"/>
          <w:sz w:val="13"/>
          <w:szCs w:val="13"/>
          <w:color w:val="auto"/>
        </w:rPr>
        <w:t>, iBoxx</w:t>
      </w:r>
      <w:r>
        <w:rPr>
          <w:rFonts w:ascii="Times New Roman" w:cs="Times New Roman" w:eastAsia="Times New Roman" w:hAnsi="Times New Roman"/>
          <w:sz w:val="16"/>
          <w:szCs w:val="16"/>
          <w:color w:val="auto"/>
          <w:vertAlign w:val="superscript"/>
        </w:rPr>
        <w:t>®</w:t>
      </w:r>
      <w:r>
        <w:rPr>
          <w:rFonts w:ascii="Times New Roman" w:cs="Times New Roman" w:eastAsia="Times New Roman" w:hAnsi="Times New Roman"/>
          <w:sz w:val="13"/>
          <w:szCs w:val="13"/>
          <w:color w:val="auto"/>
        </w:rPr>
        <w:t>, iTraxx</w:t>
      </w:r>
      <w:r>
        <w:rPr>
          <w:rFonts w:ascii="Times New Roman" w:cs="Times New Roman" w:eastAsia="Times New Roman" w:hAnsi="Times New Roman"/>
          <w:sz w:val="16"/>
          <w:szCs w:val="16"/>
          <w:color w:val="auto"/>
          <w:vertAlign w:val="superscript"/>
        </w:rPr>
        <w:t>®</w:t>
      </w:r>
      <w:r>
        <w:rPr>
          <w:rFonts w:ascii="Times New Roman" w:cs="Times New Roman" w:eastAsia="Times New Roman" w:hAnsi="Times New Roman"/>
          <w:sz w:val="13"/>
          <w:szCs w:val="13"/>
          <w:color w:val="auto"/>
        </w:rPr>
        <w:t xml:space="preserve"> and CDX</w:t>
      </w:r>
      <w:r>
        <w:rPr>
          <w:rFonts w:ascii="Times New Roman" w:cs="Times New Roman" w:eastAsia="Times New Roman" w:hAnsi="Times New Roman"/>
          <w:sz w:val="16"/>
          <w:szCs w:val="16"/>
          <w:color w:val="auto"/>
          <w:vertAlign w:val="superscript"/>
        </w:rPr>
        <w:t>®</w:t>
      </w:r>
      <w:r>
        <w:rPr>
          <w:rFonts w:ascii="Times New Roman" w:cs="Times New Roman" w:eastAsia="Times New Roman" w:hAnsi="Times New Roman"/>
          <w:sz w:val="13"/>
          <w:szCs w:val="13"/>
          <w:color w:val="auto"/>
        </w:rPr>
        <w:t xml:space="preserve"> are trademarks of S&amp;P Global, Inc. or its affiliates (“S&amp;P”); Dow Jones</w:t>
      </w:r>
      <w:r>
        <w:rPr>
          <w:rFonts w:ascii="Times New Roman" w:cs="Times New Roman" w:eastAsia="Times New Roman" w:hAnsi="Times New Roman"/>
          <w:sz w:val="16"/>
          <w:szCs w:val="16"/>
          <w:color w:val="auto"/>
          <w:vertAlign w:val="superscript"/>
        </w:rPr>
        <w:t>®</w:t>
      </w:r>
      <w:r>
        <w:rPr>
          <w:rFonts w:ascii="Times New Roman" w:cs="Times New Roman" w:eastAsia="Times New Roman" w:hAnsi="Times New Roman"/>
          <w:sz w:val="13"/>
          <w:szCs w:val="13"/>
          <w:color w:val="auto"/>
        </w:rPr>
        <w:t xml:space="preserve"> is a registered trademark of Dow Jones Trademark Holdings LLC (“Dow Jones”); and these trademarks have been licensed for use by SPDJI and sublicensed for certain purposes by Brighthouse Financial. It is not possible to invest directly in an index. Brighthouse SmartGuard Plus</w:t>
      </w:r>
      <w:r>
        <w:rPr>
          <w:rFonts w:ascii="Times New Roman" w:cs="Times New Roman" w:eastAsia="Times New Roman" w:hAnsi="Times New Roman"/>
          <w:sz w:val="16"/>
          <w:szCs w:val="16"/>
          <w:color w:val="auto"/>
          <w:vertAlign w:val="superscript"/>
        </w:rPr>
        <w:t>SM</w:t>
      </w:r>
      <w:r>
        <w:rPr>
          <w:rFonts w:ascii="Times New Roman" w:cs="Times New Roman" w:eastAsia="Times New Roman" w:hAnsi="Times New Roman"/>
          <w:sz w:val="13"/>
          <w:szCs w:val="13"/>
          <w:color w:val="auto"/>
        </w:rPr>
        <w:t xml:space="preserve"> is not sponsored, endorsed, sold or promoted by SPDJI, Dow Jones, S&amp;P, any of their respective affiliates (collectively, “S&amp;P Dow Jones Indices”). S&amp;P Dow Jones Indices makes no representation or warranty, express or implied, to the owners of Brighthouse SmartGuard Plus</w:t>
      </w:r>
      <w:r>
        <w:rPr>
          <w:rFonts w:ascii="Times New Roman" w:cs="Times New Roman" w:eastAsia="Times New Roman" w:hAnsi="Times New Roman"/>
          <w:sz w:val="16"/>
          <w:szCs w:val="16"/>
          <w:color w:val="auto"/>
          <w:vertAlign w:val="superscript"/>
        </w:rPr>
        <w:t>SM</w:t>
      </w:r>
      <w:r>
        <w:rPr>
          <w:rFonts w:ascii="Times New Roman" w:cs="Times New Roman" w:eastAsia="Times New Roman" w:hAnsi="Times New Roman"/>
          <w:sz w:val="13"/>
          <w:szCs w:val="13"/>
          <w:color w:val="auto"/>
        </w:rPr>
        <w:t xml:space="preserve"> or any member of the public regarding the advisability of investing in securities generally or in Brighthouse SmartGuard Plus</w:t>
      </w:r>
      <w:r>
        <w:rPr>
          <w:rFonts w:ascii="Times New Roman" w:cs="Times New Roman" w:eastAsia="Times New Roman" w:hAnsi="Times New Roman"/>
          <w:sz w:val="16"/>
          <w:szCs w:val="16"/>
          <w:color w:val="auto"/>
          <w:vertAlign w:val="superscript"/>
        </w:rPr>
        <w:t>SM</w:t>
      </w:r>
      <w:r>
        <w:rPr>
          <w:rFonts w:ascii="Times New Roman" w:cs="Times New Roman" w:eastAsia="Times New Roman" w:hAnsi="Times New Roman"/>
          <w:sz w:val="13"/>
          <w:szCs w:val="13"/>
          <w:color w:val="auto"/>
        </w:rPr>
        <w:t xml:space="preserve"> particularly or the ability of the S&amp;P 500</w:t>
      </w:r>
      <w:r>
        <w:rPr>
          <w:rFonts w:ascii="Times New Roman" w:cs="Times New Roman" w:eastAsia="Times New Roman" w:hAnsi="Times New Roman"/>
          <w:sz w:val="16"/>
          <w:szCs w:val="16"/>
          <w:color w:val="auto"/>
          <w:vertAlign w:val="superscript"/>
        </w:rPr>
        <w:t>®</w:t>
      </w:r>
      <w:r>
        <w:rPr>
          <w:rFonts w:ascii="Times New Roman" w:cs="Times New Roman" w:eastAsia="Times New Roman" w:hAnsi="Times New Roman"/>
          <w:sz w:val="13"/>
          <w:szCs w:val="13"/>
          <w:color w:val="auto"/>
        </w:rPr>
        <w:t xml:space="preserve"> to track general market performance. Past performance of an index is not an indication or guarantee of future results. S&amp;P Dow Jones Indices’ only relationship to Brighthouse Financial with respect to the S&amp;P 500</w:t>
      </w:r>
      <w:r>
        <w:rPr>
          <w:rFonts w:ascii="Times New Roman" w:cs="Times New Roman" w:eastAsia="Times New Roman" w:hAnsi="Times New Roman"/>
          <w:sz w:val="16"/>
          <w:szCs w:val="16"/>
          <w:color w:val="auto"/>
          <w:vertAlign w:val="superscript"/>
        </w:rPr>
        <w:t>®</w:t>
      </w:r>
      <w:r>
        <w:rPr>
          <w:rFonts w:ascii="Times New Roman" w:cs="Times New Roman" w:eastAsia="Times New Roman" w:hAnsi="Times New Roman"/>
          <w:sz w:val="13"/>
          <w:szCs w:val="13"/>
          <w:color w:val="auto"/>
        </w:rPr>
        <w:t xml:space="preserve"> is the licensing of the Index and certain trademarks, service marks and/or trade names of S&amp;P Dow Jones Indices and/or its licensors. The 500</w:t>
      </w:r>
      <w:r>
        <w:rPr>
          <w:rFonts w:ascii="Times New Roman" w:cs="Times New Roman" w:eastAsia="Times New Roman" w:hAnsi="Times New Roman"/>
          <w:sz w:val="16"/>
          <w:szCs w:val="16"/>
          <w:color w:val="auto"/>
          <w:vertAlign w:val="superscript"/>
        </w:rPr>
        <w:t>®</w:t>
      </w:r>
      <w:r>
        <w:rPr>
          <w:rFonts w:ascii="Times New Roman" w:cs="Times New Roman" w:eastAsia="Times New Roman" w:hAnsi="Times New Roman"/>
          <w:sz w:val="13"/>
          <w:szCs w:val="13"/>
          <w:color w:val="auto"/>
        </w:rPr>
        <w:t xml:space="preserve"> is determined, composed and calculated by S&amp;P Dow Jones Indices without regard to Brighthouse Financial or Brighthouse SmartGuard Plus</w:t>
      </w:r>
      <w:r>
        <w:rPr>
          <w:rFonts w:ascii="Times New Roman" w:cs="Times New Roman" w:eastAsia="Times New Roman" w:hAnsi="Times New Roman"/>
          <w:sz w:val="16"/>
          <w:szCs w:val="16"/>
          <w:color w:val="auto"/>
          <w:vertAlign w:val="superscript"/>
        </w:rPr>
        <w:t>SM</w:t>
      </w:r>
      <w:r>
        <w:rPr>
          <w:rFonts w:ascii="Times New Roman" w:cs="Times New Roman" w:eastAsia="Times New Roman" w:hAnsi="Times New Roman"/>
          <w:sz w:val="13"/>
          <w:szCs w:val="13"/>
          <w:color w:val="auto"/>
        </w:rPr>
        <w:t>. S&amp;P Dow Jones Indices has no obligation to take the needs of Brighthouse Financial or the owners of Brighthouse SmartGuard Plus</w:t>
      </w:r>
      <w:r>
        <w:rPr>
          <w:rFonts w:ascii="Times New Roman" w:cs="Times New Roman" w:eastAsia="Times New Roman" w:hAnsi="Times New Roman"/>
          <w:sz w:val="16"/>
          <w:szCs w:val="16"/>
          <w:color w:val="auto"/>
          <w:vertAlign w:val="superscript"/>
        </w:rPr>
        <w:t>SM</w:t>
      </w:r>
      <w:r>
        <w:rPr>
          <w:rFonts w:ascii="Times New Roman" w:cs="Times New Roman" w:eastAsia="Times New Roman" w:hAnsi="Times New Roman"/>
          <w:sz w:val="13"/>
          <w:szCs w:val="13"/>
          <w:color w:val="auto"/>
        </w:rPr>
        <w:t xml:space="preserve"> into consideration in determining, composing or calculating the 500</w:t>
      </w:r>
      <w:r>
        <w:rPr>
          <w:rFonts w:ascii="Times New Roman" w:cs="Times New Roman" w:eastAsia="Times New Roman" w:hAnsi="Times New Roman"/>
          <w:sz w:val="16"/>
          <w:szCs w:val="16"/>
          <w:color w:val="auto"/>
          <w:vertAlign w:val="superscript"/>
        </w:rPr>
        <w:t>®</w:t>
      </w:r>
      <w:r>
        <w:rPr>
          <w:rFonts w:ascii="Times New Roman" w:cs="Times New Roman" w:eastAsia="Times New Roman" w:hAnsi="Times New Roman"/>
          <w:sz w:val="13"/>
          <w:szCs w:val="13"/>
          <w:color w:val="auto"/>
        </w:rPr>
        <w:t>. S&amp;P Dow Jones Indices has no obligation or liability in connection with the administration, marketing or trading of Brighthouse SmartGuard Plus</w:t>
      </w:r>
      <w:r>
        <w:rPr>
          <w:rFonts w:ascii="Times New Roman" w:cs="Times New Roman" w:eastAsia="Times New Roman" w:hAnsi="Times New Roman"/>
          <w:sz w:val="16"/>
          <w:szCs w:val="16"/>
          <w:color w:val="auto"/>
          <w:vertAlign w:val="superscript"/>
        </w:rPr>
        <w:t>SM</w:t>
      </w:r>
      <w:r>
        <w:rPr>
          <w:rFonts w:ascii="Times New Roman" w:cs="Times New Roman" w:eastAsia="Times New Roman" w:hAnsi="Times New Roman"/>
          <w:sz w:val="13"/>
          <w:szCs w:val="13"/>
          <w:color w:val="auto"/>
        </w:rPr>
        <w:t>. There is no assurance that investment products based on the S&amp;P 500</w:t>
      </w:r>
      <w:r>
        <w:rPr>
          <w:rFonts w:ascii="Times New Roman" w:cs="Times New Roman" w:eastAsia="Times New Roman" w:hAnsi="Times New Roman"/>
          <w:sz w:val="16"/>
          <w:szCs w:val="16"/>
          <w:color w:val="auto"/>
          <w:vertAlign w:val="superscript"/>
        </w:rPr>
        <w:t>®</w:t>
      </w:r>
      <w:r>
        <w:rPr>
          <w:rFonts w:ascii="Times New Roman" w:cs="Times New Roman" w:eastAsia="Times New Roman" w:hAnsi="Times New Roman"/>
          <w:sz w:val="13"/>
          <w:szCs w:val="13"/>
          <w:color w:val="auto"/>
        </w:rPr>
        <w:t xml:space="preserve"> will accurately track index performance or provide positive investment returns. S&amp;P Dow Jones Indices LLC is not an investment adviser, commodity trading advisory, commodity pool operator, broker dealer, fiduciary, promoter” (as defined in the Investment Company Act of 1940, as amended), “expert” as enumerated within 15 U.S.C. § 77k(a) or tax advisor. Inclusion of a security, commodity, crypto currency or other asset within an index is not a recommendation by S&amp;P Dow Jones Indices to buy, sell, or hold such security, commodity, crypto currency or other asset, nor is it considered to be investment advice or commodity trading advice.</w:t>
      </w:r>
    </w:p>
    <w:p>
      <w:pPr>
        <w:spacing w:after="0" w:line="252" w:lineRule="exact"/>
        <w:rPr>
          <w:sz w:val="20"/>
          <w:szCs w:val="20"/>
          <w:color w:val="auto"/>
        </w:rPr>
      </w:pPr>
    </w:p>
    <w:p>
      <w:pPr>
        <w:jc w:val="both"/>
        <w:ind w:right="2939" w:firstLine="274"/>
        <w:spacing w:after="0" w:line="257" w:lineRule="auto"/>
        <w:rPr>
          <w:sz w:val="20"/>
          <w:szCs w:val="20"/>
          <w:color w:val="auto"/>
        </w:rPr>
      </w:pPr>
      <w:r>
        <w:rPr>
          <w:rFonts w:ascii="Times New Roman" w:cs="Times New Roman" w:eastAsia="Times New Roman" w:hAnsi="Times New Roman"/>
          <w:sz w:val="13"/>
          <w:szCs w:val="13"/>
          <w:color w:val="auto"/>
        </w:rPr>
        <w:t>NEITHER S&amp;P DOW JONES INDICES NOR THIRD PARTY LICENSOR GUARANTEES THE ADEQUACY, ACCURACY, TIMELINESS AND/OR THE COMPLETENESS OF THE S&amp;P 500</w:t>
      </w:r>
      <w:r>
        <w:rPr>
          <w:rFonts w:ascii="Times New Roman" w:cs="Times New Roman" w:eastAsia="Times New Roman" w:hAnsi="Times New Roman"/>
          <w:sz w:val="16"/>
          <w:szCs w:val="16"/>
          <w:color w:val="auto"/>
          <w:vertAlign w:val="superscript"/>
        </w:rPr>
        <w:t>®</w:t>
      </w:r>
      <w:r>
        <w:rPr>
          <w:rFonts w:ascii="Times New Roman" w:cs="Times New Roman" w:eastAsia="Times New Roman" w:hAnsi="Times New Roman"/>
          <w:sz w:val="13"/>
          <w:szCs w:val="13"/>
          <w:color w:val="auto"/>
        </w:rPr>
        <w:t xml:space="preserve"> INDEX OR ANY DATA RELATED THERETO OR ANY COMMUNICATION, INCLUDING BUT NOT LIMITED TO, ORAL OR WRITTEN COMMUNICATION (INCLUDING ELECTRONIC COMMUNICATIONS) WITH RESPECT THERETO. S&amp;P DOW JONES INDICES SHALL NOT BE SUBJECT TO ANY DAMAGES OR LIABILITY FOR ANY ERRORS, OMISSIONS, OR DELAYS THEREIN. S&amp;P DOW JONES INDICES MAKES NO EXPRESS OR IMPLIED WARRANTIES, AND EXPRESSLY DISCLAIMS ALL WARRANTIES, OF MERCHANTABILITY OR FITNESS FOR A PARTICULAR PURPOSE OR USE OR AS TO RESULTS TO BE OBTAINED BY BRIGHTHOUSE FINANCIAL, OWNERS OF BRIGHTHOUSE SMARTGUARD PLUS</w:t>
      </w:r>
      <w:r>
        <w:rPr>
          <w:rFonts w:ascii="Times New Roman" w:cs="Times New Roman" w:eastAsia="Times New Roman" w:hAnsi="Times New Roman"/>
          <w:sz w:val="16"/>
          <w:szCs w:val="16"/>
          <w:color w:val="auto"/>
          <w:vertAlign w:val="superscript"/>
        </w:rPr>
        <w:t>SM</w:t>
      </w:r>
      <w:r>
        <w:rPr>
          <w:rFonts w:ascii="Times New Roman" w:cs="Times New Roman" w:eastAsia="Times New Roman" w:hAnsi="Times New Roman"/>
          <w:sz w:val="13"/>
          <w:szCs w:val="13"/>
          <w:color w:val="auto"/>
        </w:rPr>
        <w:t>, OR ANY OTHER PERSON OR ENTITY FROM THE USE OF THE S&amp;P 500</w:t>
      </w:r>
      <w:r>
        <w:rPr>
          <w:rFonts w:ascii="Times New Roman" w:cs="Times New Roman" w:eastAsia="Times New Roman" w:hAnsi="Times New Roman"/>
          <w:sz w:val="16"/>
          <w:szCs w:val="16"/>
          <w:color w:val="auto"/>
          <w:vertAlign w:val="superscript"/>
        </w:rPr>
        <w:t>®</w:t>
      </w:r>
      <w:r>
        <w:rPr>
          <w:rFonts w:ascii="Times New Roman" w:cs="Times New Roman" w:eastAsia="Times New Roman" w:hAnsi="Times New Roman"/>
          <w:sz w:val="13"/>
          <w:szCs w:val="13"/>
          <w:color w:val="auto"/>
        </w:rPr>
        <w:t xml:space="preserve"> INDEX OR WITH RESPECT TO ANY DATA RELATED THERETO. WITHOUT LIMITING ANY OF THE FOREGOING, IN NO EVENT WHATSOEVER SHALL S&amp;P DOW JONES INDICES BE LIABLE FOR ANY INDIRECT, SPECIAL, INCIDENTAL, PUNITIVE, OR CONSEQUENTIAL DAMAGES INCLUDING BUT NOT LIMITED TO, LOSS OF PROFITS, TRADING LOSSES, LOST TIME OR GOODWILL, EVEN IF THEY HAVE BEEN ADVISED OF THE POSSIBILITY OF SUCH DAMAGES, WHETHER IN CONTRACT, TORT, STRICT LIABILITY, OR OTHERWISE. S&amp;P DOW JONES INDICES HAS NOT REVIEWED, PREPARED AND/OR CERTIFIED ANY PORTION OF, NOR DOES S&amp;P DOW JONES INDICES HAVE ANY CONTROL OVER, THE LICENSEE BRIGHTHOUSE SMARTGUARD PLUS</w:t>
      </w:r>
      <w:r>
        <w:rPr>
          <w:rFonts w:ascii="Times New Roman" w:cs="Times New Roman" w:eastAsia="Times New Roman" w:hAnsi="Times New Roman"/>
          <w:sz w:val="16"/>
          <w:szCs w:val="16"/>
          <w:color w:val="auto"/>
          <w:vertAlign w:val="superscript"/>
        </w:rPr>
        <w:t>SM</w:t>
      </w:r>
      <w:r>
        <w:rPr>
          <w:rFonts w:ascii="Times New Roman" w:cs="Times New Roman" w:eastAsia="Times New Roman" w:hAnsi="Times New Roman"/>
          <w:sz w:val="13"/>
          <w:szCs w:val="13"/>
          <w:color w:val="auto"/>
        </w:rPr>
        <w:t xml:space="preserve"> REGISTRATION STATEMENT, PROSPECTUS OR OTHER OFFERING MATERIALS. THERE ARE NO THIRD-PARTY BENEFICIARIES OF ANY AGREEMENTS OR ARRANGEMENTS BETWEEN S&amp;P DOW JONES INDICES AND BRIGHTHOUSE FINANCIAL, OTHER THAN THE LICENSORS OF S&amp;P DOW JONES INDICES.</w:t>
      </w:r>
    </w:p>
    <w:p>
      <w:pPr>
        <w:spacing w:after="0" w:line="7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Frank Russell Company requires that the following disclaimer be included in this prospectus:</w:t>
      </w:r>
    </w:p>
    <w:p>
      <w:pPr>
        <w:spacing w:after="0" w:line="71" w:lineRule="exact"/>
        <w:rPr>
          <w:sz w:val="20"/>
          <w:szCs w:val="20"/>
          <w:color w:val="auto"/>
        </w:rPr>
      </w:pPr>
    </w:p>
    <w:p>
      <w:pPr>
        <w:jc w:val="both"/>
        <w:ind w:right="2939" w:firstLine="274"/>
        <w:spacing w:after="0" w:line="233" w:lineRule="auto"/>
        <w:rPr>
          <w:sz w:val="20"/>
          <w:szCs w:val="20"/>
          <w:color w:val="auto"/>
        </w:rPr>
      </w:pPr>
      <w:r>
        <w:rPr>
          <w:rFonts w:ascii="Times New Roman" w:cs="Times New Roman" w:eastAsia="Times New Roman" w:hAnsi="Times New Roman"/>
          <w:sz w:val="14"/>
          <w:szCs w:val="14"/>
          <w:color w:val="auto"/>
        </w:rPr>
        <w:t>Brighthouse SmartGuard Plus</w:t>
      </w:r>
      <w:r>
        <w:rPr>
          <w:rFonts w:ascii="Times New Roman" w:cs="Times New Roman" w:eastAsia="Times New Roman" w:hAnsi="Times New Roman"/>
          <w:sz w:val="17"/>
          <w:szCs w:val="17"/>
          <w:color w:val="auto"/>
          <w:vertAlign w:val="superscript"/>
        </w:rPr>
        <w:t>SM</w:t>
      </w:r>
      <w:r>
        <w:rPr>
          <w:rFonts w:ascii="Times New Roman" w:cs="Times New Roman" w:eastAsia="Times New Roman" w:hAnsi="Times New Roman"/>
          <w:sz w:val="14"/>
          <w:szCs w:val="14"/>
          <w:color w:val="auto"/>
        </w:rPr>
        <w:t xml:space="preserve"> is not sponsored, endorsed, sold or promoted by Frank Russell Company (“Russell”). Russell makes no representation or warranty, express or implied, to the owners of Brighthouse SmartGuard Plus</w:t>
      </w:r>
      <w:r>
        <w:rPr>
          <w:rFonts w:ascii="Times New Roman" w:cs="Times New Roman" w:eastAsia="Times New Roman" w:hAnsi="Times New Roman"/>
          <w:sz w:val="17"/>
          <w:szCs w:val="17"/>
          <w:color w:val="auto"/>
          <w:vertAlign w:val="superscript"/>
        </w:rPr>
        <w:t>SM</w:t>
      </w:r>
      <w:r>
        <w:rPr>
          <w:rFonts w:ascii="Times New Roman" w:cs="Times New Roman" w:eastAsia="Times New Roman" w:hAnsi="Times New Roman"/>
          <w:sz w:val="14"/>
          <w:szCs w:val="14"/>
          <w:color w:val="auto"/>
        </w:rPr>
        <w:t xml:space="preserve"> or any member of the public regarding the advisability of investing in securities generally or in Brighthouse SmartGuard Plus</w:t>
      </w:r>
      <w:r>
        <w:rPr>
          <w:rFonts w:ascii="Times New Roman" w:cs="Times New Roman" w:eastAsia="Times New Roman" w:hAnsi="Times New Roman"/>
          <w:sz w:val="17"/>
          <w:szCs w:val="17"/>
          <w:color w:val="auto"/>
          <w:vertAlign w:val="superscript"/>
        </w:rPr>
        <w:t>SM</w:t>
      </w:r>
      <w:r>
        <w:rPr>
          <w:rFonts w:ascii="Times New Roman" w:cs="Times New Roman" w:eastAsia="Times New Roman" w:hAnsi="Times New Roman"/>
          <w:sz w:val="14"/>
          <w:szCs w:val="14"/>
          <w:color w:val="auto"/>
        </w:rPr>
        <w:t xml:space="preserve"> particularly or the ability of the Russell 2000</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4"/>
          <w:szCs w:val="14"/>
          <w:color w:val="auto"/>
        </w:rPr>
        <w:t xml:space="preserve"> Index to track general stock market performance or a segment of the same. Russell’s publication of the Russell 2000</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4"/>
          <w:szCs w:val="14"/>
          <w:color w:val="auto"/>
        </w:rPr>
        <w:t xml:space="preserve"> Index in no way suggests or implies an opinion by Russell as to the advisability of investment in any or all of the securities upon which the Russell 2000® Index is based. Russell’s only relationship to affiliates of Brighthouse Financial, Inc., including Brighthouse Services, LLC and Brighthouse Life Insurance Company (collectively, “Brighthouse Financial”) is the licensing of certain trademarks and trade names of Russell and of the Russell 2000</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4"/>
          <w:szCs w:val="14"/>
          <w:color w:val="auto"/>
        </w:rPr>
        <w:t xml:space="preserve"> Index which is determined, composed and calculated by Russell without regard to Brighthouse Financial or Brighthouse SmartGuard</w:t>
      </w:r>
    </w:p>
    <w:p>
      <w:pPr>
        <w:spacing w:after="0" w:line="196"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4"/>
          <w:szCs w:val="14"/>
          <w:color w:val="auto"/>
        </w:rPr>
        <w:t>A-1</w:t>
      </w:r>
    </w:p>
    <w:p>
      <w:pPr>
        <w:sectPr>
          <w:pgSz w:w="11900" w:h="16838" w:orient="portrait"/>
          <w:cols w:equalWidth="0" w:num="1">
            <w:col w:w="9219"/>
          </w:cols>
          <w:pgMar w:left="1240" w:top="1079" w:right="1440" w:bottom="1440" w:gutter="0" w:footer="0" w:header="0"/>
        </w:sectPr>
      </w:pPr>
    </w:p>
    <w:bookmarkStart w:id="80" w:name="page81"/>
    <w:bookmarkEnd w:id="80"/>
    <w:p>
      <w:pPr>
        <w:jc w:val="both"/>
        <w:ind w:right="2939"/>
        <w:spacing w:after="0" w:line="24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422275</wp:posOffset>
            </wp:positionV>
            <wp:extent cx="7190105"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7190105" cy="38735"/>
                    </a:xfrm>
                    <a:prstGeom prst="rect">
                      <a:avLst/>
                    </a:prstGeom>
                    <a:noFill/>
                  </pic:spPr>
                </pic:pic>
              </a:graphicData>
            </a:graphic>
          </wp:anchor>
        </w:drawing>
        <w:t>Plus</w:t>
      </w:r>
      <w:r>
        <w:rPr>
          <w:rFonts w:ascii="Times New Roman" w:cs="Times New Roman" w:eastAsia="Times New Roman" w:hAnsi="Times New Roman"/>
          <w:sz w:val="17"/>
          <w:szCs w:val="17"/>
          <w:color w:val="auto"/>
          <w:vertAlign w:val="superscript"/>
        </w:rPr>
        <w:t>SM</w:t>
      </w:r>
      <w:r>
        <w:rPr>
          <w:rFonts w:ascii="Times New Roman" w:cs="Times New Roman" w:eastAsia="Times New Roman" w:hAnsi="Times New Roman"/>
          <w:sz w:val="14"/>
          <w:szCs w:val="14"/>
          <w:color w:val="auto"/>
        </w:rPr>
        <w:t>. Russell is not responsible for and has not reviewed Brighthouse SmartGuard Plus</w:t>
      </w:r>
      <w:r>
        <w:rPr>
          <w:rFonts w:ascii="Times New Roman" w:cs="Times New Roman" w:eastAsia="Times New Roman" w:hAnsi="Times New Roman"/>
          <w:sz w:val="17"/>
          <w:szCs w:val="17"/>
          <w:color w:val="auto"/>
          <w:vertAlign w:val="superscript"/>
        </w:rPr>
        <w:t>SM</w:t>
      </w:r>
      <w:r>
        <w:rPr>
          <w:rFonts w:ascii="Times New Roman" w:cs="Times New Roman" w:eastAsia="Times New Roman" w:hAnsi="Times New Roman"/>
          <w:sz w:val="14"/>
          <w:szCs w:val="14"/>
          <w:color w:val="auto"/>
        </w:rPr>
        <w:t xml:space="preserve"> nor any associated literature or publications and Russell makes no representation or warranty express or implied as to their accuracy or completeness, or otherwise. Russell reserves the right, at any time and without notice, to alter, amend, terminate or in any way change the Russell 2000</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4"/>
          <w:szCs w:val="14"/>
          <w:color w:val="auto"/>
        </w:rPr>
        <w:t xml:space="preserve"> Index. Russell has no obligation or liability in connection with the administration, marketing or trading of Brighthouse SmartGuard Plus</w:t>
      </w:r>
      <w:r>
        <w:rPr>
          <w:rFonts w:ascii="Times New Roman" w:cs="Times New Roman" w:eastAsia="Times New Roman" w:hAnsi="Times New Roman"/>
          <w:sz w:val="17"/>
          <w:szCs w:val="17"/>
          <w:color w:val="auto"/>
          <w:vertAlign w:val="superscript"/>
        </w:rPr>
        <w:t>SM</w:t>
      </w:r>
      <w:r>
        <w:rPr>
          <w:rFonts w:ascii="Times New Roman" w:cs="Times New Roman" w:eastAsia="Times New Roman" w:hAnsi="Times New Roman"/>
          <w:sz w:val="14"/>
          <w:szCs w:val="14"/>
          <w:color w:val="auto"/>
        </w:rPr>
        <w:t>.</w:t>
      </w:r>
    </w:p>
    <w:p>
      <w:pPr>
        <w:spacing w:after="0" w:line="39" w:lineRule="exact"/>
        <w:rPr>
          <w:sz w:val="20"/>
          <w:szCs w:val="20"/>
          <w:color w:val="auto"/>
        </w:rPr>
      </w:pPr>
    </w:p>
    <w:p>
      <w:pPr>
        <w:jc w:val="both"/>
        <w:ind w:right="2939" w:firstLine="274"/>
        <w:spacing w:after="0" w:line="235" w:lineRule="auto"/>
        <w:rPr>
          <w:sz w:val="20"/>
          <w:szCs w:val="20"/>
          <w:color w:val="auto"/>
        </w:rPr>
      </w:pPr>
      <w:r>
        <w:rPr>
          <w:rFonts w:ascii="Times New Roman" w:cs="Times New Roman" w:eastAsia="Times New Roman" w:hAnsi="Times New Roman"/>
          <w:sz w:val="14"/>
          <w:szCs w:val="14"/>
          <w:color w:val="auto"/>
        </w:rPr>
        <w:t>RUSSELL DOES NOT GUARANTEE THE ACCURACY AND/OR THE COMPLETENESS OF THE RUSSELL 2000</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4"/>
          <w:szCs w:val="14"/>
          <w:color w:val="auto"/>
        </w:rPr>
        <w:t xml:space="preserve"> INDEX OR ANY DATA INCLUDED THEREIN AND RUSSELL SHALL HAVE NO LIABILITY FOR ANY ERRORS, OMISSIONS, OR INTERRUPTIONS THEREIN. RUSSELL MAKES NO WARRANTY, EXPRESS OR IMPLIED, AS TO RESULTS TO BE OBTAINED BY BRIGHTHOUSE FINANCIAL, INVESTORS, OWNERS OF BRIGHTHOUSE SMARTGUARD PLUS</w:t>
      </w:r>
      <w:r>
        <w:rPr>
          <w:rFonts w:ascii="Times New Roman" w:cs="Times New Roman" w:eastAsia="Times New Roman" w:hAnsi="Times New Roman"/>
          <w:sz w:val="17"/>
          <w:szCs w:val="17"/>
          <w:color w:val="auto"/>
          <w:vertAlign w:val="superscript"/>
        </w:rPr>
        <w:t>SM</w:t>
      </w:r>
      <w:r>
        <w:rPr>
          <w:rFonts w:ascii="Times New Roman" w:cs="Times New Roman" w:eastAsia="Times New Roman" w:hAnsi="Times New Roman"/>
          <w:sz w:val="14"/>
          <w:szCs w:val="14"/>
          <w:color w:val="auto"/>
        </w:rPr>
        <w:t xml:space="preserve"> OR ANY OTHER PERSON OR ENTITY FROM THE USE OF THE RUSSELL 2000</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4"/>
          <w:szCs w:val="14"/>
          <w:color w:val="auto"/>
        </w:rPr>
        <w:t xml:space="preserve"> INDEX OR ANY DATA INCLUDED THEREIN. RUSSELL MAKES NO EXPRESS OR IMPLIED WARRANTIES, AND EXPRESSLY DISCLAIMS ALL WARRANTIES OF MERCHANTABILITY OR FITNESS FOR A PARTICULAR PURPOSE OR USE WITH RESPECT TO THE RUSSELL 2000</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4"/>
          <w:szCs w:val="14"/>
          <w:color w:val="auto"/>
        </w:rPr>
        <w:t xml:space="preserve"> INDEX OR ANY DATA INCLUDED THEREIN. WITHOUT LIMITING ANY OF THE FOREGOING, IN NO EVENT SHALL RUSSELL HAVE ANY LIABILITY FOR ANY SPECIAL, PUNITIVE, INDIRECT, OR CONSEQUENTIAL DAMAGES (INCLUDING LOST PROFITS), EVEN IF NOTIFIED OF THE POSSIBILITY OF SUCH DAMAGES.</w:t>
      </w:r>
    </w:p>
    <w:p>
      <w:pPr>
        <w:spacing w:after="0" w:line="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MSCI Inc. requires that the following disclaimer be included in this prospectus:</w:t>
      </w:r>
    </w:p>
    <w:p>
      <w:pPr>
        <w:spacing w:after="0" w:line="71" w:lineRule="exact"/>
        <w:rPr>
          <w:sz w:val="20"/>
          <w:szCs w:val="20"/>
          <w:color w:val="auto"/>
        </w:rPr>
      </w:pPr>
    </w:p>
    <w:p>
      <w:pPr>
        <w:jc w:val="both"/>
        <w:ind w:right="2939" w:firstLine="274"/>
        <w:spacing w:after="0" w:line="264" w:lineRule="auto"/>
        <w:rPr>
          <w:sz w:val="20"/>
          <w:szCs w:val="20"/>
          <w:color w:val="auto"/>
        </w:rPr>
      </w:pPr>
      <w:r>
        <w:rPr>
          <w:rFonts w:ascii="Times New Roman" w:cs="Times New Roman" w:eastAsia="Times New Roman" w:hAnsi="Times New Roman"/>
          <w:sz w:val="13"/>
          <w:szCs w:val="13"/>
          <w:color w:val="auto"/>
        </w:rPr>
        <w:t>BRIGHTHOUSE SMARTGUARD PLUS</w:t>
      </w:r>
      <w:r>
        <w:rPr>
          <w:rFonts w:ascii="Times New Roman" w:cs="Times New Roman" w:eastAsia="Times New Roman" w:hAnsi="Times New Roman"/>
          <w:sz w:val="16"/>
          <w:szCs w:val="16"/>
          <w:color w:val="auto"/>
          <w:vertAlign w:val="superscript"/>
        </w:rPr>
        <w:t>SM</w:t>
      </w:r>
      <w:r>
        <w:rPr>
          <w:rFonts w:ascii="Times New Roman" w:cs="Times New Roman" w:eastAsia="Times New Roman" w:hAnsi="Times New Roman"/>
          <w:sz w:val="13"/>
          <w:szCs w:val="13"/>
          <w:color w:val="auto"/>
        </w:rPr>
        <w:t xml:space="preserve"> IS NOT SPONSORED, ENDORSED, SOLD OR PROMOTED BY MSCI INC. (“MSCI”), ANY OF ITS AFFILIATES, ANY OF ITS INFORMATION PROVIDERS OR ANY OTHER THIRD PARTY INVOLVED IN, OR RELATED TO, COMPILING, COMPUTING OR CREATING ANY MSCI INDEX (COLLECTIVELY, THE “MSCI PARTIES”). THE MSCI INDEXES ARE THE EXCLUSIVE PROPERTY OF MSCI. MSCI AND THE MSCI INDEX NAMES ARE SERVICE MARK(S) OF MSCI OR ITS AFFILIATES AND HAVE BEEN LICENSED FOR USE FOR CERTAIN PURPOSES BY AFFILIATES OF BRIGHTHOUSE FINANCIAL, INC. INCLUDING BRIGHTHOUSE SERVICES, LLC, BRIGHTHOUSE LIFE INSURANCE COMPANY, AND BRIGHTHOUSE LIFE INSURANCE COMPANY OF NY (COLLECTIVELY, “BRIGHTHOUSE FINANCIAL”). NONE OF THE MSCI PARTIES MAKES ANY REPRESENTATION OR WARRANTY, EXPRESS OR IMPLIED, TO THE ISSUER OR OWNERS OF THIS PRODUCT OR ANY OTHER PERSON OR ENTITY REGARDING THE ADVISABILITY OF INVESTING IN PRODUCTS GENERALLY OR IN THIS PRODUCT PARTICULARLY OR THE ABILITY OF ANY MSCI INDEX TO TRACK CORRESPONDING STOCK MARKET PERFORMANCE. MSCI OR ITS AFFILIATES ARE THE LICENSORS OF CERTAIN TRADEMARKS, SERVICE MARKS AND TRADE NAMES AND OF THE MSCI INDEXES WHICH ARE DETERMINED, COMPOSED AND CALCULATED BY MSCI WITHOUT REGARD TO THIS PRODUCT OR THE ISSUER OR OWNERS OF THIS PRODUCT OR ANY OTHER PERSON OR ENTITY. NONE OF THE MSCI PARTIES HAS ANY OBLIGATION TO TAKE THE NEEDS OF THE ISSUER OR OWNERS OF THIS PRODUCT OR ANY OTHER PERSON OR ENTITY INTO CONSIDERATION IN DETERMINING, COMPOSING OR CALCULATING THE MSCI INDEXES. NONE OF THE MSCI PARTIES IS RESPONSIBLE FOR OR HAS PARTICIPATED IN THE DETERMINATION OF THE TIMING OF, PRICES AT, OR QUANTITIES OF THIS PRODUCT TO BE ISSUED OR IN THE DETERMINATION OR CALCULATION OF THE EQUATION BY OR THE CONSIDERATION INTO WHICH THIS PRODUCT IS REDEEMABLE. FURTHER, NONE OF THE MSCI PARTIES HAS ANY OBLIGATION OR LIABILITY TO THE ISSUER OR OWNERS OF THIS PRODUCT OR ANY OTHER PERSON OR ENTITY IN CONNECTION WITH THE ADMINISTRATION, MARKETING OR OFFERING OF THIS PRODUCT.</w:t>
      </w:r>
    </w:p>
    <w:p>
      <w:pPr>
        <w:spacing w:after="0" w:line="200" w:lineRule="exact"/>
        <w:rPr>
          <w:sz w:val="20"/>
          <w:szCs w:val="20"/>
          <w:color w:val="auto"/>
        </w:rPr>
      </w:pPr>
    </w:p>
    <w:p>
      <w:pPr>
        <w:spacing w:after="0" w:line="202" w:lineRule="exact"/>
        <w:rPr>
          <w:sz w:val="20"/>
          <w:szCs w:val="20"/>
          <w:color w:val="auto"/>
        </w:rPr>
      </w:pPr>
    </w:p>
    <w:p>
      <w:pPr>
        <w:jc w:val="both"/>
        <w:ind w:right="2939" w:firstLine="274"/>
        <w:spacing w:after="0" w:line="267" w:lineRule="auto"/>
        <w:rPr>
          <w:sz w:val="20"/>
          <w:szCs w:val="20"/>
          <w:color w:val="auto"/>
        </w:rPr>
      </w:pPr>
      <w:r>
        <w:rPr>
          <w:rFonts w:ascii="Times New Roman" w:cs="Times New Roman" w:eastAsia="Times New Roman" w:hAnsi="Times New Roman"/>
          <w:sz w:val="13"/>
          <w:szCs w:val="13"/>
          <w:color w:val="auto"/>
        </w:rPr>
        <w:t>ALTHOUGH MSCI SHALL OBTAIN INFORMATION FOR INCLUSION IN OR FOR USE IN THE CALCULATION OF THE MSCI INDEXES FROM SOURCES THAT MSCI CONSIDERS RELIABLE, NONE OF THE MSCI PARTIES WARRANTS OR GUARANTEES THE ORIGINALITY, ACCURACY AND/OR THE COMPLETENESS OF ANY MSCI INDEX OR ANY DATA INCLUDED THEREIN. NONE OF THE MSCI PARTIES MAKES ANY WARRANTY, EXPRESS OR IMPLIED, AS TO RESULTS TO BE OBTAINED BY THE ISSUER OF THE PRODUCT, OWNERS OF THE PRODUCT, OR ANY OTHER PERSON OR ENTITY, FROM THE USE OF ANY MSCI INDEX OR ANY DATA INCLUDED THEREIN. NONE OF THE MSCI PARTIES SHALL HAVE ANY LIABILITY FOR ANY ERRORS, OMISSIONS OR INTERRUPTIONS OF OR IN CONNECTION WITH ANY MSCI INDEX OR ANY DATA INCLUDED THEREIN. FURTHER, NONE OF THE MSCI PARTIES MAKES ANY EXPRESS OR IMPLIED WARRANTIES OF ANY KIND, AND THE MSCI PARTIES HEREBY EXPRESSLY DISCLAIM ALL WARRANTIES OF MERCHANTABILITY AND FITNESS FOR A PARTICULAR PURPOSE, WITH RESPECT TO EACH MSCI INDEX AND ANY DATA INCLUDED THEREIN. WITHOUT LIMITING ANY OF THE FOREGOING, IN NO EVENT SHALL ANY OF THE MSCI PARTIES HAVE ANY LIABILITY FOR ANY DIRECT, INDIRECT, SPECIAL, PUNITIVE, CONSEQUENTIAL OR ANY OTHER DAMAGES (INCLUDING LOST PROFITS) EVEN IF NOTIFIED OF THE POSSIBILITY OF SUCH DAMAGES.</w:t>
      </w:r>
    </w:p>
    <w:p>
      <w:pPr>
        <w:spacing w:after="0" w:line="40" w:lineRule="exact"/>
        <w:rPr>
          <w:sz w:val="20"/>
          <w:szCs w:val="20"/>
          <w:color w:val="auto"/>
        </w:rPr>
      </w:pPr>
    </w:p>
    <w:p>
      <w:pPr>
        <w:jc w:val="both"/>
        <w:ind w:right="2939" w:firstLine="274"/>
        <w:spacing w:after="0" w:line="271" w:lineRule="auto"/>
        <w:rPr>
          <w:sz w:val="20"/>
          <w:szCs w:val="20"/>
          <w:color w:val="auto"/>
        </w:rPr>
      </w:pPr>
      <w:r>
        <w:rPr>
          <w:rFonts w:ascii="Times New Roman" w:cs="Times New Roman" w:eastAsia="Times New Roman" w:hAnsi="Times New Roman"/>
          <w:sz w:val="13"/>
          <w:szCs w:val="13"/>
          <w:color w:val="auto"/>
        </w:rPr>
        <w:t>No purchaser, seller or holder of Brighthouse SmartGuard Plus</w:t>
      </w:r>
      <w:r>
        <w:rPr>
          <w:rFonts w:ascii="Times New Roman" w:cs="Times New Roman" w:eastAsia="Times New Roman" w:hAnsi="Times New Roman"/>
          <w:sz w:val="16"/>
          <w:szCs w:val="16"/>
          <w:color w:val="auto"/>
          <w:vertAlign w:val="superscript"/>
        </w:rPr>
        <w:t>SM</w:t>
      </w:r>
      <w:r>
        <w:rPr>
          <w:rFonts w:ascii="Times New Roman" w:cs="Times New Roman" w:eastAsia="Times New Roman" w:hAnsi="Times New Roman"/>
          <w:sz w:val="13"/>
          <w:szCs w:val="13"/>
          <w:color w:val="auto"/>
        </w:rPr>
        <w:t>, or any other person or entity, should use or refer to any MSCI trade name, trademark or service mark to sponsor, endorse, market or promote this security without first contacting MSCI to determine whether MSCI’s permission is required. Under no circumstances may any person or entity claim any affiliation with MSCI without the prior written permission of MSCI.</w:t>
      </w:r>
    </w:p>
    <w:p>
      <w:pPr>
        <w:spacing w:after="0" w:line="175"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4"/>
          <w:szCs w:val="14"/>
          <w:color w:val="auto"/>
        </w:rPr>
        <w:t>A-2</w:t>
      </w:r>
    </w:p>
    <w:p>
      <w:pPr>
        <w:sectPr>
          <w:pgSz w:w="11900" w:h="16838" w:orient="portrait"/>
          <w:cols w:equalWidth="0" w:num="1">
            <w:col w:w="9219"/>
          </w:cols>
          <w:pgMar w:left="1240" w:top="1068" w:right="1440" w:bottom="1440" w:gutter="0" w:footer="0" w:header="0"/>
        </w:sectPr>
      </w:pPr>
    </w:p>
    <w:bookmarkStart w:id="81" w:name="page82"/>
    <w:bookmarkEnd w:id="81"/>
    <w:p>
      <w:pPr>
        <w:jc w:val="center"/>
        <w:ind w:right="2934"/>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422275</wp:posOffset>
            </wp:positionV>
            <wp:extent cx="7190105"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7190105" cy="38735"/>
                    </a:xfrm>
                    <a:prstGeom prst="rect">
                      <a:avLst/>
                    </a:prstGeom>
                    <a:noFill/>
                  </pic:spPr>
                </pic:pic>
              </a:graphicData>
            </a:graphic>
          </wp:anchor>
        </w:drawing>
        <w:t>APPENDIX B</w:t>
      </w:r>
    </w:p>
    <w:p>
      <w:pPr>
        <w:spacing w:after="0" w:line="96" w:lineRule="exact"/>
        <w:rPr>
          <w:sz w:val="20"/>
          <w:szCs w:val="20"/>
          <w:color w:val="auto"/>
        </w:rPr>
      </w:pPr>
    </w:p>
    <w:p>
      <w:pPr>
        <w:jc w:val="center"/>
        <w:ind w:right="2934"/>
        <w:spacing w:after="0"/>
        <w:rPr>
          <w:sz w:val="20"/>
          <w:szCs w:val="20"/>
          <w:color w:val="auto"/>
        </w:rPr>
      </w:pPr>
      <w:r>
        <w:rPr>
          <w:rFonts w:ascii="Times New Roman" w:cs="Times New Roman" w:eastAsia="Times New Roman" w:hAnsi="Times New Roman"/>
          <w:sz w:val="14"/>
          <w:szCs w:val="14"/>
          <w:b w:val="1"/>
          <w:bCs w:val="1"/>
          <w:color w:val="auto"/>
        </w:rPr>
        <w:t>INDEX SUBSTITUTION SEGMENT VALUE EXAMPLE</w:t>
      </w:r>
    </w:p>
    <w:p>
      <w:pPr>
        <w:spacing w:after="0" w:line="90" w:lineRule="exact"/>
        <w:rPr>
          <w:sz w:val="20"/>
          <w:szCs w:val="20"/>
          <w:color w:val="auto"/>
        </w:rPr>
      </w:pPr>
    </w:p>
    <w:p>
      <w:pPr>
        <w:jc w:val="both"/>
        <w:ind w:left="5" w:right="2939" w:firstLine="274"/>
        <w:spacing w:after="0" w:line="241" w:lineRule="auto"/>
        <w:rPr>
          <w:sz w:val="20"/>
          <w:szCs w:val="20"/>
          <w:color w:val="auto"/>
        </w:rPr>
      </w:pPr>
      <w:r>
        <w:rPr>
          <w:rFonts w:ascii="Times New Roman" w:cs="Times New Roman" w:eastAsia="Times New Roman" w:hAnsi="Times New Roman"/>
          <w:sz w:val="14"/>
          <w:szCs w:val="14"/>
          <w:color w:val="auto"/>
        </w:rPr>
        <w:t>The following example illustrates how we would calculate your Segment Value on a Segment Maturity Date when there is an Index substitution. We assume no loans are taken and there is no payment of the Accelerated Death Benefit, and a $100,000 payment into an Indexed Account with a 1-Year Term / Buffer 10 / S&amp;P 500</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4"/>
          <w:szCs w:val="14"/>
          <w:color w:val="auto"/>
        </w:rPr>
        <w:t xml:space="preserve"> Index with a Cap Rate of 10%. The Annual Deduction for each Policy Year will be taken from any Indexed Account according to the Policy Deduction Method. This example assumes no Annual Deduction.</w:t>
      </w:r>
    </w:p>
    <w:p>
      <w:pPr>
        <w:spacing w:after="0" w:line="161" w:lineRule="exact"/>
        <w:rPr>
          <w:sz w:val="20"/>
          <w:szCs w:val="20"/>
          <w:color w:val="auto"/>
        </w:rPr>
      </w:pPr>
    </w:p>
    <w:p>
      <w:pPr>
        <w:ind w:left="5"/>
        <w:spacing w:after="0"/>
        <w:rPr>
          <w:sz w:val="20"/>
          <w:szCs w:val="20"/>
          <w:color w:val="auto"/>
        </w:rPr>
      </w:pPr>
      <w:r>
        <w:rPr>
          <w:rFonts w:ascii="Times New Roman" w:cs="Times New Roman" w:eastAsia="Times New Roman" w:hAnsi="Times New Roman"/>
          <w:sz w:val="14"/>
          <w:szCs w:val="14"/>
          <w:b w:val="1"/>
          <w:bCs w:val="1"/>
          <w:color w:val="auto"/>
        </w:rPr>
        <w:t>Initial Account Value:</w:t>
      </w:r>
    </w:p>
    <w:p>
      <w:pPr>
        <w:spacing w:after="0" w:line="37" w:lineRule="exact"/>
        <w:rPr>
          <w:sz w:val="20"/>
          <w:szCs w:val="20"/>
          <w:color w:val="auto"/>
        </w:rPr>
      </w:pPr>
    </w:p>
    <w:tbl>
      <w:tblPr>
        <w:tblLayout w:type="fixed"/>
        <w:tblInd w:w="15" w:type="dxa"/>
        <w:tblCellMar>
          <w:top w:w="0" w:type="dxa"/>
          <w:left w:w="0" w:type="dxa"/>
          <w:bottom w:w="0" w:type="dxa"/>
          <w:right w:w="0" w:type="dxa"/>
        </w:tblCellMar>
      </w:tblPr>
      <w:tr>
        <w:trPr>
          <w:trHeight w:val="199"/>
        </w:trPr>
        <w:tc>
          <w:tcPr>
            <w:tcW w:w="362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Segment Value at Segment Start Date</w:t>
            </w:r>
          </w:p>
        </w:tc>
        <w:tc>
          <w:tcPr>
            <w:tcW w:w="13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$100,000</w:t>
            </w:r>
          </w:p>
        </w:tc>
      </w:tr>
      <w:tr>
        <w:trPr>
          <w:trHeight w:val="22"/>
        </w:trPr>
        <w:tc>
          <w:tcPr>
            <w:tcW w:w="36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r>
      <w:tr>
        <w:trPr>
          <w:trHeight w:val="201"/>
        </w:trPr>
        <w:tc>
          <w:tcPr>
            <w:tcW w:w="3620" w:type="dxa"/>
            <w:vAlign w:val="bottom"/>
            <w:tcBorders>
              <w:left w:val="single" w:sz="8" w:color="auto"/>
              <w:bottom w:val="single" w:sz="8" w:color="F0FFFF"/>
              <w:right w:val="single" w:sz="8" w:color="auto"/>
            </w:tcBorders>
            <w:shd w:val="clear" w:color="auto" w:fill="F0FFFF"/>
          </w:tcPr>
          <w:p>
            <w:pPr>
              <w:ind w:left="80"/>
              <w:spacing w:after="0"/>
              <w:rPr>
                <w:sz w:val="20"/>
                <w:szCs w:val="20"/>
                <w:color w:val="auto"/>
              </w:rPr>
            </w:pPr>
            <w:r>
              <w:rPr>
                <w:rFonts w:ascii="Times New Roman" w:cs="Times New Roman" w:eastAsia="Times New Roman" w:hAnsi="Times New Roman"/>
                <w:sz w:val="14"/>
                <w:szCs w:val="14"/>
                <w:color w:val="auto"/>
              </w:rPr>
              <w:t>Segment Term</w:t>
            </w:r>
          </w:p>
        </w:tc>
        <w:tc>
          <w:tcPr>
            <w:tcW w:w="138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color w:val="auto"/>
                <w:w w:val="92"/>
              </w:rPr>
              <w:t>1-Year</w:t>
            </w:r>
          </w:p>
        </w:tc>
      </w:tr>
      <w:tr>
        <w:trPr>
          <w:trHeight w:val="206"/>
        </w:trPr>
        <w:tc>
          <w:tcPr>
            <w:tcW w:w="362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Initial Index</w:t>
            </w:r>
          </w:p>
        </w:tc>
        <w:tc>
          <w:tcPr>
            <w:tcW w:w="13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S&amp;P 500</w:t>
            </w:r>
            <w:r>
              <w:rPr>
                <w:rFonts w:ascii="Times New Roman" w:cs="Times New Roman" w:eastAsia="Times New Roman" w:hAnsi="Times New Roman"/>
                <w:sz w:val="17"/>
                <w:szCs w:val="17"/>
                <w:color w:val="auto"/>
                <w:w w:val="96"/>
                <w:vertAlign w:val="superscript"/>
              </w:rPr>
              <w:t>®</w:t>
            </w:r>
            <w:r>
              <w:rPr>
                <w:rFonts w:ascii="Times New Roman" w:cs="Times New Roman" w:eastAsia="Times New Roman" w:hAnsi="Times New Roman"/>
                <w:sz w:val="14"/>
                <w:szCs w:val="14"/>
                <w:color w:val="auto"/>
                <w:w w:val="96"/>
              </w:rPr>
              <w:t xml:space="preserve"> Index</w:t>
            </w:r>
          </w:p>
        </w:tc>
      </w:tr>
      <w:tr>
        <w:trPr>
          <w:trHeight w:val="206"/>
        </w:trPr>
        <w:tc>
          <w:tcPr>
            <w:tcW w:w="3620" w:type="dxa"/>
            <w:vAlign w:val="bottom"/>
            <w:tcBorders>
              <w:left w:val="single" w:sz="8" w:color="auto"/>
              <w:bottom w:val="single" w:sz="8" w:color="auto"/>
              <w:right w:val="single" w:sz="8" w:color="auto"/>
            </w:tcBorders>
            <w:shd w:val="clear" w:color="auto" w:fill="F0FFFF"/>
          </w:tcPr>
          <w:p>
            <w:pPr>
              <w:ind w:left="80"/>
              <w:spacing w:after="0"/>
              <w:rPr>
                <w:sz w:val="20"/>
                <w:szCs w:val="20"/>
                <w:color w:val="auto"/>
              </w:rPr>
            </w:pPr>
            <w:r>
              <w:rPr>
                <w:rFonts w:ascii="Times New Roman" w:cs="Times New Roman" w:eastAsia="Times New Roman" w:hAnsi="Times New Roman"/>
                <w:sz w:val="14"/>
                <w:szCs w:val="14"/>
                <w:color w:val="auto"/>
              </w:rPr>
              <w:t>S&amp;P 500</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4"/>
                <w:szCs w:val="14"/>
                <w:color w:val="auto"/>
              </w:rPr>
              <w:t xml:space="preserve"> Closing Value of the Index on Segment Start Date</w:t>
            </w:r>
          </w:p>
        </w:tc>
        <w:tc>
          <w:tcPr>
            <w:tcW w:w="138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color w:val="auto"/>
                <w:w w:val="95"/>
              </w:rPr>
              <w:t>1,400</w:t>
            </w:r>
          </w:p>
        </w:tc>
      </w:tr>
      <w:tr>
        <w:trPr>
          <w:trHeight w:val="174"/>
        </w:trPr>
        <w:tc>
          <w:tcPr>
            <w:tcW w:w="36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Cap Rate</w:t>
            </w: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10%</w:t>
            </w:r>
          </w:p>
        </w:tc>
      </w:tr>
      <w:tr>
        <w:trPr>
          <w:trHeight w:val="22"/>
        </w:trPr>
        <w:tc>
          <w:tcPr>
            <w:tcW w:w="36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r>
      <w:tr>
        <w:trPr>
          <w:trHeight w:val="181"/>
        </w:trPr>
        <w:tc>
          <w:tcPr>
            <w:tcW w:w="3620" w:type="dxa"/>
            <w:vAlign w:val="bottom"/>
            <w:tcBorders>
              <w:left w:val="single" w:sz="8" w:color="auto"/>
              <w:bottom w:val="single" w:sz="8" w:color="auto"/>
              <w:right w:val="single" w:sz="8" w:color="auto"/>
            </w:tcBorders>
            <w:shd w:val="clear" w:color="auto" w:fill="F0FFFF"/>
          </w:tcPr>
          <w:p>
            <w:pPr>
              <w:ind w:left="80"/>
              <w:spacing w:after="0"/>
              <w:rPr>
                <w:sz w:val="20"/>
                <w:szCs w:val="20"/>
                <w:color w:val="auto"/>
              </w:rPr>
            </w:pPr>
            <w:r>
              <w:rPr>
                <w:rFonts w:ascii="Times New Roman" w:cs="Times New Roman" w:eastAsia="Times New Roman" w:hAnsi="Times New Roman"/>
                <w:sz w:val="14"/>
                <w:szCs w:val="14"/>
                <w:color w:val="auto"/>
              </w:rPr>
              <w:t>Buffer Rate</w:t>
            </w:r>
          </w:p>
        </w:tc>
        <w:tc>
          <w:tcPr>
            <w:tcW w:w="138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color w:val="auto"/>
              </w:rPr>
              <w:t>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-831850</wp:posOffset>
            </wp:positionV>
            <wp:extent cx="3161030" cy="13716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3161030" cy="13716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-557530</wp:posOffset>
            </wp:positionV>
            <wp:extent cx="3161030" cy="1435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3161030" cy="1435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-270510</wp:posOffset>
            </wp:positionV>
            <wp:extent cx="3161030" cy="13716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3161030" cy="137160"/>
                    </a:xfrm>
                    <a:prstGeom prst="rect">
                      <a:avLst/>
                    </a:prstGeom>
                    <a:noFill/>
                  </pic:spPr>
                </pic:pic>
              </a:graphicData>
            </a:graphic>
          </wp:anchor>
        </w:drawing>
      </w:r>
    </w:p>
    <w:p>
      <w:pPr>
        <w:spacing w:after="0" w:line="205" w:lineRule="exact"/>
        <w:rPr>
          <w:sz w:val="20"/>
          <w:szCs w:val="20"/>
          <w:color w:val="auto"/>
        </w:rPr>
      </w:pPr>
    </w:p>
    <w:p>
      <w:pPr>
        <w:ind w:left="5"/>
        <w:spacing w:after="0"/>
        <w:rPr>
          <w:sz w:val="20"/>
          <w:szCs w:val="20"/>
          <w:color w:val="auto"/>
        </w:rPr>
      </w:pPr>
      <w:r>
        <w:rPr>
          <w:rFonts w:ascii="Times New Roman" w:cs="Times New Roman" w:eastAsia="Times New Roman" w:hAnsi="Times New Roman"/>
          <w:sz w:val="14"/>
          <w:szCs w:val="14"/>
          <w:b w:val="1"/>
          <w:bCs w:val="1"/>
          <w:color w:val="auto"/>
        </w:rPr>
        <w:t>On date of Index Substitution halfway through the Segment Term:</w:t>
      </w:r>
    </w:p>
    <w:p>
      <w:pPr>
        <w:spacing w:after="0" w:line="37" w:lineRule="exact"/>
        <w:rPr>
          <w:sz w:val="20"/>
          <w:szCs w:val="20"/>
          <w:color w:val="auto"/>
        </w:rPr>
      </w:pPr>
    </w:p>
    <w:tbl>
      <w:tblPr>
        <w:tblLayout w:type="fixed"/>
        <w:tblInd w:w="15" w:type="dxa"/>
        <w:tblCellMar>
          <w:top w:w="0" w:type="dxa"/>
          <w:left w:w="0" w:type="dxa"/>
          <w:bottom w:w="0" w:type="dxa"/>
          <w:right w:w="0" w:type="dxa"/>
        </w:tblCellMar>
      </w:tblPr>
      <w:tr>
        <w:trPr>
          <w:trHeight w:val="199"/>
        </w:trPr>
        <w:tc>
          <w:tcPr>
            <w:tcW w:w="3640" w:type="dxa"/>
            <w:vAlign w:val="bottom"/>
            <w:tcBorders>
              <w:top w:val="single" w:sz="8" w:color="auto"/>
              <w:left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color w:val="auto"/>
              </w:rPr>
              <w:t>Index substitution</w:t>
            </w:r>
          </w:p>
        </w:tc>
        <w:tc>
          <w:tcPr>
            <w:tcW w:w="1360" w:type="dxa"/>
            <w:vAlign w:val="bottom"/>
            <w:tcBorders>
              <w:top w:val="single" w:sz="8" w:color="auto"/>
              <w:right w:val="single" w:sz="8" w:color="auto"/>
            </w:tcBorders>
          </w:tcPr>
          <w:p>
            <w:pPr>
              <w:spacing w:after="0"/>
              <w:rPr>
                <w:sz w:val="17"/>
                <w:szCs w:val="17"/>
                <w:color w:val="auto"/>
              </w:rPr>
            </w:pPr>
          </w:p>
        </w:tc>
      </w:tr>
      <w:tr>
        <w:trPr>
          <w:trHeight w:val="22"/>
        </w:trPr>
        <w:tc>
          <w:tcPr>
            <w:tcW w:w="840" w:type="dxa"/>
            <w:vAlign w:val="bottom"/>
            <w:tcBorders>
              <w:left w:val="single" w:sz="8" w:color="auto"/>
              <w:bottom w:val="single" w:sz="8" w:color="auto"/>
            </w:tcBorders>
          </w:tcPr>
          <w:p>
            <w:pPr>
              <w:spacing w:after="0" w:line="20" w:lineRule="exact"/>
              <w:rPr>
                <w:sz w:val="1"/>
                <w:szCs w:val="1"/>
                <w:color w:val="auto"/>
              </w:rPr>
            </w:pPr>
          </w:p>
        </w:tc>
        <w:tc>
          <w:tcPr>
            <w:tcW w:w="2800" w:type="dxa"/>
            <w:vAlign w:val="bottom"/>
            <w:tcBorders>
              <w:bottom w:val="single" w:sz="8" w:color="auto"/>
              <w:right w:val="single" w:sz="8" w:color="auto"/>
            </w:tcBorders>
          </w:tcPr>
          <w:p>
            <w:pPr>
              <w:spacing w:after="0" w:line="20" w:lineRule="exact"/>
              <w:rPr>
                <w:sz w:val="1"/>
                <w:szCs w:val="1"/>
                <w:color w:val="auto"/>
              </w:rPr>
            </w:pPr>
          </w:p>
        </w:tc>
        <w:tc>
          <w:tcPr>
            <w:tcW w:w="1360" w:type="dxa"/>
            <w:vAlign w:val="bottom"/>
            <w:tcBorders>
              <w:bottom w:val="single" w:sz="8" w:color="auto"/>
              <w:right w:val="single" w:sz="8" w:color="auto"/>
            </w:tcBorders>
          </w:tcPr>
          <w:p>
            <w:pPr>
              <w:spacing w:after="0" w:line="20" w:lineRule="exact"/>
              <w:rPr>
                <w:sz w:val="1"/>
                <w:szCs w:val="1"/>
                <w:color w:val="auto"/>
              </w:rPr>
            </w:pPr>
          </w:p>
        </w:tc>
      </w:tr>
      <w:tr>
        <w:trPr>
          <w:trHeight w:val="201"/>
        </w:trPr>
        <w:tc>
          <w:tcPr>
            <w:tcW w:w="3640" w:type="dxa"/>
            <w:vAlign w:val="bottom"/>
            <w:tcBorders>
              <w:left w:val="single" w:sz="8" w:color="auto"/>
              <w:bottom w:val="single" w:sz="8" w:color="F0FFFF"/>
              <w:right w:val="single" w:sz="8" w:color="auto"/>
            </w:tcBorders>
            <w:gridSpan w:val="2"/>
            <w:shd w:val="clear" w:color="auto" w:fill="F0FFFF"/>
          </w:tcPr>
          <w:p>
            <w:pPr>
              <w:ind w:left="80"/>
              <w:spacing w:after="0"/>
              <w:rPr>
                <w:sz w:val="20"/>
                <w:szCs w:val="20"/>
                <w:color w:val="auto"/>
              </w:rPr>
            </w:pPr>
            <w:r>
              <w:rPr>
                <w:rFonts w:ascii="Times New Roman" w:cs="Times New Roman" w:eastAsia="Times New Roman" w:hAnsi="Times New Roman"/>
                <w:sz w:val="14"/>
                <w:szCs w:val="14"/>
                <w:color w:val="auto"/>
              </w:rPr>
              <w:t>Number of days since Segment Start Date</w:t>
            </w:r>
          </w:p>
        </w:tc>
        <w:tc>
          <w:tcPr>
            <w:tcW w:w="136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color w:val="auto"/>
                <w:w w:val="95"/>
              </w:rPr>
              <w:t>183</w:t>
            </w:r>
          </w:p>
        </w:tc>
      </w:tr>
      <w:tr>
        <w:trPr>
          <w:trHeight w:val="206"/>
        </w:trPr>
        <w:tc>
          <w:tcPr>
            <w:tcW w:w="3640" w:type="dxa"/>
            <w:vAlign w:val="bottom"/>
            <w:tcBorders>
              <w:top w:val="single" w:sz="8" w:color="auto"/>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color w:val="auto"/>
              </w:rPr>
              <w:t>Closing Value for S&amp;P 500</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4"/>
                <w:szCs w:val="14"/>
                <w:color w:val="auto"/>
              </w:rPr>
              <w:t xml:space="preserve"> Index</w:t>
            </w:r>
          </w:p>
        </w:tc>
        <w:tc>
          <w:tcPr>
            <w:tcW w:w="13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1,330</w:t>
            </w:r>
          </w:p>
        </w:tc>
      </w:tr>
      <w:tr>
        <w:trPr>
          <w:trHeight w:val="206"/>
        </w:trPr>
        <w:tc>
          <w:tcPr>
            <w:tcW w:w="3640" w:type="dxa"/>
            <w:vAlign w:val="bottom"/>
            <w:tcBorders>
              <w:left w:val="single" w:sz="8" w:color="auto"/>
              <w:bottom w:val="single" w:sz="8" w:color="auto"/>
              <w:right w:val="single" w:sz="8" w:color="auto"/>
            </w:tcBorders>
            <w:gridSpan w:val="2"/>
            <w:shd w:val="clear" w:color="auto" w:fill="F0FFFF"/>
          </w:tcPr>
          <w:p>
            <w:pPr>
              <w:ind w:left="80"/>
              <w:spacing w:after="0"/>
              <w:rPr>
                <w:sz w:val="20"/>
                <w:szCs w:val="20"/>
                <w:color w:val="auto"/>
              </w:rPr>
            </w:pPr>
            <w:r>
              <w:rPr>
                <w:rFonts w:ascii="Times New Roman" w:cs="Times New Roman" w:eastAsia="Times New Roman" w:hAnsi="Times New Roman"/>
                <w:sz w:val="14"/>
                <w:szCs w:val="14"/>
                <w:color w:val="auto"/>
              </w:rPr>
              <w:t>Segment Index Performance for S&amp;P 500</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4"/>
                <w:szCs w:val="14"/>
                <w:color w:val="auto"/>
              </w:rPr>
              <w:t xml:space="preserve"> Index</w:t>
            </w:r>
            <w:r>
              <w:rPr>
                <w:rFonts w:ascii="Times New Roman" w:cs="Times New Roman" w:eastAsia="Times New Roman" w:hAnsi="Times New Roman"/>
                <w:sz w:val="17"/>
                <w:szCs w:val="17"/>
                <w:color w:val="auto"/>
                <w:vertAlign w:val="superscript"/>
              </w:rPr>
              <w:t>(1)</w:t>
            </w:r>
          </w:p>
        </w:tc>
        <w:tc>
          <w:tcPr>
            <w:tcW w:w="136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color w:val="auto"/>
                <w:w w:val="93"/>
              </w:rPr>
              <w:t>–5%</w:t>
            </w:r>
          </w:p>
        </w:tc>
      </w:tr>
      <w:tr>
        <w:trPr>
          <w:trHeight w:val="206"/>
        </w:trPr>
        <w:tc>
          <w:tcPr>
            <w:tcW w:w="364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color w:val="auto"/>
              </w:rPr>
              <w:t>Substituted Index</w:t>
            </w:r>
          </w:p>
        </w:tc>
        <w:tc>
          <w:tcPr>
            <w:tcW w:w="13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Russell 2000</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4"/>
                <w:szCs w:val="14"/>
                <w:color w:val="auto"/>
              </w:rPr>
              <w:t xml:space="preserve"> Index</w:t>
            </w:r>
          </w:p>
        </w:tc>
      </w:tr>
      <w:tr>
        <w:trPr>
          <w:trHeight w:val="194"/>
        </w:trPr>
        <w:tc>
          <w:tcPr>
            <w:tcW w:w="3640" w:type="dxa"/>
            <w:vAlign w:val="bottom"/>
            <w:tcBorders>
              <w:left w:val="single" w:sz="8" w:color="auto"/>
              <w:bottom w:val="single" w:sz="8" w:color="auto"/>
              <w:right w:val="single" w:sz="8" w:color="auto"/>
            </w:tcBorders>
            <w:gridSpan w:val="2"/>
            <w:shd w:val="clear" w:color="auto" w:fill="F0FFFF"/>
          </w:tcPr>
          <w:p>
            <w:pPr>
              <w:ind w:left="80"/>
              <w:spacing w:after="0" w:line="194" w:lineRule="exact"/>
              <w:rPr>
                <w:sz w:val="20"/>
                <w:szCs w:val="20"/>
                <w:color w:val="auto"/>
              </w:rPr>
            </w:pPr>
            <w:r>
              <w:rPr>
                <w:rFonts w:ascii="Times New Roman" w:cs="Times New Roman" w:eastAsia="Times New Roman" w:hAnsi="Times New Roman"/>
                <w:sz w:val="14"/>
                <w:szCs w:val="14"/>
                <w:color w:val="auto"/>
              </w:rPr>
              <w:t>Closing Value for Russell 2000</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4"/>
                <w:szCs w:val="14"/>
                <w:color w:val="auto"/>
              </w:rPr>
              <w:t xml:space="preserve"> Index on substitution date</w:t>
            </w:r>
          </w:p>
        </w:tc>
        <w:tc>
          <w:tcPr>
            <w:tcW w:w="136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color w:val="auto"/>
              </w:rPr>
              <w:t>1,250</w:t>
            </w:r>
          </w:p>
        </w:tc>
      </w:tr>
      <w:tr>
        <w:trPr>
          <w:trHeight w:val="403"/>
        </w:trPr>
        <w:tc>
          <w:tcPr>
            <w:tcW w:w="36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Calculation of Segment Value at Segment Maturity Date:</w:t>
            </w:r>
          </w:p>
        </w:tc>
        <w:tc>
          <w:tcPr>
            <w:tcW w:w="1360" w:type="dxa"/>
            <w:vAlign w:val="bottom"/>
          </w:tcPr>
          <w:p>
            <w:pPr>
              <w:spacing w:after="0"/>
              <w:rPr>
                <w:sz w:val="24"/>
                <w:szCs w:val="24"/>
                <w:color w:val="auto"/>
              </w:rPr>
            </w:pPr>
          </w:p>
        </w:tc>
      </w:tr>
      <w:tr>
        <w:trPr>
          <w:trHeight w:val="37"/>
        </w:trPr>
        <w:tc>
          <w:tcPr>
            <w:tcW w:w="840" w:type="dxa"/>
            <w:vAlign w:val="bottom"/>
            <w:tcBorders>
              <w:bottom w:val="single" w:sz="8" w:color="auto"/>
            </w:tcBorders>
          </w:tcPr>
          <w:p>
            <w:pPr>
              <w:spacing w:after="0"/>
              <w:rPr>
                <w:sz w:val="3"/>
                <w:szCs w:val="3"/>
                <w:color w:val="auto"/>
              </w:rPr>
            </w:pPr>
          </w:p>
        </w:tc>
        <w:tc>
          <w:tcPr>
            <w:tcW w:w="28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211"/>
        </w:trPr>
        <w:tc>
          <w:tcPr>
            <w:tcW w:w="364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color w:val="auto"/>
              </w:rPr>
              <w:t>Closing Value for Russell 2000</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4"/>
                <w:szCs w:val="14"/>
                <w:color w:val="auto"/>
              </w:rPr>
              <w:t xml:space="preserve"> Index</w:t>
            </w: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5"/>
              </w:rPr>
              <w:t>1,375</w:t>
            </w:r>
          </w:p>
        </w:tc>
      </w:tr>
      <w:tr>
        <w:trPr>
          <w:trHeight w:val="206"/>
        </w:trPr>
        <w:tc>
          <w:tcPr>
            <w:tcW w:w="3640" w:type="dxa"/>
            <w:vAlign w:val="bottom"/>
            <w:tcBorders>
              <w:left w:val="single" w:sz="8" w:color="auto"/>
              <w:bottom w:val="single" w:sz="8" w:color="auto"/>
              <w:right w:val="single" w:sz="8" w:color="auto"/>
            </w:tcBorders>
            <w:gridSpan w:val="2"/>
            <w:shd w:val="clear" w:color="auto" w:fill="F0FFFF"/>
          </w:tcPr>
          <w:p>
            <w:pPr>
              <w:ind w:left="80"/>
              <w:spacing w:after="0"/>
              <w:rPr>
                <w:sz w:val="20"/>
                <w:szCs w:val="20"/>
                <w:color w:val="auto"/>
              </w:rPr>
            </w:pPr>
            <w:r>
              <w:rPr>
                <w:rFonts w:ascii="Times New Roman" w:cs="Times New Roman" w:eastAsia="Times New Roman" w:hAnsi="Times New Roman"/>
                <w:sz w:val="14"/>
                <w:szCs w:val="14"/>
                <w:color w:val="auto"/>
              </w:rPr>
              <w:t>Segment Index Performance for S&amp;P 500</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4"/>
                <w:szCs w:val="14"/>
                <w:color w:val="auto"/>
              </w:rPr>
              <w:t xml:space="preserve"> Index</w:t>
            </w:r>
            <w:r>
              <w:rPr>
                <w:rFonts w:ascii="Times New Roman" w:cs="Times New Roman" w:eastAsia="Times New Roman" w:hAnsi="Times New Roman"/>
                <w:sz w:val="17"/>
                <w:szCs w:val="17"/>
                <w:color w:val="auto"/>
                <w:vertAlign w:val="superscript"/>
              </w:rPr>
              <w:t>(1)</w:t>
            </w:r>
          </w:p>
        </w:tc>
        <w:tc>
          <w:tcPr>
            <w:tcW w:w="136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color w:val="auto"/>
              </w:rPr>
              <w:t>–5%</w:t>
            </w:r>
          </w:p>
        </w:tc>
      </w:tr>
      <w:tr>
        <w:trPr>
          <w:trHeight w:val="206"/>
        </w:trPr>
        <w:tc>
          <w:tcPr>
            <w:tcW w:w="364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color w:val="auto"/>
              </w:rPr>
              <w:t>Segment Index Performance for Russell 2000</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4"/>
                <w:szCs w:val="14"/>
                <w:color w:val="auto"/>
              </w:rPr>
              <w:t xml:space="preserve"> Index</w:t>
            </w:r>
            <w:r>
              <w:rPr>
                <w:rFonts w:ascii="Times New Roman" w:cs="Times New Roman" w:eastAsia="Times New Roman" w:hAnsi="Times New Roman"/>
                <w:sz w:val="17"/>
                <w:szCs w:val="17"/>
                <w:color w:val="auto"/>
                <w:vertAlign w:val="superscript"/>
              </w:rPr>
              <w:t>(2)</w:t>
            </w: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10%</w:t>
            </w:r>
          </w:p>
        </w:tc>
      </w:tr>
      <w:tr>
        <w:trPr>
          <w:trHeight w:val="206"/>
        </w:trPr>
        <w:tc>
          <w:tcPr>
            <w:tcW w:w="3640" w:type="dxa"/>
            <w:vAlign w:val="bottom"/>
            <w:tcBorders>
              <w:left w:val="single" w:sz="8" w:color="auto"/>
              <w:bottom w:val="single" w:sz="8" w:color="auto"/>
              <w:right w:val="single" w:sz="8" w:color="auto"/>
            </w:tcBorders>
            <w:gridSpan w:val="2"/>
            <w:shd w:val="clear" w:color="auto" w:fill="F0FFFF"/>
          </w:tcPr>
          <w:p>
            <w:pPr>
              <w:ind w:left="80"/>
              <w:spacing w:after="0"/>
              <w:rPr>
                <w:sz w:val="20"/>
                <w:szCs w:val="20"/>
                <w:color w:val="auto"/>
              </w:rPr>
            </w:pPr>
            <w:r>
              <w:rPr>
                <w:rFonts w:ascii="Times New Roman" w:cs="Times New Roman" w:eastAsia="Times New Roman" w:hAnsi="Times New Roman"/>
                <w:sz w:val="14"/>
                <w:szCs w:val="14"/>
                <w:color w:val="auto"/>
              </w:rPr>
              <w:t>Total Segment Index Performance for the Segment Term</w:t>
            </w:r>
            <w:r>
              <w:rPr>
                <w:rFonts w:ascii="Times New Roman" w:cs="Times New Roman" w:eastAsia="Times New Roman" w:hAnsi="Times New Roman"/>
                <w:sz w:val="17"/>
                <w:szCs w:val="17"/>
                <w:color w:val="auto"/>
                <w:vertAlign w:val="superscript"/>
              </w:rPr>
              <w:t>(3)</w:t>
            </w:r>
          </w:p>
        </w:tc>
        <w:tc>
          <w:tcPr>
            <w:tcW w:w="136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color w:val="auto"/>
                <w:w w:val="95"/>
              </w:rPr>
              <w:t>4.5%</w:t>
            </w:r>
          </w:p>
        </w:tc>
      </w:tr>
      <w:tr>
        <w:trPr>
          <w:trHeight w:val="174"/>
        </w:trPr>
        <w:tc>
          <w:tcPr>
            <w:tcW w:w="3640" w:type="dxa"/>
            <w:vAlign w:val="bottom"/>
            <w:tcBorders>
              <w:left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color w:val="auto"/>
              </w:rPr>
              <w:t>Cap Rate</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10%</w:t>
            </w:r>
          </w:p>
        </w:tc>
      </w:tr>
      <w:tr>
        <w:trPr>
          <w:trHeight w:val="22"/>
        </w:trPr>
        <w:tc>
          <w:tcPr>
            <w:tcW w:w="840" w:type="dxa"/>
            <w:vAlign w:val="bottom"/>
            <w:tcBorders>
              <w:left w:val="single" w:sz="8" w:color="auto"/>
              <w:bottom w:val="single" w:sz="8" w:color="auto"/>
            </w:tcBorders>
          </w:tcPr>
          <w:p>
            <w:pPr>
              <w:spacing w:after="0" w:line="20" w:lineRule="exact"/>
              <w:rPr>
                <w:sz w:val="1"/>
                <w:szCs w:val="1"/>
                <w:color w:val="auto"/>
              </w:rPr>
            </w:pPr>
          </w:p>
        </w:tc>
        <w:tc>
          <w:tcPr>
            <w:tcW w:w="2800" w:type="dxa"/>
            <w:vAlign w:val="bottom"/>
            <w:tcBorders>
              <w:bottom w:val="single" w:sz="8" w:color="auto"/>
              <w:right w:val="single" w:sz="8" w:color="auto"/>
            </w:tcBorders>
          </w:tcPr>
          <w:p>
            <w:pPr>
              <w:spacing w:after="0" w:line="20" w:lineRule="exact"/>
              <w:rPr>
                <w:sz w:val="1"/>
                <w:szCs w:val="1"/>
                <w:color w:val="auto"/>
              </w:rPr>
            </w:pPr>
          </w:p>
        </w:tc>
        <w:tc>
          <w:tcPr>
            <w:tcW w:w="1360" w:type="dxa"/>
            <w:vAlign w:val="bottom"/>
            <w:tcBorders>
              <w:bottom w:val="single" w:sz="8" w:color="auto"/>
              <w:right w:val="single" w:sz="8" w:color="auto"/>
            </w:tcBorders>
          </w:tcPr>
          <w:p>
            <w:pPr>
              <w:spacing w:after="0" w:line="20" w:lineRule="exact"/>
              <w:rPr>
                <w:sz w:val="1"/>
                <w:szCs w:val="1"/>
                <w:color w:val="auto"/>
              </w:rPr>
            </w:pPr>
          </w:p>
        </w:tc>
      </w:tr>
      <w:tr>
        <w:trPr>
          <w:trHeight w:val="201"/>
        </w:trPr>
        <w:tc>
          <w:tcPr>
            <w:tcW w:w="3640" w:type="dxa"/>
            <w:vAlign w:val="bottom"/>
            <w:tcBorders>
              <w:left w:val="single" w:sz="8" w:color="auto"/>
              <w:bottom w:val="single" w:sz="8" w:color="F0FFFF"/>
              <w:right w:val="single" w:sz="8" w:color="auto"/>
            </w:tcBorders>
            <w:gridSpan w:val="2"/>
            <w:shd w:val="clear" w:color="auto" w:fill="F0FFFF"/>
          </w:tcPr>
          <w:p>
            <w:pPr>
              <w:ind w:left="80"/>
              <w:spacing w:after="0"/>
              <w:rPr>
                <w:sz w:val="20"/>
                <w:szCs w:val="20"/>
                <w:color w:val="auto"/>
              </w:rPr>
            </w:pPr>
            <w:r>
              <w:rPr>
                <w:rFonts w:ascii="Times New Roman" w:cs="Times New Roman" w:eastAsia="Times New Roman" w:hAnsi="Times New Roman"/>
                <w:sz w:val="14"/>
                <w:szCs w:val="14"/>
                <w:color w:val="auto"/>
              </w:rPr>
              <w:t>Buffer Rate</w:t>
            </w:r>
          </w:p>
        </w:tc>
        <w:tc>
          <w:tcPr>
            <w:tcW w:w="136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color w:val="auto"/>
              </w:rPr>
              <w:t>10%</w:t>
            </w:r>
          </w:p>
        </w:tc>
      </w:tr>
      <w:tr>
        <w:trPr>
          <w:trHeight w:val="206"/>
        </w:trPr>
        <w:tc>
          <w:tcPr>
            <w:tcW w:w="3640" w:type="dxa"/>
            <w:vAlign w:val="bottom"/>
            <w:tcBorders>
              <w:top w:val="single" w:sz="8" w:color="auto"/>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color w:val="auto"/>
              </w:rPr>
              <w:t>Segment Performance Rate</w:t>
            </w:r>
            <w:r>
              <w:rPr>
                <w:rFonts w:ascii="Times New Roman" w:cs="Times New Roman" w:eastAsia="Times New Roman" w:hAnsi="Times New Roman"/>
                <w:sz w:val="17"/>
                <w:szCs w:val="17"/>
                <w:color w:val="auto"/>
                <w:vertAlign w:val="superscript"/>
              </w:rPr>
              <w:t>(4)</w:t>
            </w:r>
          </w:p>
        </w:tc>
        <w:tc>
          <w:tcPr>
            <w:tcW w:w="13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5"/>
              </w:rPr>
              <w:t>4.5%</w:t>
            </w:r>
          </w:p>
        </w:tc>
      </w:tr>
      <w:tr>
        <w:trPr>
          <w:trHeight w:val="206"/>
        </w:trPr>
        <w:tc>
          <w:tcPr>
            <w:tcW w:w="3640" w:type="dxa"/>
            <w:vAlign w:val="bottom"/>
            <w:tcBorders>
              <w:left w:val="single" w:sz="8" w:color="auto"/>
              <w:bottom w:val="single" w:sz="8" w:color="auto"/>
              <w:right w:val="single" w:sz="8" w:color="auto"/>
            </w:tcBorders>
            <w:gridSpan w:val="2"/>
            <w:shd w:val="clear" w:color="auto" w:fill="F0FFFF"/>
          </w:tcPr>
          <w:p>
            <w:pPr>
              <w:ind w:left="80"/>
              <w:spacing w:after="0"/>
              <w:rPr>
                <w:sz w:val="20"/>
                <w:szCs w:val="20"/>
                <w:color w:val="auto"/>
              </w:rPr>
            </w:pPr>
            <w:r>
              <w:rPr>
                <w:rFonts w:ascii="Times New Roman" w:cs="Times New Roman" w:eastAsia="Times New Roman" w:hAnsi="Times New Roman"/>
                <w:sz w:val="14"/>
                <w:szCs w:val="14"/>
                <w:color w:val="auto"/>
              </w:rPr>
              <w:t>Segment Credit</w:t>
            </w:r>
            <w:r>
              <w:rPr>
                <w:rFonts w:ascii="Times New Roman" w:cs="Times New Roman" w:eastAsia="Times New Roman" w:hAnsi="Times New Roman"/>
                <w:sz w:val="17"/>
                <w:szCs w:val="17"/>
                <w:color w:val="auto"/>
                <w:vertAlign w:val="superscript"/>
              </w:rPr>
              <w:t>(5)</w:t>
            </w:r>
          </w:p>
        </w:tc>
        <w:tc>
          <w:tcPr>
            <w:tcW w:w="136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color w:val="auto"/>
                <w:w w:val="98"/>
              </w:rPr>
              <w:t>$4,500</w:t>
            </w:r>
          </w:p>
        </w:tc>
      </w:tr>
      <w:tr>
        <w:trPr>
          <w:trHeight w:val="191"/>
        </w:trPr>
        <w:tc>
          <w:tcPr>
            <w:tcW w:w="3640" w:type="dxa"/>
            <w:vAlign w:val="bottom"/>
            <w:tcBorders>
              <w:left w:val="single" w:sz="8" w:color="auto"/>
              <w:bottom w:val="single" w:sz="8" w:color="auto"/>
              <w:right w:val="single" w:sz="8" w:color="auto"/>
            </w:tcBorders>
            <w:gridSpan w:val="2"/>
          </w:tcPr>
          <w:p>
            <w:pPr>
              <w:ind w:left="80"/>
              <w:spacing w:after="0" w:line="191" w:lineRule="exact"/>
              <w:rPr>
                <w:sz w:val="20"/>
                <w:szCs w:val="20"/>
                <w:color w:val="auto"/>
              </w:rPr>
            </w:pPr>
            <w:r>
              <w:rPr>
                <w:rFonts w:ascii="Times New Roman" w:cs="Times New Roman" w:eastAsia="Times New Roman" w:hAnsi="Times New Roman"/>
                <w:sz w:val="14"/>
                <w:szCs w:val="14"/>
                <w:color w:val="auto"/>
              </w:rPr>
              <w:t>Segment Value at Segment Maturity Date</w:t>
            </w:r>
            <w:r>
              <w:rPr>
                <w:rFonts w:ascii="Times New Roman" w:cs="Times New Roman" w:eastAsia="Times New Roman" w:hAnsi="Times New Roman"/>
                <w:sz w:val="17"/>
                <w:szCs w:val="17"/>
                <w:color w:val="auto"/>
                <w:vertAlign w:val="superscript"/>
              </w:rPr>
              <w:t>(6)</w:t>
            </w: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$104,500</w:t>
            </w:r>
          </w:p>
        </w:tc>
      </w:tr>
      <w:tr>
        <w:trPr>
          <w:trHeight w:val="150"/>
        </w:trPr>
        <w:tc>
          <w:tcPr>
            <w:tcW w:w="840" w:type="dxa"/>
            <w:vAlign w:val="bottom"/>
            <w:tcBorders>
              <w:bottom w:val="single" w:sz="8" w:color="auto"/>
            </w:tcBorders>
          </w:tcPr>
          <w:p>
            <w:pPr>
              <w:spacing w:after="0"/>
              <w:rPr>
                <w:sz w:val="13"/>
                <w:szCs w:val="13"/>
                <w:color w:val="auto"/>
              </w:rPr>
            </w:pPr>
          </w:p>
        </w:tc>
        <w:tc>
          <w:tcPr>
            <w:tcW w:w="2800" w:type="dxa"/>
            <w:vAlign w:val="bottom"/>
          </w:tcPr>
          <w:p>
            <w:pPr>
              <w:spacing w:after="0"/>
              <w:rPr>
                <w:sz w:val="13"/>
                <w:szCs w:val="13"/>
                <w:color w:val="auto"/>
              </w:rPr>
            </w:pPr>
          </w:p>
        </w:tc>
        <w:tc>
          <w:tcPr>
            <w:tcW w:w="136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-2520315</wp:posOffset>
            </wp:positionV>
            <wp:extent cx="3161030" cy="13716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extLst>
                        <a:ext uri="{28A0092B-C50C-407E-A947-70E740481C1C}"/>
                      </a:extLst>
                    </a:blip>
                    <a:srcRect/>
                    <a:stretch>
                      <a:fillRect/>
                    </a:stretch>
                  </pic:blipFill>
                  <pic:spPr bwMode="auto">
                    <a:xfrm>
                      <a:off x="0" y="0"/>
                      <a:ext cx="3161030" cy="13716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-2245995</wp:posOffset>
            </wp:positionV>
            <wp:extent cx="3161030" cy="14351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extLst>
                        <a:ext uri="{28A0092B-C50C-407E-A947-70E740481C1C}"/>
                      </a:extLst>
                    </a:blip>
                    <a:srcRect/>
                    <a:stretch>
                      <a:fillRect/>
                    </a:stretch>
                  </pic:blipFill>
                  <pic:spPr bwMode="auto">
                    <a:xfrm>
                      <a:off x="0" y="0"/>
                      <a:ext cx="3161030" cy="1435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-1958975</wp:posOffset>
            </wp:positionV>
            <wp:extent cx="3161030" cy="14351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7">
                      <a:extLst>
                        <a:ext uri="{28A0092B-C50C-407E-A947-70E740481C1C}"/>
                      </a:extLst>
                    </a:blip>
                    <a:srcRect/>
                    <a:stretch>
                      <a:fillRect/>
                    </a:stretch>
                  </pic:blipFill>
                  <pic:spPr bwMode="auto">
                    <a:xfrm>
                      <a:off x="0" y="0"/>
                      <a:ext cx="3161030" cy="1435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-1384300</wp:posOffset>
            </wp:positionV>
            <wp:extent cx="3161030" cy="14351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8">
                      <a:extLst>
                        <a:ext uri="{28A0092B-C50C-407E-A947-70E740481C1C}"/>
                      </a:extLst>
                    </a:blip>
                    <a:srcRect/>
                    <a:stretch>
                      <a:fillRect/>
                    </a:stretch>
                  </pic:blipFill>
                  <pic:spPr bwMode="auto">
                    <a:xfrm>
                      <a:off x="0" y="0"/>
                      <a:ext cx="3161030" cy="1435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-1096645</wp:posOffset>
            </wp:positionV>
            <wp:extent cx="3161030" cy="14351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9">
                      <a:extLst>
                        <a:ext uri="{28A0092B-C50C-407E-A947-70E740481C1C}"/>
                      </a:extLst>
                    </a:blip>
                    <a:srcRect/>
                    <a:stretch>
                      <a:fillRect/>
                    </a:stretch>
                  </pic:blipFill>
                  <pic:spPr bwMode="auto">
                    <a:xfrm>
                      <a:off x="0" y="0"/>
                      <a:ext cx="3161030" cy="1435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-808990</wp:posOffset>
            </wp:positionV>
            <wp:extent cx="3161030" cy="13716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0">
                      <a:extLst>
                        <a:ext uri="{28A0092B-C50C-407E-A947-70E740481C1C}"/>
                      </a:extLst>
                    </a:blip>
                    <a:srcRect/>
                    <a:stretch>
                      <a:fillRect/>
                    </a:stretch>
                  </pic:blipFill>
                  <pic:spPr bwMode="auto">
                    <a:xfrm>
                      <a:off x="0" y="0"/>
                      <a:ext cx="3161030" cy="13716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-534670</wp:posOffset>
            </wp:positionV>
            <wp:extent cx="3161030" cy="14351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extLst>
                        <a:ext uri="{28A0092B-C50C-407E-A947-70E740481C1C}"/>
                      </a:extLst>
                    </a:blip>
                    <a:srcRect/>
                    <a:stretch>
                      <a:fillRect/>
                    </a:stretch>
                  </pic:blipFill>
                  <pic:spPr bwMode="auto">
                    <a:xfrm>
                      <a:off x="0" y="0"/>
                      <a:ext cx="3161030" cy="1435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-247650</wp:posOffset>
            </wp:positionV>
            <wp:extent cx="3161030" cy="13081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2">
                      <a:extLst>
                        <a:ext uri="{28A0092B-C50C-407E-A947-70E740481C1C}"/>
                      </a:extLst>
                    </a:blip>
                    <a:srcRect/>
                    <a:stretch>
                      <a:fillRect/>
                    </a:stretch>
                  </pic:blipFill>
                  <pic:spPr bwMode="auto">
                    <a:xfrm>
                      <a:off x="0" y="0"/>
                      <a:ext cx="3161030" cy="130810"/>
                    </a:xfrm>
                    <a:prstGeom prst="rect">
                      <a:avLst/>
                    </a:prstGeom>
                    <a:noFill/>
                  </pic:spPr>
                </pic:pic>
              </a:graphicData>
            </a:graphic>
          </wp:anchor>
        </w:drawing>
        <w:drawing>
          <wp:anchor simplePos="0" relativeHeight="251657728" behindDoc="1" locked="0" layoutInCell="0" allowOverlap="1">
            <wp:simplePos x="0" y="0"/>
            <wp:positionH relativeFrom="column">
              <wp:posOffset>518795</wp:posOffset>
            </wp:positionH>
            <wp:positionV relativeFrom="paragraph">
              <wp:posOffset>-31750</wp:posOffset>
            </wp:positionV>
            <wp:extent cx="31750" cy="4508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3">
                      <a:extLst>
                        <a:ext uri="{28A0092B-C50C-407E-A947-70E740481C1C}"/>
                      </a:extLst>
                    </a:blip>
                    <a:srcRect/>
                    <a:stretch>
                      <a:fillRect/>
                    </a:stretch>
                  </pic:blipFill>
                  <pic:spPr bwMode="auto">
                    <a:xfrm>
                      <a:off x="0" y="0"/>
                      <a:ext cx="31750" cy="4508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-31750</wp:posOffset>
            </wp:positionV>
            <wp:extent cx="31750" cy="4508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4">
                      <a:extLst>
                        <a:ext uri="{28A0092B-C50C-407E-A947-70E740481C1C}"/>
                      </a:extLst>
                    </a:blip>
                    <a:srcRect/>
                    <a:stretch>
                      <a:fillRect/>
                    </a:stretch>
                  </pic:blipFill>
                  <pic:spPr bwMode="auto">
                    <a:xfrm>
                      <a:off x="0" y="0"/>
                      <a:ext cx="31750" cy="45085"/>
                    </a:xfrm>
                    <a:prstGeom prst="rect">
                      <a:avLst/>
                    </a:prstGeom>
                    <a:noFill/>
                  </pic:spPr>
                </pic:pic>
              </a:graphicData>
            </a:graphic>
          </wp:anchor>
        </w:drawing>
      </w:r>
    </w:p>
    <w:p>
      <w:pPr>
        <w:spacing w:after="0" w:line="50" w:lineRule="exact"/>
        <w:rPr>
          <w:sz w:val="20"/>
          <w:szCs w:val="20"/>
          <w:color w:val="auto"/>
        </w:rPr>
      </w:pPr>
    </w:p>
    <w:p>
      <w:pPr>
        <w:ind w:left="5"/>
        <w:spacing w:after="0"/>
        <w:rPr>
          <w:sz w:val="20"/>
          <w:szCs w:val="20"/>
          <w:color w:val="auto"/>
        </w:rPr>
      </w:pPr>
      <w:r>
        <w:rPr>
          <w:rFonts w:ascii="Times New Roman" w:cs="Times New Roman" w:eastAsia="Times New Roman" w:hAnsi="Times New Roman"/>
          <w:sz w:val="13"/>
          <w:szCs w:val="13"/>
          <w:color w:val="auto"/>
        </w:rPr>
        <w:t>The following notes to the table above provide important calculations showing how certain values are determined.</w:t>
      </w:r>
    </w:p>
    <w:p>
      <w:pPr>
        <w:spacing w:after="0" w:line="67" w:lineRule="exact"/>
        <w:rPr>
          <w:sz w:val="20"/>
          <w:szCs w:val="20"/>
          <w:color w:val="auto"/>
        </w:rPr>
      </w:pPr>
    </w:p>
    <w:p>
      <w:pPr>
        <w:jc w:val="both"/>
        <w:ind w:left="265" w:right="2999" w:hanging="265"/>
        <w:spacing w:after="0" w:line="219" w:lineRule="auto"/>
        <w:tabs>
          <w:tab w:leader="none" w:pos="265" w:val="left"/>
        </w:tabs>
        <w:numPr>
          <w:ilvl w:val="0"/>
          <w:numId w:val="90"/>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Segment Index Performance is equal to the percentage change in the Closing Value of the Index measured from the Segment Start Date to the date of the Index substitution. Segment Index Performance is calculated as follows:</w:t>
      </w:r>
    </w:p>
    <w:p>
      <w:pPr>
        <w:spacing w:after="0" w:line="42" w:lineRule="exact"/>
        <w:rPr>
          <w:sz w:val="20"/>
          <w:szCs w:val="20"/>
          <w:color w:val="auto"/>
        </w:rPr>
      </w:pPr>
    </w:p>
    <w:p>
      <w:pPr>
        <w:jc w:val="center"/>
        <w:ind w:right="2974"/>
        <w:spacing w:after="0"/>
        <w:rPr>
          <w:sz w:val="20"/>
          <w:szCs w:val="20"/>
          <w:color w:val="auto"/>
        </w:rPr>
      </w:pPr>
      <w:r>
        <w:rPr>
          <w:rFonts w:ascii="Times New Roman" w:cs="Times New Roman" w:eastAsia="Times New Roman" w:hAnsi="Times New Roman"/>
          <w:sz w:val="14"/>
          <w:szCs w:val="14"/>
          <w:color w:val="auto"/>
        </w:rPr>
        <w:t>(1330 [Value of Index at date of substitution] — 1400 [Value of Index at Segment Start Date])</w:t>
      </w:r>
    </w:p>
    <w:p>
      <w:pPr>
        <w:spacing w:after="0" w:line="7" w:lineRule="exact"/>
        <w:rPr>
          <w:sz w:val="20"/>
          <w:szCs w:val="20"/>
          <w:color w:val="auto"/>
        </w:rPr>
      </w:pPr>
    </w:p>
    <w:p>
      <w:pPr>
        <w:jc w:val="center"/>
        <w:ind w:right="2934"/>
        <w:spacing w:after="0"/>
        <w:rPr>
          <w:sz w:val="20"/>
          <w:szCs w:val="20"/>
          <w:color w:val="auto"/>
        </w:rPr>
      </w:pPr>
      <w:r>
        <w:rPr>
          <w:rFonts w:ascii="Times New Roman" w:cs="Times New Roman" w:eastAsia="Times New Roman" w:hAnsi="Times New Roman"/>
          <w:sz w:val="14"/>
          <w:szCs w:val="14"/>
          <w:color w:val="auto"/>
        </w:rPr>
        <w:t>÷ 1400 [Value of Index at Segment Start Date]) = –5%</w:t>
      </w:r>
    </w:p>
    <w:p>
      <w:pPr>
        <w:ind w:left="5"/>
        <w:spacing w:after="0" w:line="191" w:lineRule="auto"/>
        <w:rPr>
          <w:sz w:val="20"/>
          <w:szCs w:val="20"/>
          <w:color w:val="auto"/>
        </w:rPr>
      </w:pPr>
      <w:r>
        <w:rPr>
          <w:rFonts w:ascii="Times New Roman" w:cs="Times New Roman" w:eastAsia="Times New Roman" w:hAnsi="Times New Roman"/>
          <w:sz w:val="6"/>
          <w:szCs w:val="6"/>
          <w:color w:val="auto"/>
        </w:rPr>
        <w:t>(2)</w:t>
      </w:r>
    </w:p>
    <w:p>
      <w:pPr>
        <w:jc w:val="both"/>
        <w:ind w:left="265" w:right="2999"/>
        <w:spacing w:after="0" w:line="228" w:lineRule="auto"/>
        <w:rPr>
          <w:sz w:val="20"/>
          <w:szCs w:val="20"/>
          <w:color w:val="auto"/>
        </w:rPr>
      </w:pPr>
      <w:r>
        <w:rPr>
          <w:rFonts w:ascii="Times New Roman" w:cs="Times New Roman" w:eastAsia="Times New Roman" w:hAnsi="Times New Roman"/>
          <w:sz w:val="14"/>
          <w:szCs w:val="14"/>
          <w:color w:val="auto"/>
        </w:rPr>
        <w:t>Segment Index Performance is equal to the percentage change in the Closing Value of the Index measured from the date of the Index substitution to the Segment Maturity Date. Segment Index Performance is calculated as follows:</w:t>
      </w:r>
    </w:p>
    <w:p>
      <w:pPr>
        <w:spacing w:after="0" w:line="41" w:lineRule="exact"/>
        <w:rPr>
          <w:sz w:val="20"/>
          <w:szCs w:val="20"/>
          <w:color w:val="auto"/>
        </w:rPr>
      </w:pPr>
    </w:p>
    <w:p>
      <w:pPr>
        <w:ind w:left="325"/>
        <w:spacing w:after="0"/>
        <w:rPr>
          <w:sz w:val="20"/>
          <w:szCs w:val="20"/>
          <w:color w:val="auto"/>
        </w:rPr>
      </w:pPr>
      <w:r>
        <w:rPr>
          <w:rFonts w:ascii="Times New Roman" w:cs="Times New Roman" w:eastAsia="Times New Roman" w:hAnsi="Times New Roman"/>
          <w:sz w:val="14"/>
          <w:szCs w:val="14"/>
          <w:color w:val="auto"/>
        </w:rPr>
        <w:t>(1375 [Value of Index at Segment Maturity Date] — 1250 [Value of Index at date of the substitution])</w:t>
      </w:r>
    </w:p>
    <w:p>
      <w:pPr>
        <w:spacing w:after="0" w:line="7" w:lineRule="exact"/>
        <w:rPr>
          <w:sz w:val="20"/>
          <w:szCs w:val="20"/>
          <w:color w:val="auto"/>
        </w:rPr>
      </w:pPr>
    </w:p>
    <w:p>
      <w:pPr>
        <w:ind w:left="1765" w:hanging="107"/>
        <w:spacing w:after="0"/>
        <w:tabs>
          <w:tab w:leader="none" w:pos="1765" w:val="left"/>
        </w:tabs>
        <w:numPr>
          <w:ilvl w:val="1"/>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1250 [Value of Index at date of substitution]) = 10%</w:t>
      </w:r>
    </w:p>
    <w:p>
      <w:pPr>
        <w:spacing w:after="0" w:line="15" w:lineRule="exact"/>
        <w:rPr>
          <w:rFonts w:ascii="Times New Roman" w:cs="Times New Roman" w:eastAsia="Times New Roman" w:hAnsi="Times New Roman"/>
          <w:sz w:val="14"/>
          <w:szCs w:val="14"/>
          <w:color w:val="auto"/>
        </w:rPr>
      </w:pPr>
    </w:p>
    <w:p>
      <w:pPr>
        <w:jc w:val="both"/>
        <w:ind w:left="265" w:right="2999" w:hanging="265"/>
        <w:spacing w:after="0" w:line="210" w:lineRule="auto"/>
        <w:tabs>
          <w:tab w:leader="none" w:pos="265" w:val="left"/>
        </w:tabs>
        <w:numPr>
          <w:ilvl w:val="0"/>
          <w:numId w:val="91"/>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Since there was an Index substitution from the S&amp;P 500</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4"/>
          <w:szCs w:val="14"/>
          <w:color w:val="auto"/>
        </w:rPr>
        <w:t xml:space="preserve"> Index (initial Index) to the Russell 2000</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4"/>
          <w:szCs w:val="14"/>
          <w:color w:val="auto"/>
        </w:rPr>
        <w:t xml:space="preserve"> Index (substituted Index), the total Segment Index Performance for the Segment Term is equal to the S&amp;P 500</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4"/>
          <w:szCs w:val="14"/>
          <w:color w:val="auto"/>
        </w:rPr>
        <w:t xml:space="preserve"> Index Value at Index substitution date divided by the S&amp;P 500</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4"/>
          <w:szCs w:val="14"/>
          <w:color w:val="auto"/>
        </w:rPr>
        <w:t xml:space="preserve"> Index Value at Segment Start Date multiplied by the Russell 2000® Index</w:t>
      </w:r>
    </w:p>
    <w:p>
      <w:pPr>
        <w:spacing w:after="0" w:line="194" w:lineRule="exact"/>
        <w:rPr>
          <w:sz w:val="20"/>
          <w:szCs w:val="20"/>
          <w:color w:val="auto"/>
        </w:rPr>
      </w:pPr>
    </w:p>
    <w:p>
      <w:pPr>
        <w:ind w:left="3045"/>
        <w:spacing w:after="0"/>
        <w:rPr>
          <w:sz w:val="20"/>
          <w:szCs w:val="20"/>
          <w:color w:val="auto"/>
        </w:rPr>
      </w:pPr>
      <w:r>
        <w:rPr>
          <w:rFonts w:ascii="Times New Roman" w:cs="Times New Roman" w:eastAsia="Times New Roman" w:hAnsi="Times New Roman"/>
          <w:sz w:val="14"/>
          <w:szCs w:val="14"/>
          <w:color w:val="auto"/>
        </w:rPr>
        <w:t>B-1</w:t>
      </w:r>
    </w:p>
    <w:p>
      <w:pPr>
        <w:sectPr>
          <w:pgSz w:w="11900" w:h="16838" w:orient="portrait"/>
          <w:cols w:equalWidth="0" w:num="1">
            <w:col w:w="9224"/>
          </w:cols>
          <w:pgMar w:left="1235" w:top="1079" w:right="1440" w:bottom="1440" w:gutter="0" w:footer="0" w:header="0"/>
        </w:sectPr>
      </w:pPr>
    </w:p>
    <w:bookmarkStart w:id="82" w:name="page83"/>
    <w:bookmarkEnd w:id="82"/>
    <w:p>
      <w:pPr>
        <w:ind w:left="26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179070</wp:posOffset>
            </wp:positionH>
            <wp:positionV relativeFrom="page">
              <wp:posOffset>422275</wp:posOffset>
            </wp:positionV>
            <wp:extent cx="719010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5">
                      <a:extLst>
                        <a:ext uri="{28A0092B-C50C-407E-A947-70E740481C1C}"/>
                      </a:extLst>
                    </a:blip>
                    <a:srcRect/>
                    <a:stretch>
                      <a:fillRect/>
                    </a:stretch>
                  </pic:blipFill>
                  <pic:spPr bwMode="auto">
                    <a:xfrm>
                      <a:off x="0" y="0"/>
                      <a:ext cx="7190105" cy="38735"/>
                    </a:xfrm>
                    <a:prstGeom prst="rect">
                      <a:avLst/>
                    </a:prstGeom>
                    <a:noFill/>
                  </pic:spPr>
                </pic:pic>
              </a:graphicData>
            </a:graphic>
          </wp:anchor>
        </w:drawing>
        <w:t>Value at Segment Maturity Date divided by the Russell 2000</w:t>
      </w:r>
      <w:r>
        <w:rPr>
          <w:rFonts w:ascii="Times New Roman" w:cs="Times New Roman" w:eastAsia="Times New Roman" w:hAnsi="Times New Roman"/>
          <w:sz w:val="16"/>
          <w:szCs w:val="16"/>
          <w:color w:val="auto"/>
          <w:vertAlign w:val="superscript"/>
        </w:rPr>
        <w:t>®</w:t>
      </w:r>
      <w:r>
        <w:rPr>
          <w:rFonts w:ascii="Times New Roman" w:cs="Times New Roman" w:eastAsia="Times New Roman" w:hAnsi="Times New Roman"/>
          <w:sz w:val="13"/>
          <w:szCs w:val="13"/>
          <w:color w:val="auto"/>
        </w:rPr>
        <w:t xml:space="preserve"> Index Value at the Index substitution date –1.</w:t>
      </w:r>
    </w:p>
    <w:p>
      <w:pPr>
        <w:spacing w:after="0" w:line="1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Total Segment Index Performance for the Segment Term is calculated as follows:</w:t>
      </w:r>
    </w:p>
    <w:p>
      <w:pPr>
        <w:spacing w:after="0" w:line="3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(1330 [initial Index Value at Index substitution date] ÷ 1400 [initial Index Value at Segment Start Date])</w:t>
      </w:r>
    </w:p>
    <w:p>
      <w:pPr>
        <w:ind w:left="60"/>
        <w:spacing w:after="0"/>
        <w:rPr>
          <w:sz w:val="20"/>
          <w:szCs w:val="20"/>
          <w:color w:val="auto"/>
        </w:rPr>
      </w:pPr>
      <w:r>
        <w:rPr>
          <w:rFonts w:ascii="Times New Roman" w:cs="Times New Roman" w:eastAsia="Times New Roman" w:hAnsi="Times New Roman"/>
          <w:sz w:val="13"/>
          <w:szCs w:val="13"/>
          <w:color w:val="auto"/>
        </w:rPr>
        <w:t>x (1375 [substituted Index Value at Segment Maturity Date] ÷ 1250 [substituted Index at substitution date]) –1 =</w:t>
      </w:r>
    </w:p>
    <w:p>
      <w:pPr>
        <w:ind w:left="3000"/>
        <w:spacing w:after="0"/>
        <w:rPr>
          <w:sz w:val="20"/>
          <w:szCs w:val="20"/>
          <w:color w:val="auto"/>
        </w:rPr>
      </w:pPr>
      <w:r>
        <w:rPr>
          <w:rFonts w:ascii="Times New Roman" w:cs="Times New Roman" w:eastAsia="Times New Roman" w:hAnsi="Times New Roman"/>
          <w:sz w:val="14"/>
          <w:szCs w:val="14"/>
          <w:color w:val="auto"/>
        </w:rPr>
        <w:t>4.5%</w:t>
      </w:r>
    </w:p>
    <w:p>
      <w:pPr>
        <w:spacing w:after="0"/>
        <w:rPr>
          <w:sz w:val="20"/>
          <w:szCs w:val="20"/>
          <w:color w:val="auto"/>
        </w:rPr>
      </w:pPr>
      <w:r>
        <w:rPr>
          <w:rFonts w:ascii="Times New Roman" w:cs="Times New Roman" w:eastAsia="Times New Roman" w:hAnsi="Times New Roman"/>
          <w:sz w:val="4"/>
          <w:szCs w:val="4"/>
          <w:color w:val="auto"/>
        </w:rPr>
        <w:t>(4)</w:t>
      </w:r>
    </w:p>
    <w:p>
      <w:pPr>
        <w:spacing w:after="0" w:line="4" w:lineRule="exact"/>
        <w:rPr>
          <w:sz w:val="20"/>
          <w:szCs w:val="20"/>
          <w:color w:val="auto"/>
        </w:rPr>
      </w:pPr>
    </w:p>
    <w:p>
      <w:pPr>
        <w:ind w:left="260" w:right="2999"/>
        <w:spacing w:after="0" w:line="231" w:lineRule="auto"/>
        <w:rPr>
          <w:sz w:val="20"/>
          <w:szCs w:val="20"/>
          <w:color w:val="auto"/>
        </w:rPr>
      </w:pPr>
      <w:r>
        <w:rPr>
          <w:rFonts w:ascii="Times New Roman" w:cs="Times New Roman" w:eastAsia="Times New Roman" w:hAnsi="Times New Roman"/>
          <w:sz w:val="14"/>
          <w:szCs w:val="14"/>
          <w:color w:val="auto"/>
        </w:rPr>
        <w:t>The Segment Performance Rate is equal to the Segment Index Performance (4.50%) because the total Segment Index Performance for the Segment Term is greater than zero and less than the Cap Rate.</w:t>
      </w:r>
    </w:p>
    <w:p>
      <w:pPr>
        <w:spacing w:after="0"/>
        <w:rPr>
          <w:sz w:val="20"/>
          <w:szCs w:val="20"/>
          <w:color w:val="auto"/>
        </w:rPr>
      </w:pPr>
      <w:r>
        <w:rPr>
          <w:rFonts w:ascii="Times New Roman" w:cs="Times New Roman" w:eastAsia="Times New Roman" w:hAnsi="Times New Roman"/>
          <w:sz w:val="4"/>
          <w:szCs w:val="4"/>
          <w:color w:val="auto"/>
        </w:rPr>
        <w:t>(5)</w:t>
      </w:r>
    </w:p>
    <w:p>
      <w:pPr>
        <w:spacing w:after="0" w:line="4" w:lineRule="exact"/>
        <w:rPr>
          <w:sz w:val="20"/>
          <w:szCs w:val="20"/>
          <w:color w:val="auto"/>
        </w:rPr>
      </w:pPr>
    </w:p>
    <w:p>
      <w:pPr>
        <w:jc w:val="both"/>
        <w:ind w:left="260" w:right="2999"/>
        <w:spacing w:after="0" w:line="222" w:lineRule="auto"/>
        <w:rPr>
          <w:sz w:val="20"/>
          <w:szCs w:val="20"/>
          <w:color w:val="auto"/>
        </w:rPr>
      </w:pPr>
      <w:r>
        <w:rPr>
          <w:rFonts w:ascii="Times New Roman" w:cs="Times New Roman" w:eastAsia="Times New Roman" w:hAnsi="Times New Roman"/>
          <w:sz w:val="14"/>
          <w:szCs w:val="14"/>
          <w:color w:val="auto"/>
        </w:rPr>
        <w:t>The Segment Credit is equal to the product of the current Segment Value (Segment Value at the Segment Start Date adjusted for any loans and Accelerated Death Benefit payment; there are no adjustments in the</w:t>
      </w:r>
    </w:p>
    <w:p>
      <w:pPr>
        <w:ind w:left="260"/>
        <w:spacing w:after="0"/>
        <w:rPr>
          <w:sz w:val="20"/>
          <w:szCs w:val="20"/>
          <w:color w:val="auto"/>
        </w:rPr>
      </w:pPr>
      <w:r>
        <w:rPr>
          <w:rFonts w:ascii="Times New Roman" w:cs="Times New Roman" w:eastAsia="Times New Roman" w:hAnsi="Times New Roman"/>
          <w:sz w:val="14"/>
          <w:szCs w:val="14"/>
          <w:color w:val="auto"/>
        </w:rPr>
        <w:t>example) multiplied by the Segment Performance Rate. The Segment Credit is calculated as follows:</w:t>
      </w:r>
    </w:p>
    <w:p>
      <w:pPr>
        <w:spacing w:after="0" w:line="3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$100,000 [current Segment Value] x 4.5% [Segment Performance Rate] = $4,500</w:t>
      </w:r>
    </w:p>
    <w:p>
      <w:pPr>
        <w:spacing w:after="0" w:line="204" w:lineRule="auto"/>
        <w:rPr>
          <w:sz w:val="20"/>
          <w:szCs w:val="20"/>
          <w:color w:val="auto"/>
        </w:rPr>
      </w:pPr>
      <w:r>
        <w:rPr>
          <w:rFonts w:ascii="Times New Roman" w:cs="Times New Roman" w:eastAsia="Times New Roman" w:hAnsi="Times New Roman"/>
          <w:sz w:val="6"/>
          <w:szCs w:val="6"/>
          <w:color w:val="auto"/>
        </w:rPr>
        <w:t>(6)</w:t>
      </w:r>
    </w:p>
    <w:p>
      <w:pPr>
        <w:ind w:left="260"/>
        <w:spacing w:after="0"/>
        <w:rPr>
          <w:sz w:val="20"/>
          <w:szCs w:val="20"/>
          <w:color w:val="auto"/>
        </w:rPr>
      </w:pPr>
      <w:r>
        <w:rPr>
          <w:rFonts w:ascii="Times New Roman" w:cs="Times New Roman" w:eastAsia="Times New Roman" w:hAnsi="Times New Roman"/>
          <w:sz w:val="13"/>
          <w:szCs w:val="13"/>
          <w:color w:val="auto"/>
        </w:rPr>
        <w:t>The Segment Value at Segment Maturity Date is equal to the current Segment Value (Segment Value at the</w:t>
      </w:r>
    </w:p>
    <w:p>
      <w:pPr>
        <w:spacing w:after="0" w:line="5" w:lineRule="exact"/>
        <w:rPr>
          <w:sz w:val="20"/>
          <w:szCs w:val="20"/>
          <w:color w:val="auto"/>
        </w:rPr>
      </w:pPr>
    </w:p>
    <w:p>
      <w:pPr>
        <w:jc w:val="both"/>
        <w:ind w:left="260" w:right="2999"/>
        <w:spacing w:after="0" w:line="228" w:lineRule="auto"/>
        <w:rPr>
          <w:sz w:val="20"/>
          <w:szCs w:val="20"/>
          <w:color w:val="auto"/>
        </w:rPr>
      </w:pPr>
      <w:r>
        <w:rPr>
          <w:rFonts w:ascii="Times New Roman" w:cs="Times New Roman" w:eastAsia="Times New Roman" w:hAnsi="Times New Roman"/>
          <w:sz w:val="14"/>
          <w:szCs w:val="14"/>
          <w:color w:val="auto"/>
        </w:rPr>
        <w:t>Segment Start Date adjusted for any loans and Accelerated Death Benefit payment; there are no adjustments in the example) plus the Segment Credit. The Segment Value at Segment Maturity Date is calculated as follows:</w:t>
      </w:r>
    </w:p>
    <w:p>
      <w:pPr>
        <w:spacing w:after="0" w:line="3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4"/>
          <w:szCs w:val="14"/>
          <w:color w:val="auto"/>
        </w:rPr>
        <w:t>$100,000 [current Segment Value] + $4,500 [Segment Credit] = $104,500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4"/>
          <w:szCs w:val="14"/>
          <w:color w:val="auto"/>
        </w:rPr>
        <w:t>B-2</w:t>
      </w:r>
    </w:p>
    <w:p>
      <w:pPr>
        <w:sectPr>
          <w:pgSz w:w="11900" w:h="16838" w:orient="portrait"/>
          <w:cols w:equalWidth="0" w:num="1">
            <w:col w:w="9219"/>
          </w:cols>
          <w:pgMar w:left="1240" w:top="1058" w:right="1440" w:bottom="1440" w:gutter="0" w:footer="0" w:header="0"/>
        </w:sectPr>
      </w:pPr>
    </w:p>
    <w:bookmarkStart w:id="83" w:name="page84"/>
    <w:bookmarkEnd w:id="83"/>
    <w:p>
      <w:pPr>
        <w:jc w:val="center"/>
        <w:ind w:right="293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422275</wp:posOffset>
            </wp:positionV>
            <wp:extent cx="7190105"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6">
                      <a:extLst>
                        <a:ext uri="{28A0092B-C50C-407E-A947-70E740481C1C}"/>
                      </a:extLst>
                    </a:blip>
                    <a:srcRect/>
                    <a:stretch>
                      <a:fillRect/>
                    </a:stretch>
                  </pic:blipFill>
                  <pic:spPr bwMode="auto">
                    <a:xfrm>
                      <a:off x="0" y="0"/>
                      <a:ext cx="7190105" cy="38735"/>
                    </a:xfrm>
                    <a:prstGeom prst="rect">
                      <a:avLst/>
                    </a:prstGeom>
                    <a:noFill/>
                  </pic:spPr>
                </pic:pic>
              </a:graphicData>
            </a:graphic>
          </wp:anchor>
        </w:drawing>
        <w:t>APPENDIX C</w:t>
      </w:r>
    </w:p>
    <w:p>
      <w:pPr>
        <w:spacing w:after="0" w:line="96" w:lineRule="exact"/>
        <w:rPr>
          <w:sz w:val="20"/>
          <w:szCs w:val="20"/>
          <w:color w:val="auto"/>
        </w:rPr>
      </w:pPr>
    </w:p>
    <w:p>
      <w:pPr>
        <w:jc w:val="center"/>
        <w:ind w:right="2939"/>
        <w:spacing w:after="0"/>
        <w:rPr>
          <w:sz w:val="20"/>
          <w:szCs w:val="20"/>
          <w:color w:val="auto"/>
        </w:rPr>
      </w:pPr>
      <w:r>
        <w:rPr>
          <w:rFonts w:ascii="Times New Roman" w:cs="Times New Roman" w:eastAsia="Times New Roman" w:hAnsi="Times New Roman"/>
          <w:sz w:val="14"/>
          <w:szCs w:val="14"/>
          <w:b w:val="1"/>
          <w:bCs w:val="1"/>
          <w:color w:val="auto"/>
        </w:rPr>
        <w:t>THE FIXED ACCOUNT</w:t>
      </w:r>
    </w:p>
    <w:p>
      <w:pPr>
        <w:spacing w:after="0" w:line="90" w:lineRule="exact"/>
        <w:rPr>
          <w:sz w:val="20"/>
          <w:szCs w:val="20"/>
          <w:color w:val="auto"/>
        </w:rPr>
      </w:pPr>
    </w:p>
    <w:p>
      <w:pPr>
        <w:jc w:val="both"/>
        <w:ind w:right="2939" w:firstLine="274"/>
        <w:spacing w:after="0" w:line="256" w:lineRule="auto"/>
        <w:rPr>
          <w:sz w:val="20"/>
          <w:szCs w:val="20"/>
          <w:color w:val="auto"/>
        </w:rPr>
      </w:pPr>
      <w:r>
        <w:rPr>
          <w:rFonts w:ascii="Times New Roman" w:cs="Times New Roman" w:eastAsia="Times New Roman" w:hAnsi="Times New Roman"/>
          <w:sz w:val="14"/>
          <w:szCs w:val="14"/>
          <w:color w:val="auto"/>
        </w:rPr>
        <w:t>The Fixed Account is a funding option and is part of BLIC’s General Account assets. These General Account assets include all assets of BLIC other than those held in the Separate Accounts sponsored by BLIC or its affiliates.</w:t>
      </w:r>
    </w:p>
    <w:p>
      <w:pPr>
        <w:spacing w:after="0" w:line="71" w:lineRule="exact"/>
        <w:rPr>
          <w:sz w:val="20"/>
          <w:szCs w:val="20"/>
          <w:color w:val="auto"/>
        </w:rPr>
      </w:pPr>
    </w:p>
    <w:p>
      <w:pPr>
        <w:jc w:val="both"/>
        <w:ind w:right="2939" w:firstLine="274"/>
        <w:spacing w:after="0" w:line="251" w:lineRule="auto"/>
        <w:rPr>
          <w:sz w:val="20"/>
          <w:szCs w:val="20"/>
          <w:color w:val="auto"/>
        </w:rPr>
      </w:pPr>
      <w:r>
        <w:rPr>
          <w:rFonts w:ascii="Times New Roman" w:cs="Times New Roman" w:eastAsia="Times New Roman" w:hAnsi="Times New Roman"/>
          <w:sz w:val="14"/>
          <w:szCs w:val="14"/>
          <w:color w:val="auto"/>
        </w:rPr>
        <w:t>Any interest in the Fixed Account is not a security under the Securities Act of 1933 and the Fixed Account is not registered under or regulated by the Investment Company Act of 1940. Accordingly, the Fixed Account is not offered by virtue of the prospectus. Disclosure regarding the Fixed Account and the General Account is, however, subject to certain provisions of the Federal securities laws relating to the accuracy and completeness of statements made in the prospectus.</w:t>
      </w:r>
    </w:p>
    <w:p>
      <w:pPr>
        <w:spacing w:after="0" w:line="74" w:lineRule="exact"/>
        <w:rPr>
          <w:sz w:val="20"/>
          <w:szCs w:val="20"/>
          <w:color w:val="auto"/>
        </w:rPr>
      </w:pPr>
    </w:p>
    <w:p>
      <w:pPr>
        <w:jc w:val="both"/>
        <w:ind w:right="2939" w:firstLine="274"/>
        <w:spacing w:after="0" w:line="252" w:lineRule="auto"/>
        <w:rPr>
          <w:sz w:val="20"/>
          <w:szCs w:val="20"/>
          <w:color w:val="auto"/>
        </w:rPr>
      </w:pPr>
      <w:r>
        <w:rPr>
          <w:rFonts w:ascii="Times New Roman" w:cs="Times New Roman" w:eastAsia="Times New Roman" w:hAnsi="Times New Roman"/>
          <w:sz w:val="14"/>
          <w:szCs w:val="14"/>
          <w:color w:val="auto"/>
        </w:rPr>
        <w:t>Under the Fixed Account, BLIC assumes the risk of investment gain or loss and guarantees a specified interest rate. We guarantee that, at any time, the Fixed Account Cash Value will not be less than the amount of the premium payments allocated to the Fixed Account, plus interest credited as described below, less any applicable premium taxes.</w:t>
      </w:r>
    </w:p>
    <w:p>
      <w:pPr>
        <w:spacing w:after="0" w:line="64" w:lineRule="exact"/>
        <w:rPr>
          <w:sz w:val="20"/>
          <w:szCs w:val="20"/>
          <w:color w:val="auto"/>
        </w:rPr>
      </w:pPr>
    </w:p>
    <w:p>
      <w:pPr>
        <w:jc w:val="both"/>
        <w:ind w:right="2939" w:firstLine="274"/>
        <w:spacing w:after="0" w:line="251" w:lineRule="auto"/>
        <w:rPr>
          <w:sz w:val="20"/>
          <w:szCs w:val="20"/>
          <w:color w:val="auto"/>
        </w:rPr>
      </w:pPr>
      <w:r>
        <w:rPr>
          <w:rFonts w:ascii="Times New Roman" w:cs="Times New Roman" w:eastAsia="Times New Roman" w:hAnsi="Times New Roman"/>
          <w:sz w:val="14"/>
          <w:szCs w:val="14"/>
          <w:color w:val="auto"/>
        </w:rPr>
        <w:t>Cash Value allocated to the Fixed Account and any transfers made to the Fixed Account become part of BLIC’s General Account, which supports insurance obligations. The General Account and any interest therein is not registered under, or subject to the provisions of, the Securities Act of 1933 or Investment Company Act of 1940. We will invest the assets of the Fixed Account at our discretion. Investment income from such Fixed Account assets will be allocated to us and to the Policies participating in the Fixed Account.</w:t>
      </w:r>
    </w:p>
    <w:p>
      <w:pPr>
        <w:spacing w:after="0" w:line="63" w:lineRule="exact"/>
        <w:rPr>
          <w:sz w:val="20"/>
          <w:szCs w:val="20"/>
          <w:color w:val="auto"/>
        </w:rPr>
      </w:pPr>
    </w:p>
    <w:p>
      <w:pPr>
        <w:jc w:val="both"/>
        <w:ind w:right="2939" w:firstLine="274"/>
        <w:spacing w:after="0" w:line="256" w:lineRule="auto"/>
        <w:rPr>
          <w:sz w:val="20"/>
          <w:szCs w:val="20"/>
          <w:color w:val="auto"/>
        </w:rPr>
      </w:pPr>
      <w:r>
        <w:rPr>
          <w:rFonts w:ascii="Times New Roman" w:cs="Times New Roman" w:eastAsia="Times New Roman" w:hAnsi="Times New Roman"/>
          <w:sz w:val="14"/>
          <w:szCs w:val="14"/>
          <w:color w:val="auto"/>
        </w:rPr>
        <w:t>Investment income from the Fixed Account allocated to us includes compensation for risks borne by us in connection with Fixed Account Policies. The amount of such investment income allocated to the Policies will vary from year to year in our sole discretion at such rate or rates as we prospectively declare from time to time.</w:t>
      </w:r>
    </w:p>
    <w:p>
      <w:pPr>
        <w:spacing w:after="0" w:line="61" w:lineRule="exact"/>
        <w:rPr>
          <w:sz w:val="20"/>
          <w:szCs w:val="20"/>
          <w:color w:val="auto"/>
        </w:rPr>
      </w:pPr>
    </w:p>
    <w:p>
      <w:pPr>
        <w:jc w:val="both"/>
        <w:ind w:right="2939" w:firstLine="274"/>
        <w:spacing w:after="0" w:line="248" w:lineRule="auto"/>
        <w:rPr>
          <w:sz w:val="20"/>
          <w:szCs w:val="20"/>
          <w:color w:val="auto"/>
        </w:rPr>
      </w:pPr>
      <w:r>
        <w:rPr>
          <w:rFonts w:ascii="Times New Roman" w:cs="Times New Roman" w:eastAsia="Times New Roman" w:hAnsi="Times New Roman"/>
          <w:sz w:val="14"/>
          <w:szCs w:val="14"/>
          <w:color w:val="auto"/>
        </w:rPr>
        <w:t>We guarantee that for the life of the Policy interest credited to your Fixed Account Cash Value beginning on the date we issue the Policy will not be accumulated at less than the Fixed Account Guaranteed Minimum Interest Rate allowed by state law. The current Fixed Account Guaranteed Minimum Interest Rate for any Policy we offer will not be less than 1%. We reserve the right to change the rate, at any time, subject to applicable state law. We will determine any interest we credit to amounts allocated to the Fixed Account in excess of the Fixed Account Guaranteed Minimum Interest Rate at our sole discretion. You assume the risk that interest credited to the Fixed Account may not exceed the Fixed Account Guaranteed Minimum Interest Rate for any given year. We have no specific formula for determining the interest rate. Some factors we may consider are regulatory and tax requirements, general economic trends and competitive factors.</w:t>
      </w:r>
    </w:p>
    <w:p>
      <w:pPr>
        <w:spacing w:after="0" w:line="62" w:lineRule="exact"/>
        <w:rPr>
          <w:sz w:val="20"/>
          <w:szCs w:val="20"/>
          <w:color w:val="auto"/>
        </w:rPr>
      </w:pPr>
    </w:p>
    <w:p>
      <w:pPr>
        <w:jc w:val="both"/>
        <w:ind w:right="2939" w:firstLine="274"/>
        <w:spacing w:after="0" w:line="276" w:lineRule="auto"/>
        <w:rPr>
          <w:sz w:val="20"/>
          <w:szCs w:val="20"/>
          <w:color w:val="auto"/>
        </w:rPr>
      </w:pPr>
      <w:r>
        <w:rPr>
          <w:rFonts w:ascii="Times New Roman" w:cs="Times New Roman" w:eastAsia="Times New Roman" w:hAnsi="Times New Roman"/>
          <w:sz w:val="13"/>
          <w:szCs w:val="13"/>
          <w:i w:val="1"/>
          <w:iCs w:val="1"/>
          <w:color w:val="auto"/>
        </w:rPr>
        <w:t xml:space="preserve">Fixed Account Cash Value. </w:t>
      </w:r>
      <w:r>
        <w:rPr>
          <w:rFonts w:ascii="Times New Roman" w:cs="Times New Roman" w:eastAsia="Times New Roman" w:hAnsi="Times New Roman"/>
          <w:sz w:val="13"/>
          <w:szCs w:val="13"/>
          <w:color w:val="auto"/>
        </w:rPr>
        <w:t>We credit interest to the portion of the Cash Value allocated to the Fixed Account.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(See “Interest Crediting” below.) The Fixed Account is part of our General Account. We guarantee that the interest credited to your initial allocation to the Fixed Account beginning on the date we issue the Policy will not be accumulated at less than the Fixed Account Guaranteed Minimum Interest Rate. However, we can change the interest rate at any time and such rate will not be less than the Fixed Account Guaranteed Minimum Interest Rate.</w:t>
      </w:r>
    </w:p>
    <w:p>
      <w:pPr>
        <w:spacing w:after="0" w:line="50" w:lineRule="exact"/>
        <w:rPr>
          <w:sz w:val="20"/>
          <w:szCs w:val="20"/>
          <w:color w:val="auto"/>
        </w:rPr>
      </w:pPr>
    </w:p>
    <w:p>
      <w:pPr>
        <w:jc w:val="both"/>
        <w:ind w:right="2939" w:firstLine="274"/>
        <w:spacing w:after="0" w:line="267" w:lineRule="auto"/>
        <w:rPr>
          <w:sz w:val="20"/>
          <w:szCs w:val="20"/>
          <w:color w:val="auto"/>
        </w:rPr>
      </w:pPr>
      <w:r>
        <w:rPr>
          <w:rFonts w:ascii="Times New Roman" w:cs="Times New Roman" w:eastAsia="Times New Roman" w:hAnsi="Times New Roman"/>
          <w:sz w:val="14"/>
          <w:szCs w:val="14"/>
          <w:color w:val="auto"/>
        </w:rPr>
        <w:t>The initial Fixed Account Cash Value is the portion of the Net Premium received and allocated to the Fixed Account, less the portion of the Annual Deduction charged to the Fixed Account.</w:t>
      </w:r>
    </w:p>
    <w:p>
      <w:pPr>
        <w:spacing w:after="0" w:line="5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On a Policy Anniversary, the Fixed Account Cash Value equals:</w:t>
      </w:r>
    </w:p>
    <w:p>
      <w:pPr>
        <w:spacing w:after="0" w:line="86" w:lineRule="exact"/>
        <w:rPr>
          <w:sz w:val="20"/>
          <w:szCs w:val="20"/>
          <w:color w:val="auto"/>
        </w:rPr>
      </w:pPr>
    </w:p>
    <w:p>
      <w:pPr>
        <w:ind w:left="440" w:hanging="171"/>
        <w:spacing w:after="0"/>
        <w:tabs>
          <w:tab w:leader="none" w:pos="44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Cash Value in the Fixed Account on the prior day; plus</w:t>
      </w:r>
    </w:p>
    <w:p>
      <w:pPr>
        <w:spacing w:after="0" w:line="85" w:lineRule="exact"/>
        <w:rPr>
          <w:rFonts w:ascii="Times New Roman" w:cs="Times New Roman" w:eastAsia="Times New Roman" w:hAnsi="Times New Roman"/>
          <w:sz w:val="14"/>
          <w:szCs w:val="14"/>
          <w:color w:val="auto"/>
        </w:rPr>
      </w:pPr>
    </w:p>
    <w:p>
      <w:pPr>
        <w:ind w:left="440" w:hanging="171"/>
        <w:spacing w:after="0"/>
        <w:tabs>
          <w:tab w:leader="none" w:pos="44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Fixed Account interest credited on such amount since the prior day; plus</w:t>
      </w:r>
    </w:p>
    <w:p>
      <w:pPr>
        <w:spacing w:after="0" w:line="85" w:lineRule="exact"/>
        <w:rPr>
          <w:rFonts w:ascii="Times New Roman" w:cs="Times New Roman" w:eastAsia="Times New Roman" w:hAnsi="Times New Roman"/>
          <w:sz w:val="14"/>
          <w:szCs w:val="14"/>
          <w:color w:val="auto"/>
        </w:rPr>
      </w:pPr>
    </w:p>
    <w:p>
      <w:pPr>
        <w:ind w:left="440" w:hanging="171"/>
        <w:spacing w:after="0"/>
        <w:tabs>
          <w:tab w:leader="none" w:pos="44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Net Premium paid on that date and allocated to the Fixed Account; plus</w:t>
      </w:r>
    </w:p>
    <w:p>
      <w:pPr>
        <w:spacing w:after="0" w:line="85" w:lineRule="exact"/>
        <w:rPr>
          <w:rFonts w:ascii="Times New Roman" w:cs="Times New Roman" w:eastAsia="Times New Roman" w:hAnsi="Times New Roman"/>
          <w:sz w:val="14"/>
          <w:szCs w:val="14"/>
          <w:color w:val="auto"/>
        </w:rPr>
      </w:pPr>
    </w:p>
    <w:p>
      <w:pPr>
        <w:ind w:left="440" w:right="3279" w:hanging="171"/>
        <w:spacing w:after="0" w:line="267" w:lineRule="auto"/>
        <w:tabs>
          <w:tab w:leader="none" w:pos="44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amount transferred from the Loan Account or an Indexed Account to the Fixed Account on that date; less</w:t>
      </w:r>
    </w:p>
    <w:p>
      <w:pPr>
        <w:spacing w:after="0" w:line="53" w:lineRule="exact"/>
        <w:rPr>
          <w:rFonts w:ascii="Times New Roman" w:cs="Times New Roman" w:eastAsia="Times New Roman" w:hAnsi="Times New Roman"/>
          <w:sz w:val="14"/>
          <w:szCs w:val="14"/>
          <w:color w:val="auto"/>
        </w:rPr>
      </w:pPr>
    </w:p>
    <w:p>
      <w:pPr>
        <w:ind w:left="440" w:right="3279" w:hanging="171"/>
        <w:spacing w:after="0" w:line="267" w:lineRule="auto"/>
        <w:tabs>
          <w:tab w:leader="none" w:pos="44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amount transferred from the Fixed Account to an Indexed Account or the Loan Account on that date; less</w:t>
      </w:r>
    </w:p>
    <w:p>
      <w:pPr>
        <w:spacing w:after="0" w:line="53" w:lineRule="exact"/>
        <w:rPr>
          <w:rFonts w:ascii="Times New Roman" w:cs="Times New Roman" w:eastAsia="Times New Roman" w:hAnsi="Times New Roman"/>
          <w:sz w:val="14"/>
          <w:szCs w:val="14"/>
          <w:color w:val="auto"/>
        </w:rPr>
      </w:pPr>
    </w:p>
    <w:p>
      <w:pPr>
        <w:ind w:left="440" w:right="3139" w:hanging="171"/>
        <w:spacing w:after="0" w:line="267" w:lineRule="auto"/>
        <w:tabs>
          <w:tab w:leader="none" w:pos="44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Cash Value reduction resulting from a payment under the Accelerated Death Benefit, on that date; less</w:t>
      </w:r>
    </w:p>
    <w:p>
      <w:pPr>
        <w:spacing w:after="0" w:line="53" w:lineRule="exact"/>
        <w:rPr>
          <w:rFonts w:ascii="Times New Roman" w:cs="Times New Roman" w:eastAsia="Times New Roman" w:hAnsi="Times New Roman"/>
          <w:sz w:val="14"/>
          <w:szCs w:val="14"/>
          <w:color w:val="auto"/>
        </w:rPr>
      </w:pPr>
    </w:p>
    <w:p>
      <w:pPr>
        <w:ind w:left="440" w:right="3159" w:hanging="171"/>
        <w:spacing w:after="0" w:line="267" w:lineRule="auto"/>
        <w:tabs>
          <w:tab w:leader="none" w:pos="44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part of the Annual Deduction charged to the Fixed Account to cover the Policy Year that starts on that day.</w:t>
      </w:r>
    </w:p>
    <w:p>
      <w:pPr>
        <w:spacing w:after="0" w:line="5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On any other day, the Fixed Account Cash Value equals:</w:t>
      </w:r>
    </w:p>
    <w:p>
      <w:pPr>
        <w:spacing w:after="0" w:line="86" w:lineRule="exact"/>
        <w:rPr>
          <w:sz w:val="20"/>
          <w:szCs w:val="20"/>
          <w:color w:val="auto"/>
        </w:rPr>
      </w:pPr>
    </w:p>
    <w:p>
      <w:pPr>
        <w:ind w:left="440" w:hanging="171"/>
        <w:spacing w:after="0"/>
        <w:tabs>
          <w:tab w:leader="none" w:pos="440"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Cash Value in the Fixed Account on the prior day; plus</w:t>
      </w:r>
    </w:p>
    <w:p>
      <w:pPr>
        <w:spacing w:after="0" w:line="85" w:lineRule="exact"/>
        <w:rPr>
          <w:rFonts w:ascii="Times New Roman" w:cs="Times New Roman" w:eastAsia="Times New Roman" w:hAnsi="Times New Roman"/>
          <w:sz w:val="14"/>
          <w:szCs w:val="14"/>
          <w:color w:val="auto"/>
        </w:rPr>
      </w:pPr>
    </w:p>
    <w:p>
      <w:pPr>
        <w:ind w:left="440" w:hanging="171"/>
        <w:spacing w:after="0"/>
        <w:tabs>
          <w:tab w:leader="none" w:pos="440"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Fixed Account interest credited on such amount since the prior day; plus</w:t>
      </w:r>
    </w:p>
    <w:p>
      <w:pPr>
        <w:spacing w:after="0" w:line="85" w:lineRule="exact"/>
        <w:rPr>
          <w:rFonts w:ascii="Times New Roman" w:cs="Times New Roman" w:eastAsia="Times New Roman" w:hAnsi="Times New Roman"/>
          <w:sz w:val="14"/>
          <w:szCs w:val="14"/>
          <w:color w:val="auto"/>
        </w:rPr>
      </w:pPr>
    </w:p>
    <w:p>
      <w:pPr>
        <w:ind w:left="440" w:hanging="171"/>
        <w:spacing w:after="0"/>
        <w:tabs>
          <w:tab w:leader="none" w:pos="440"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Net Premium paid on that day and allocated to the Fixed Account; plus</w:t>
      </w:r>
    </w:p>
    <w:p>
      <w:pPr>
        <w:spacing w:after="0" w:line="85" w:lineRule="exact"/>
        <w:rPr>
          <w:rFonts w:ascii="Times New Roman" w:cs="Times New Roman" w:eastAsia="Times New Roman" w:hAnsi="Times New Roman"/>
          <w:sz w:val="14"/>
          <w:szCs w:val="14"/>
          <w:color w:val="auto"/>
        </w:rPr>
      </w:pPr>
    </w:p>
    <w:p>
      <w:pPr>
        <w:ind w:left="440" w:hanging="171"/>
        <w:spacing w:after="0"/>
        <w:tabs>
          <w:tab w:leader="none" w:pos="440"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amount transferred from the Loan Account to the Fixed Account on that day; less</w:t>
      </w:r>
    </w:p>
    <w:p>
      <w:pPr>
        <w:spacing w:after="0" w:line="209"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4"/>
          <w:szCs w:val="14"/>
          <w:color w:val="auto"/>
        </w:rPr>
        <w:t>C-1</w:t>
      </w:r>
    </w:p>
    <w:p>
      <w:pPr>
        <w:sectPr>
          <w:pgSz w:w="11900" w:h="16838" w:orient="portrait"/>
          <w:cols w:equalWidth="0" w:num="1">
            <w:col w:w="9219"/>
          </w:cols>
          <w:pgMar w:left="1240" w:top="1079" w:right="1440" w:bottom="1440" w:gutter="0" w:footer="0" w:header="0"/>
        </w:sectPr>
      </w:pPr>
    </w:p>
    <w:bookmarkStart w:id="84" w:name="page85"/>
    <w:bookmarkEnd w:id="84"/>
    <w:p>
      <w:pPr>
        <w:ind w:left="440" w:hanging="171"/>
        <w:spacing w:after="0"/>
        <w:tabs>
          <w:tab w:leader="none" w:pos="440"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422275</wp:posOffset>
            </wp:positionV>
            <wp:extent cx="7190105"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7">
                      <a:extLst>
                        <a:ext uri="{28A0092B-C50C-407E-A947-70E740481C1C}"/>
                      </a:extLst>
                    </a:blip>
                    <a:srcRect/>
                    <a:stretch>
                      <a:fillRect/>
                    </a:stretch>
                  </pic:blipFill>
                  <pic:spPr bwMode="auto">
                    <a:xfrm>
                      <a:off x="0" y="0"/>
                      <a:ext cx="7190105" cy="38735"/>
                    </a:xfrm>
                    <a:prstGeom prst="rect">
                      <a:avLst/>
                    </a:prstGeom>
                    <a:noFill/>
                  </pic:spPr>
                </pic:pic>
              </a:graphicData>
            </a:graphic>
          </wp:anchor>
        </w:drawing>
        <w:t>Any amount transferred from the Fixed Account to the Loan Account on that day; less</w:t>
      </w:r>
    </w:p>
    <w:p>
      <w:pPr>
        <w:spacing w:after="0" w:line="85" w:lineRule="exact"/>
        <w:rPr>
          <w:rFonts w:ascii="Times New Roman" w:cs="Times New Roman" w:eastAsia="Times New Roman" w:hAnsi="Times New Roman"/>
          <w:sz w:val="14"/>
          <w:szCs w:val="14"/>
          <w:color w:val="auto"/>
        </w:rPr>
      </w:pPr>
    </w:p>
    <w:p>
      <w:pPr>
        <w:ind w:left="440" w:hanging="171"/>
        <w:spacing w:after="0"/>
        <w:tabs>
          <w:tab w:leader="none" w:pos="440"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Cash Value reduction resulting from a payment under the Accelerated Death Benefit.</w:t>
      </w:r>
    </w:p>
    <w:p>
      <w:pPr>
        <w:spacing w:after="0" w:line="82" w:lineRule="exact"/>
        <w:rPr>
          <w:sz w:val="20"/>
          <w:szCs w:val="20"/>
          <w:color w:val="auto"/>
        </w:rPr>
      </w:pPr>
    </w:p>
    <w:p>
      <w:pPr>
        <w:jc w:val="both"/>
        <w:ind w:right="2939" w:firstLine="274"/>
        <w:spacing w:after="0" w:line="254" w:lineRule="auto"/>
        <w:rPr>
          <w:sz w:val="20"/>
          <w:szCs w:val="20"/>
          <w:color w:val="auto"/>
        </w:rPr>
      </w:pPr>
      <w:r>
        <w:rPr>
          <w:rFonts w:ascii="Times New Roman" w:cs="Times New Roman" w:eastAsia="Times New Roman" w:hAnsi="Times New Roman"/>
          <w:sz w:val="14"/>
          <w:szCs w:val="14"/>
          <w:i w:val="1"/>
          <w:iCs w:val="1"/>
          <w:color w:val="auto"/>
        </w:rPr>
        <w:t xml:space="preserve">Interest Crediting. </w:t>
      </w:r>
      <w:r>
        <w:rPr>
          <w:rFonts w:ascii="Times New Roman" w:cs="Times New Roman" w:eastAsia="Times New Roman" w:hAnsi="Times New Roman"/>
          <w:sz w:val="14"/>
          <w:szCs w:val="14"/>
          <w:color w:val="auto"/>
        </w:rPr>
        <w:t>Interest will be compounded and credited to the Fixed Account at an annual effective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interest rate declared by us and not less than the Fixed Account Guaranteed Minimum Interest Rate. Interest will be credited on amounts allocated to the Fixed Account through the effective date such amounts are Surrendered or transferred from the Fixed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4"/>
          <w:szCs w:val="14"/>
          <w:color w:val="auto"/>
        </w:rPr>
        <w:t>C-2</w:t>
      </w:r>
    </w:p>
    <w:p>
      <w:pPr>
        <w:sectPr>
          <w:pgSz w:w="11900" w:h="16838" w:orient="portrait"/>
          <w:cols w:equalWidth="0" w:num="1">
            <w:col w:w="9219"/>
          </w:cols>
          <w:pgMar w:left="1240" w:top="1083" w:right="1440" w:bottom="1440" w:gutter="0" w:footer="0" w:header="0"/>
        </w:sectPr>
      </w:pPr>
    </w:p>
    <w:bookmarkStart w:id="85" w:name="page86"/>
    <w:bookmarkEnd w:id="85"/>
    <w:p>
      <w:pPr>
        <w:jc w:val="center"/>
        <w:ind w:right="293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422275</wp:posOffset>
            </wp:positionV>
            <wp:extent cx="719010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8">
                      <a:extLst>
                        <a:ext uri="{28A0092B-C50C-407E-A947-70E740481C1C}"/>
                      </a:extLst>
                    </a:blip>
                    <a:srcRect/>
                    <a:stretch>
                      <a:fillRect/>
                    </a:stretch>
                  </pic:blipFill>
                  <pic:spPr bwMode="auto">
                    <a:xfrm>
                      <a:off x="0" y="0"/>
                      <a:ext cx="7190105" cy="38735"/>
                    </a:xfrm>
                    <a:prstGeom prst="rect">
                      <a:avLst/>
                    </a:prstGeom>
                    <a:noFill/>
                  </pic:spPr>
                </pic:pic>
              </a:graphicData>
            </a:graphic>
          </wp:anchor>
        </w:drawing>
        <w:t>APPENDIX D</w:t>
      </w:r>
    </w:p>
    <w:p>
      <w:pPr>
        <w:spacing w:after="0" w:line="86" w:lineRule="exact"/>
        <w:rPr>
          <w:sz w:val="20"/>
          <w:szCs w:val="20"/>
          <w:color w:val="auto"/>
        </w:rPr>
      </w:pPr>
    </w:p>
    <w:p>
      <w:pPr>
        <w:jc w:val="center"/>
        <w:ind w:right="2939"/>
        <w:spacing w:after="0"/>
        <w:rPr>
          <w:sz w:val="20"/>
          <w:szCs w:val="20"/>
          <w:color w:val="auto"/>
        </w:rPr>
      </w:pPr>
      <w:r>
        <w:rPr>
          <w:rFonts w:ascii="Times New Roman" w:cs="Times New Roman" w:eastAsia="Times New Roman" w:hAnsi="Times New Roman"/>
          <w:sz w:val="14"/>
          <w:szCs w:val="14"/>
          <w:b w:val="1"/>
          <w:bCs w:val="1"/>
          <w:color w:val="auto"/>
        </w:rPr>
        <w:t>GUARANTEED DISTRIBUTION RIDER EXAMPLES</w:t>
      </w:r>
    </w:p>
    <w:p>
      <w:pPr>
        <w:spacing w:after="0" w:line="90" w:lineRule="exact"/>
        <w:rPr>
          <w:sz w:val="20"/>
          <w:szCs w:val="20"/>
          <w:color w:val="auto"/>
        </w:rPr>
      </w:pPr>
    </w:p>
    <w:p>
      <w:pPr>
        <w:jc w:val="both"/>
        <w:ind w:right="2939" w:firstLine="274"/>
        <w:spacing w:after="0" w:line="278" w:lineRule="auto"/>
        <w:rPr>
          <w:sz w:val="20"/>
          <w:szCs w:val="20"/>
          <w:color w:val="auto"/>
        </w:rPr>
      </w:pPr>
      <w:r>
        <w:rPr>
          <w:rFonts w:ascii="Times New Roman" w:cs="Times New Roman" w:eastAsia="Times New Roman" w:hAnsi="Times New Roman"/>
          <w:sz w:val="13"/>
          <w:szCs w:val="13"/>
          <w:color w:val="auto"/>
        </w:rPr>
        <w:t>The purpose of these examples is to illustrate how payments work under the GDR. The investment results shown are hypothetical and are not representative of past or future performance. Actual investment results may be more or less than those shown and will depend upon several factors, including the allocation made by an Owner and the Index Performance for the Indexed Account(s) chosen. Values are rounded for display purposes only.</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Distribution Payments</w:t>
      </w:r>
    </w:p>
    <w:p>
      <w:pPr>
        <w:spacing w:after="0" w:line="90" w:lineRule="exact"/>
        <w:rPr>
          <w:sz w:val="20"/>
          <w:szCs w:val="20"/>
          <w:color w:val="auto"/>
        </w:rPr>
      </w:pPr>
    </w:p>
    <w:p>
      <w:pPr>
        <w:jc w:val="both"/>
        <w:ind w:right="2939" w:firstLine="274"/>
        <w:spacing w:after="0" w:line="267" w:lineRule="auto"/>
        <w:rPr>
          <w:sz w:val="20"/>
          <w:szCs w:val="20"/>
          <w:color w:val="auto"/>
        </w:rPr>
      </w:pPr>
      <w:r>
        <w:rPr>
          <w:rFonts w:ascii="Times New Roman" w:cs="Times New Roman" w:eastAsia="Times New Roman" w:hAnsi="Times New Roman"/>
          <w:sz w:val="14"/>
          <w:szCs w:val="14"/>
          <w:color w:val="auto"/>
        </w:rPr>
        <w:t>Once eligible, Distribution Payments may be taken as loans from the Cash Value at the beginning of Policy Year 11. The amount available to be taken as Distribution Payments is described below.</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 Guaranteed Minimum Distribution Payment</w:t>
      </w:r>
    </w:p>
    <w:p>
      <w:pPr>
        <w:spacing w:after="0" w:line="90" w:lineRule="exact"/>
        <w:rPr>
          <w:sz w:val="20"/>
          <w:szCs w:val="20"/>
          <w:color w:val="auto"/>
        </w:rPr>
      </w:pPr>
    </w:p>
    <w:p>
      <w:pPr>
        <w:jc w:val="both"/>
        <w:ind w:right="2939" w:firstLine="274"/>
        <w:spacing w:after="0" w:line="256" w:lineRule="auto"/>
        <w:rPr>
          <w:sz w:val="20"/>
          <w:szCs w:val="20"/>
          <w:color w:val="auto"/>
        </w:rPr>
      </w:pPr>
      <w:r>
        <w:rPr>
          <w:rFonts w:ascii="Times New Roman" w:cs="Times New Roman" w:eastAsia="Times New Roman" w:hAnsi="Times New Roman"/>
          <w:sz w:val="14"/>
          <w:szCs w:val="14"/>
          <w:color w:val="auto"/>
        </w:rPr>
        <w:t>The Guaranteed Minimum Distribution Payments are dollar amounts that are contractually declared at issue. They are shown in the Rider specifications page and generally increase depending upon when you begin Distribution Payments.</w:t>
      </w:r>
    </w:p>
    <w:p>
      <w:pPr>
        <w:spacing w:after="0" w:line="6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u w:val="single" w:color="auto"/>
          <w:color w:val="auto"/>
        </w:rPr>
        <w:t>Example</w:t>
      </w:r>
      <w:r>
        <w:rPr>
          <w:rFonts w:ascii="Times New Roman" w:cs="Times New Roman" w:eastAsia="Times New Roman" w:hAnsi="Times New Roman"/>
          <w:sz w:val="14"/>
          <w:szCs w:val="14"/>
          <w:color w:val="auto"/>
        </w:rPr>
        <w:t>:</w:t>
      </w:r>
    </w:p>
    <w:p>
      <w:pPr>
        <w:spacing w:after="0" w:line="86" w:lineRule="exact"/>
        <w:rPr>
          <w:sz w:val="20"/>
          <w:szCs w:val="20"/>
          <w:color w:val="auto"/>
        </w:rPr>
      </w:pPr>
    </w:p>
    <w:p>
      <w:pPr>
        <w:jc w:val="both"/>
        <w:ind w:right="2939" w:firstLine="274"/>
        <w:spacing w:after="0" w:line="285" w:lineRule="auto"/>
        <w:rPr>
          <w:sz w:val="20"/>
          <w:szCs w:val="20"/>
          <w:color w:val="auto"/>
        </w:rPr>
      </w:pPr>
      <w:r>
        <w:rPr>
          <w:rFonts w:ascii="Times New Roman" w:cs="Times New Roman" w:eastAsia="Times New Roman" w:hAnsi="Times New Roman"/>
          <w:sz w:val="13"/>
          <w:szCs w:val="13"/>
          <w:color w:val="auto"/>
        </w:rPr>
        <w:t>Assume you are a 50-year-old male, and your annual Planned Premium Payment is $10,000 a year for 10 years. You select an annual Distribution Payment Frequency for a lifetime Distribution Payment Duration. At issue, your contractually declared annual lifetime Guaranteed Minimum Distribution Payment at age 60 is $6,386.</w:t>
      </w:r>
    </w:p>
    <w:p>
      <w:pPr>
        <w:spacing w:after="0" w:line="43" w:lineRule="exact"/>
        <w:rPr>
          <w:sz w:val="20"/>
          <w:szCs w:val="20"/>
          <w:color w:val="auto"/>
        </w:rPr>
      </w:pPr>
    </w:p>
    <w:p>
      <w:pPr>
        <w:jc w:val="both"/>
        <w:ind w:right="2939" w:firstLine="274"/>
        <w:spacing w:after="0" w:line="267" w:lineRule="auto"/>
        <w:rPr>
          <w:sz w:val="20"/>
          <w:szCs w:val="20"/>
          <w:color w:val="auto"/>
        </w:rPr>
      </w:pPr>
      <w:r>
        <w:rPr>
          <w:rFonts w:ascii="Times New Roman" w:cs="Times New Roman" w:eastAsia="Times New Roman" w:hAnsi="Times New Roman"/>
          <w:sz w:val="14"/>
          <w:szCs w:val="14"/>
          <w:color w:val="auto"/>
        </w:rPr>
        <w:t>Given the same scenario, your contractually declared annual lifetime Guaranteed Minimum Distribution Payment at age 65 is $7,343 and at age 70 is $8,074.</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 Maximum Distribution Payment</w:t>
      </w:r>
    </w:p>
    <w:p>
      <w:pPr>
        <w:spacing w:after="0" w:line="90" w:lineRule="exact"/>
        <w:rPr>
          <w:sz w:val="20"/>
          <w:szCs w:val="20"/>
          <w:color w:val="auto"/>
        </w:rPr>
      </w:pPr>
    </w:p>
    <w:p>
      <w:pPr>
        <w:jc w:val="both"/>
        <w:ind w:right="2939" w:firstLine="274"/>
        <w:spacing w:after="0" w:line="256" w:lineRule="auto"/>
        <w:rPr>
          <w:sz w:val="20"/>
          <w:szCs w:val="20"/>
          <w:color w:val="auto"/>
        </w:rPr>
      </w:pPr>
      <w:r>
        <w:rPr>
          <w:rFonts w:ascii="Times New Roman" w:cs="Times New Roman" w:eastAsia="Times New Roman" w:hAnsi="Times New Roman"/>
          <w:sz w:val="14"/>
          <w:szCs w:val="14"/>
          <w:color w:val="auto"/>
        </w:rPr>
        <w:t>The Maximum Distribution Payment is the greater of the Guaranteed Minimum Distribution Payment (Example I) or the Cash Value multiplied by the Distribution Payment Rate (Example II). It is calculated at each Policy Anniversary prior to exercising Distribution Payments.</w:t>
      </w:r>
    </w:p>
    <w:p>
      <w:pPr>
        <w:spacing w:after="0" w:line="61" w:lineRule="exact"/>
        <w:rPr>
          <w:sz w:val="20"/>
          <w:szCs w:val="20"/>
          <w:color w:val="auto"/>
        </w:rPr>
      </w:pPr>
    </w:p>
    <w:p>
      <w:pPr>
        <w:jc w:val="both"/>
        <w:ind w:right="2939" w:firstLine="274"/>
        <w:spacing w:after="0" w:line="256" w:lineRule="auto"/>
        <w:rPr>
          <w:sz w:val="20"/>
          <w:szCs w:val="20"/>
          <w:color w:val="auto"/>
        </w:rPr>
      </w:pPr>
      <w:r>
        <w:rPr>
          <w:rFonts w:ascii="Times New Roman" w:cs="Times New Roman" w:eastAsia="Times New Roman" w:hAnsi="Times New Roman"/>
          <w:sz w:val="14"/>
          <w:szCs w:val="14"/>
          <w:color w:val="auto"/>
        </w:rPr>
        <w:t>The Maximum Distribution Payment will never be less than the Guaranteed Minimum Distribution Payment. The Distribution Payment Rate is contractually declared at issue. They are shown in the Rider specifications page and generally increase depending upon when you begin Distribution Payments.</w:t>
      </w:r>
    </w:p>
    <w:p>
      <w:pPr>
        <w:spacing w:after="0" w:line="6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u w:val="single" w:color="auto"/>
          <w:color w:val="auto"/>
        </w:rPr>
        <w:t>Example I</w:t>
      </w:r>
      <w:r>
        <w:rPr>
          <w:rFonts w:ascii="Times New Roman" w:cs="Times New Roman" w:eastAsia="Times New Roman" w:hAnsi="Times New Roman"/>
          <w:sz w:val="14"/>
          <w:szCs w:val="14"/>
          <w:color w:val="auto"/>
        </w:rPr>
        <w:t>:</w:t>
      </w:r>
    </w:p>
    <w:p>
      <w:pPr>
        <w:spacing w:after="0" w:line="86" w:lineRule="exact"/>
        <w:rPr>
          <w:sz w:val="20"/>
          <w:szCs w:val="20"/>
          <w:color w:val="auto"/>
        </w:rPr>
      </w:pPr>
    </w:p>
    <w:p>
      <w:pPr>
        <w:jc w:val="both"/>
        <w:ind w:right="2939" w:firstLine="274"/>
        <w:spacing w:after="0" w:line="256" w:lineRule="auto"/>
        <w:rPr>
          <w:sz w:val="20"/>
          <w:szCs w:val="20"/>
          <w:color w:val="auto"/>
        </w:rPr>
      </w:pPr>
      <w:r>
        <w:rPr>
          <w:rFonts w:ascii="Times New Roman" w:cs="Times New Roman" w:eastAsia="Times New Roman" w:hAnsi="Times New Roman"/>
          <w:sz w:val="14"/>
          <w:szCs w:val="14"/>
          <w:color w:val="auto"/>
        </w:rPr>
        <w:t>Assume you are a 50-year-old male, and your annual Planned Premium Payment is $10,000 a year for 10 years. You select an annual Distribution Payment Frequency for a lifetime Distribution Payment Duration. At the beginning of Policy Year 11, your Cash Value is $90,000.</w:t>
      </w:r>
    </w:p>
    <w:p>
      <w:pPr>
        <w:spacing w:after="0" w:line="61" w:lineRule="exact"/>
        <w:rPr>
          <w:sz w:val="20"/>
          <w:szCs w:val="20"/>
          <w:color w:val="auto"/>
        </w:rPr>
      </w:pPr>
    </w:p>
    <w:p>
      <w:pPr>
        <w:jc w:val="both"/>
        <w:ind w:right="2939" w:firstLine="274"/>
        <w:spacing w:after="0" w:line="256" w:lineRule="auto"/>
        <w:rPr>
          <w:sz w:val="20"/>
          <w:szCs w:val="20"/>
          <w:color w:val="auto"/>
        </w:rPr>
      </w:pPr>
      <w:r>
        <w:rPr>
          <w:rFonts w:ascii="Times New Roman" w:cs="Times New Roman" w:eastAsia="Times New Roman" w:hAnsi="Times New Roman"/>
          <w:sz w:val="14"/>
          <w:szCs w:val="14"/>
          <w:color w:val="auto"/>
        </w:rPr>
        <w:t>Your Distribution Payment Rate is 6.81%. Since the Cash Value multiplied by the Distribution Payment Rate is $6,129 and is less than the Guaranteed Minimum Distribution Payment of $6,386, your Maximum Distribution Payment is $6,386.</w:t>
      </w:r>
    </w:p>
    <w:p>
      <w:pPr>
        <w:spacing w:after="0" w:line="6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u w:val="single" w:color="auto"/>
          <w:color w:val="auto"/>
        </w:rPr>
        <w:t>Example II</w:t>
      </w:r>
      <w:r>
        <w:rPr>
          <w:rFonts w:ascii="Times New Roman" w:cs="Times New Roman" w:eastAsia="Times New Roman" w:hAnsi="Times New Roman"/>
          <w:sz w:val="14"/>
          <w:szCs w:val="14"/>
          <w:color w:val="auto"/>
        </w:rPr>
        <w:t>:</w:t>
      </w:r>
    </w:p>
    <w:p>
      <w:pPr>
        <w:spacing w:after="0" w:line="86" w:lineRule="exact"/>
        <w:rPr>
          <w:sz w:val="20"/>
          <w:szCs w:val="20"/>
          <w:color w:val="auto"/>
        </w:rPr>
      </w:pPr>
    </w:p>
    <w:p>
      <w:pPr>
        <w:jc w:val="both"/>
        <w:ind w:right="2939" w:firstLine="274"/>
        <w:spacing w:after="0" w:line="285" w:lineRule="auto"/>
        <w:rPr>
          <w:sz w:val="20"/>
          <w:szCs w:val="20"/>
          <w:color w:val="auto"/>
        </w:rPr>
      </w:pPr>
      <w:r>
        <w:rPr>
          <w:rFonts w:ascii="Times New Roman" w:cs="Times New Roman" w:eastAsia="Times New Roman" w:hAnsi="Times New Roman"/>
          <w:sz w:val="13"/>
          <w:szCs w:val="13"/>
          <w:color w:val="auto"/>
        </w:rPr>
        <w:t>Assume you are a 50-year-old male, and your annual Planned Premium Payment is $10,000 a year for 10 years. You select an annual Distribution Payment Frequency for a lifetime Distribution Payment Duration. At the beginning of Policy Year 11, your Cash Value has grown to $110,233 assuming a 7% interest credited each year.</w:t>
      </w:r>
    </w:p>
    <w:p>
      <w:pPr>
        <w:spacing w:after="0" w:line="43" w:lineRule="exact"/>
        <w:rPr>
          <w:sz w:val="20"/>
          <w:szCs w:val="20"/>
          <w:color w:val="auto"/>
        </w:rPr>
      </w:pPr>
    </w:p>
    <w:p>
      <w:pPr>
        <w:jc w:val="both"/>
        <w:ind w:right="2939" w:firstLine="274"/>
        <w:spacing w:after="0" w:line="256" w:lineRule="auto"/>
        <w:rPr>
          <w:sz w:val="20"/>
          <w:szCs w:val="20"/>
          <w:color w:val="auto"/>
        </w:rPr>
      </w:pPr>
      <w:r>
        <w:rPr>
          <w:rFonts w:ascii="Times New Roman" w:cs="Times New Roman" w:eastAsia="Times New Roman" w:hAnsi="Times New Roman"/>
          <w:sz w:val="14"/>
          <w:szCs w:val="14"/>
          <w:color w:val="auto"/>
        </w:rPr>
        <w:t>Your Distribution Payment Rate is 6.81%. Since the Cash Value multiplied by the Distribution Payment Rate is $7,507 and is greater than the Guaranteed Minimum Distribution Payment of $6,386, your Maximum Distribution Payment is $7,507.</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 Distribution Payment Duration</w:t>
      </w:r>
    </w:p>
    <w:p>
      <w:pPr>
        <w:spacing w:after="0" w:line="90" w:lineRule="exact"/>
        <w:rPr>
          <w:sz w:val="20"/>
          <w:szCs w:val="20"/>
          <w:color w:val="auto"/>
        </w:rPr>
      </w:pPr>
    </w:p>
    <w:p>
      <w:pPr>
        <w:jc w:val="both"/>
        <w:ind w:right="2939" w:firstLine="274"/>
        <w:spacing w:after="0" w:line="249" w:lineRule="auto"/>
        <w:rPr>
          <w:sz w:val="20"/>
          <w:szCs w:val="20"/>
          <w:color w:val="auto"/>
        </w:rPr>
      </w:pPr>
      <w:r>
        <w:rPr>
          <w:rFonts w:ascii="Times New Roman" w:cs="Times New Roman" w:eastAsia="Times New Roman" w:hAnsi="Times New Roman"/>
          <w:sz w:val="14"/>
          <w:szCs w:val="14"/>
          <w:color w:val="auto"/>
        </w:rPr>
        <w:t>The Distribution Payment Duration is selected at issue and determines how long Distribution Payments will be paid for. The available durations are 10-year, 20-year, or lifetime (up to Attained Age 121). After 10 Policy Years and at the time of GDR exercise, a one-time change is allowed to the Distribution Payment Duration. The Distribution Payment Duration will last for the selected period assuming the Maximum Distribution Payment amount is being taken (Example I). However, the period Distribution Payments are paid for could extend beyond the selected Distribution Payment Duration if an amount less than the Maximum Distribution Payment is taken (Example II).</w:t>
      </w:r>
    </w:p>
    <w:p>
      <w:pPr>
        <w:spacing w:after="0" w:line="189"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4"/>
          <w:szCs w:val="14"/>
          <w:color w:val="auto"/>
        </w:rPr>
        <w:t>D-1</w:t>
      </w:r>
    </w:p>
    <w:p>
      <w:pPr>
        <w:sectPr>
          <w:pgSz w:w="11900" w:h="16838" w:orient="portrait"/>
          <w:cols w:equalWidth="0" w:num="1">
            <w:col w:w="9219"/>
          </w:cols>
          <w:pgMar w:left="1240" w:top="1079" w:right="1440" w:bottom="1440" w:gutter="0" w:footer="0" w:header="0"/>
        </w:sectPr>
      </w:pPr>
    </w:p>
    <w:bookmarkStart w:id="86" w:name="page87"/>
    <w:bookmarkEnd w:id="86"/>
    <w:p>
      <w:pPr>
        <w:ind w:left="265"/>
        <w:spacing w:after="0"/>
        <w:rPr>
          <w:sz w:val="20"/>
          <w:szCs w:val="20"/>
          <w:color w:val="auto"/>
        </w:rPr>
      </w:pPr>
      <w:r>
        <w:rPr>
          <w:rFonts w:ascii="Times New Roman" w:cs="Times New Roman" w:eastAsia="Times New Roman" w:hAnsi="Times New Roman"/>
          <w:sz w:val="14"/>
          <w:szCs w:val="14"/>
          <w:u w:val="single" w:color="auto"/>
          <w:color w:val="auto"/>
        </w:rPr>
        <w:drawing>
          <wp:anchor simplePos="0" relativeHeight="251657728" behindDoc="1" locked="0" layoutInCell="0" allowOverlap="1">
            <wp:simplePos x="0" y="0"/>
            <wp:positionH relativeFrom="page">
              <wp:posOffset>179070</wp:posOffset>
            </wp:positionH>
            <wp:positionV relativeFrom="page">
              <wp:posOffset>422275</wp:posOffset>
            </wp:positionV>
            <wp:extent cx="7190105"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9">
                      <a:extLst>
                        <a:ext uri="{28A0092B-C50C-407E-A947-70E740481C1C}"/>
                      </a:extLst>
                    </a:blip>
                    <a:srcRect/>
                    <a:stretch>
                      <a:fillRect/>
                    </a:stretch>
                  </pic:blipFill>
                  <pic:spPr bwMode="auto">
                    <a:xfrm>
                      <a:off x="0" y="0"/>
                      <a:ext cx="7190105" cy="38735"/>
                    </a:xfrm>
                    <a:prstGeom prst="rect">
                      <a:avLst/>
                    </a:prstGeom>
                    <a:noFill/>
                  </pic:spPr>
                </pic:pic>
              </a:graphicData>
            </a:graphic>
          </wp:anchor>
        </w:drawing>
        <w:t>Example I</w:t>
      </w:r>
      <w:r>
        <w:rPr>
          <w:rFonts w:ascii="Times New Roman" w:cs="Times New Roman" w:eastAsia="Times New Roman" w:hAnsi="Times New Roman"/>
          <w:sz w:val="14"/>
          <w:szCs w:val="14"/>
          <w:color w:val="auto"/>
        </w:rPr>
        <w:t>:</w:t>
      </w:r>
    </w:p>
    <w:p>
      <w:pPr>
        <w:spacing w:after="0" w:line="86" w:lineRule="exact"/>
        <w:rPr>
          <w:sz w:val="20"/>
          <w:szCs w:val="20"/>
          <w:color w:val="auto"/>
        </w:rPr>
      </w:pPr>
    </w:p>
    <w:p>
      <w:pPr>
        <w:jc w:val="both"/>
        <w:ind w:left="5" w:right="2939" w:firstLine="274"/>
        <w:spacing w:after="0" w:line="256" w:lineRule="auto"/>
        <w:rPr>
          <w:sz w:val="20"/>
          <w:szCs w:val="20"/>
          <w:color w:val="auto"/>
        </w:rPr>
      </w:pPr>
      <w:r>
        <w:rPr>
          <w:rFonts w:ascii="Times New Roman" w:cs="Times New Roman" w:eastAsia="Times New Roman" w:hAnsi="Times New Roman"/>
          <w:sz w:val="14"/>
          <w:szCs w:val="14"/>
          <w:color w:val="auto"/>
        </w:rPr>
        <w:t>Assume you are a 50-year-old male, and your annual Planned Premium Payment is $10,000 a year for 10 years. You select an annual Distribution Payment Frequency for a Distribution Payment Duration of 10 years. You elect to begin taking Distribution Payments in Policy Year 11.</w:t>
      </w:r>
    </w:p>
    <w:p>
      <w:pPr>
        <w:spacing w:after="0" w:line="61" w:lineRule="exact"/>
        <w:rPr>
          <w:sz w:val="20"/>
          <w:szCs w:val="20"/>
          <w:color w:val="auto"/>
        </w:rPr>
      </w:pPr>
    </w:p>
    <w:p>
      <w:pPr>
        <w:jc w:val="both"/>
        <w:ind w:left="5" w:right="2939" w:firstLine="274"/>
        <w:spacing w:after="0" w:line="273" w:lineRule="auto"/>
        <w:rPr>
          <w:sz w:val="20"/>
          <w:szCs w:val="20"/>
          <w:color w:val="auto"/>
        </w:rPr>
      </w:pPr>
      <w:r>
        <w:rPr>
          <w:rFonts w:ascii="Times New Roman" w:cs="Times New Roman" w:eastAsia="Times New Roman" w:hAnsi="Times New Roman"/>
          <w:sz w:val="13"/>
          <w:szCs w:val="13"/>
          <w:color w:val="auto"/>
        </w:rPr>
        <w:t>Your assumed Maximum Distribution Payment is $7,507, and you elect to receive the maximum amount. Beginning in Policy Year 11, you will receive $7,507 each year for 10 years, with the last payment in Policy Year</w:t>
      </w:r>
    </w:p>
    <w:p>
      <w:pPr>
        <w:spacing w:after="0" w:line="1" w:lineRule="exact"/>
        <w:rPr>
          <w:sz w:val="20"/>
          <w:szCs w:val="20"/>
          <w:color w:val="auto"/>
        </w:rPr>
      </w:pPr>
    </w:p>
    <w:p>
      <w:pPr>
        <w:ind w:left="265" w:right="6379" w:hanging="265"/>
        <w:spacing w:after="0" w:line="359" w:lineRule="auto"/>
        <w:tabs>
          <w:tab w:leader="none" w:pos="197"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cumulative amount received totals $75,070. </w:t>
      </w:r>
      <w:r>
        <w:rPr>
          <w:rFonts w:ascii="Times New Roman" w:cs="Times New Roman" w:eastAsia="Times New Roman" w:hAnsi="Times New Roman"/>
          <w:sz w:val="14"/>
          <w:szCs w:val="14"/>
          <w:u w:val="single" w:color="auto"/>
          <w:color w:val="auto"/>
        </w:rPr>
        <w:t>Example II</w:t>
      </w:r>
      <w:r>
        <w:rPr>
          <w:rFonts w:ascii="Times New Roman" w:cs="Times New Roman" w:eastAsia="Times New Roman" w:hAnsi="Times New Roman"/>
          <w:sz w:val="14"/>
          <w:szCs w:val="14"/>
          <w:color w:val="auto"/>
        </w:rPr>
        <w:t>:</w:t>
      </w:r>
    </w:p>
    <w:p>
      <w:pPr>
        <w:spacing w:after="0" w:line="1" w:lineRule="exact"/>
        <w:rPr>
          <w:sz w:val="20"/>
          <w:szCs w:val="20"/>
          <w:color w:val="auto"/>
        </w:rPr>
      </w:pPr>
    </w:p>
    <w:p>
      <w:pPr>
        <w:jc w:val="both"/>
        <w:ind w:left="5" w:right="2939" w:firstLine="274"/>
        <w:spacing w:after="0" w:line="256" w:lineRule="auto"/>
        <w:rPr>
          <w:sz w:val="20"/>
          <w:szCs w:val="20"/>
          <w:color w:val="auto"/>
        </w:rPr>
      </w:pPr>
      <w:r>
        <w:rPr>
          <w:rFonts w:ascii="Times New Roman" w:cs="Times New Roman" w:eastAsia="Times New Roman" w:hAnsi="Times New Roman"/>
          <w:sz w:val="14"/>
          <w:szCs w:val="14"/>
          <w:color w:val="auto"/>
        </w:rPr>
        <w:t>Assume you are a 50-year-old male, and your annual Planned Premium Payment is $10,000 a year for 10 years. You select an annual Distribution Payment Frequency for a Distribution Payment Duration of 10 years. You elect to begin taking Distribution Payments in Policy Year 11.</w:t>
      </w:r>
    </w:p>
    <w:p>
      <w:pPr>
        <w:spacing w:after="0" w:line="61" w:lineRule="exact"/>
        <w:rPr>
          <w:sz w:val="20"/>
          <w:szCs w:val="20"/>
          <w:color w:val="auto"/>
        </w:rPr>
      </w:pPr>
    </w:p>
    <w:p>
      <w:pPr>
        <w:jc w:val="both"/>
        <w:ind w:left="5" w:right="2939" w:firstLine="274"/>
        <w:spacing w:after="0"/>
        <w:rPr>
          <w:sz w:val="20"/>
          <w:szCs w:val="20"/>
          <w:color w:val="auto"/>
        </w:rPr>
      </w:pPr>
      <w:r>
        <w:rPr>
          <w:rFonts w:ascii="Times New Roman" w:cs="Times New Roman" w:eastAsia="Times New Roman" w:hAnsi="Times New Roman"/>
          <w:sz w:val="14"/>
          <w:szCs w:val="14"/>
          <w:color w:val="auto"/>
        </w:rPr>
        <w:t>Your assumed Maximum Distribution Payment is $7,507; however, you elect to receive only $6,000 a year. Beginning in Policy Year 11, you will receive $6,000 for 12 years until Policy Year 22, and $3,070 in the 13</w:t>
      </w:r>
      <w:r>
        <w:rPr>
          <w:rFonts w:ascii="Times New Roman" w:cs="Times New Roman" w:eastAsia="Times New Roman" w:hAnsi="Times New Roman"/>
          <w:sz w:val="17"/>
          <w:szCs w:val="17"/>
          <w:color w:val="auto"/>
          <w:vertAlign w:val="superscript"/>
        </w:rPr>
        <w:t>th</w:t>
      </w:r>
      <w:r>
        <w:rPr>
          <w:rFonts w:ascii="Times New Roman" w:cs="Times New Roman" w:eastAsia="Times New Roman" w:hAnsi="Times New Roman"/>
          <w:sz w:val="14"/>
          <w:szCs w:val="14"/>
          <w:color w:val="auto"/>
        </w:rPr>
        <w:t xml:space="preserve"> year, or Policy Year 23. This is when the cumulative amount received totals $75,070, which equals the Maximum Distribution Payment multiplied by the Distribution Payment Duration.</w:t>
      </w:r>
    </w:p>
    <w:p>
      <w:pPr>
        <w:spacing w:after="0" w:line="151" w:lineRule="exact"/>
        <w:rPr>
          <w:sz w:val="20"/>
          <w:szCs w:val="20"/>
          <w:color w:val="auto"/>
        </w:rPr>
      </w:pPr>
    </w:p>
    <w:p>
      <w:pPr>
        <w:ind w:left="5"/>
        <w:spacing w:after="0"/>
        <w:rPr>
          <w:sz w:val="20"/>
          <w:szCs w:val="20"/>
          <w:color w:val="auto"/>
        </w:rPr>
      </w:pPr>
      <w:r>
        <w:rPr>
          <w:rFonts w:ascii="Times New Roman" w:cs="Times New Roman" w:eastAsia="Times New Roman" w:hAnsi="Times New Roman"/>
          <w:sz w:val="14"/>
          <w:szCs w:val="14"/>
          <w:b w:val="1"/>
          <w:bCs w:val="1"/>
          <w:color w:val="auto"/>
        </w:rPr>
        <w:t>D. One-time Payment</w:t>
      </w:r>
    </w:p>
    <w:p>
      <w:pPr>
        <w:spacing w:after="0" w:line="90" w:lineRule="exact"/>
        <w:rPr>
          <w:sz w:val="20"/>
          <w:szCs w:val="20"/>
          <w:color w:val="auto"/>
        </w:rPr>
      </w:pPr>
    </w:p>
    <w:p>
      <w:pPr>
        <w:jc w:val="both"/>
        <w:ind w:left="5" w:right="2939" w:firstLine="274"/>
        <w:spacing w:after="0" w:line="256" w:lineRule="auto"/>
        <w:rPr>
          <w:sz w:val="20"/>
          <w:szCs w:val="20"/>
          <w:color w:val="auto"/>
        </w:rPr>
      </w:pPr>
      <w:r>
        <w:rPr>
          <w:rFonts w:ascii="Times New Roman" w:cs="Times New Roman" w:eastAsia="Times New Roman" w:hAnsi="Times New Roman"/>
          <w:sz w:val="14"/>
          <w:szCs w:val="14"/>
          <w:color w:val="auto"/>
        </w:rPr>
        <w:t>A One-time Payment is available once Distribution Payments begin and if an amount less than the Maximum Distribution Payment amount is taken. This amount is only available once, provided your Distribution Payments have not been terminated.</w:t>
      </w:r>
    </w:p>
    <w:p>
      <w:pPr>
        <w:spacing w:after="0" w:line="61" w:lineRule="exact"/>
        <w:rPr>
          <w:sz w:val="20"/>
          <w:szCs w:val="20"/>
          <w:color w:val="auto"/>
        </w:rPr>
      </w:pPr>
    </w:p>
    <w:p>
      <w:pPr>
        <w:ind w:left="265"/>
        <w:spacing w:after="0"/>
        <w:rPr>
          <w:sz w:val="20"/>
          <w:szCs w:val="20"/>
          <w:color w:val="auto"/>
        </w:rPr>
      </w:pPr>
      <w:r>
        <w:rPr>
          <w:rFonts w:ascii="Times New Roman" w:cs="Times New Roman" w:eastAsia="Times New Roman" w:hAnsi="Times New Roman"/>
          <w:sz w:val="14"/>
          <w:szCs w:val="14"/>
          <w:color w:val="auto"/>
        </w:rPr>
        <w:t>The maximum One-time Payment is the lesser of:</w:t>
      </w:r>
    </w:p>
    <w:p>
      <w:pPr>
        <w:spacing w:after="0" w:line="86" w:lineRule="exact"/>
        <w:rPr>
          <w:sz w:val="20"/>
          <w:szCs w:val="20"/>
          <w:color w:val="auto"/>
        </w:rPr>
      </w:pPr>
    </w:p>
    <w:p>
      <w:pPr>
        <w:jc w:val="both"/>
        <w:ind w:left="545" w:right="2999" w:hanging="271"/>
        <w:spacing w:after="0" w:line="256" w:lineRule="auto"/>
        <w:tabs>
          <w:tab w:leader="none" w:pos="545"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difference between the cumulative Maximum Distribution Payments available to you based on your chosen Distribution Payment Duration and Distribution Payment Frequency and the total Distribution Payments you have received since the Distribution Start Date; or,</w:t>
      </w:r>
    </w:p>
    <w:p>
      <w:pPr>
        <w:spacing w:after="0" w:line="60" w:lineRule="exact"/>
        <w:rPr>
          <w:rFonts w:ascii="Times New Roman" w:cs="Times New Roman" w:eastAsia="Times New Roman" w:hAnsi="Times New Roman"/>
          <w:sz w:val="14"/>
          <w:szCs w:val="14"/>
          <w:color w:val="auto"/>
        </w:rPr>
      </w:pPr>
    </w:p>
    <w:p>
      <w:pPr>
        <w:ind w:left="545" w:right="2999" w:hanging="271"/>
        <w:spacing w:after="0" w:line="267" w:lineRule="auto"/>
        <w:tabs>
          <w:tab w:leader="none" w:pos="545"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lesser of: three times the Maximum Distribution Payment or $150,000 (which is referred to as the One-time Payment Limit and is shown in the GDR).</w:t>
      </w:r>
    </w:p>
    <w:p>
      <w:pPr>
        <w:spacing w:after="0" w:line="53" w:lineRule="exact"/>
        <w:rPr>
          <w:sz w:val="20"/>
          <w:szCs w:val="20"/>
          <w:color w:val="auto"/>
        </w:rPr>
      </w:pPr>
    </w:p>
    <w:p>
      <w:pPr>
        <w:jc w:val="both"/>
        <w:ind w:left="5" w:right="2939" w:firstLine="274"/>
        <w:spacing w:after="0" w:line="256" w:lineRule="auto"/>
        <w:rPr>
          <w:sz w:val="20"/>
          <w:szCs w:val="20"/>
          <w:color w:val="auto"/>
        </w:rPr>
      </w:pPr>
      <w:r>
        <w:rPr>
          <w:rFonts w:ascii="Times New Roman" w:cs="Times New Roman" w:eastAsia="Times New Roman" w:hAnsi="Times New Roman"/>
          <w:sz w:val="14"/>
          <w:szCs w:val="14"/>
          <w:color w:val="auto"/>
        </w:rPr>
        <w:t>For purposes of calculating the One-time Payment after a restart, the cumulative Maximum Distribution Payments available to you are from the Distribution Start Date to the One-time Payment calculation date, regardless of whether you suspended Distribution Payments at any time during that period.</w:t>
      </w:r>
    </w:p>
    <w:p>
      <w:pPr>
        <w:spacing w:after="0" w:line="61" w:lineRule="exact"/>
        <w:rPr>
          <w:sz w:val="20"/>
          <w:szCs w:val="20"/>
          <w:color w:val="auto"/>
        </w:rPr>
      </w:pPr>
    </w:p>
    <w:p>
      <w:pPr>
        <w:ind w:left="265"/>
        <w:spacing w:after="0"/>
        <w:rPr>
          <w:sz w:val="20"/>
          <w:szCs w:val="20"/>
          <w:color w:val="auto"/>
        </w:rPr>
      </w:pPr>
      <w:r>
        <w:rPr>
          <w:rFonts w:ascii="Times New Roman" w:cs="Times New Roman" w:eastAsia="Times New Roman" w:hAnsi="Times New Roman"/>
          <w:sz w:val="14"/>
          <w:szCs w:val="14"/>
          <w:u w:val="single" w:color="auto"/>
          <w:color w:val="auto"/>
        </w:rPr>
        <w:t>Example I</w:t>
      </w:r>
      <w:r>
        <w:rPr>
          <w:rFonts w:ascii="Times New Roman" w:cs="Times New Roman" w:eastAsia="Times New Roman" w:hAnsi="Times New Roman"/>
          <w:sz w:val="14"/>
          <w:szCs w:val="14"/>
          <w:color w:val="auto"/>
        </w:rPr>
        <w:t>:</w:t>
      </w:r>
    </w:p>
    <w:p>
      <w:pPr>
        <w:spacing w:after="0" w:line="86" w:lineRule="exact"/>
        <w:rPr>
          <w:sz w:val="20"/>
          <w:szCs w:val="20"/>
          <w:color w:val="auto"/>
        </w:rPr>
      </w:pPr>
    </w:p>
    <w:p>
      <w:pPr>
        <w:jc w:val="both"/>
        <w:ind w:left="5" w:right="2939" w:firstLine="274"/>
        <w:spacing w:after="0" w:line="256" w:lineRule="auto"/>
        <w:rPr>
          <w:sz w:val="20"/>
          <w:szCs w:val="20"/>
          <w:color w:val="auto"/>
        </w:rPr>
      </w:pPr>
      <w:r>
        <w:rPr>
          <w:rFonts w:ascii="Times New Roman" w:cs="Times New Roman" w:eastAsia="Times New Roman" w:hAnsi="Times New Roman"/>
          <w:sz w:val="14"/>
          <w:szCs w:val="14"/>
          <w:color w:val="auto"/>
        </w:rPr>
        <w:t>Assume you are a 50-year-old male, and your annual Planned Premium Payment is $10,000 a year for 10 years. You select an annual Distribution Payment Frequency for a Distribution Payment Duration of 10 years. You elect to begin taking Distribution Payments in Policy Year 11.</w:t>
      </w:r>
    </w:p>
    <w:p>
      <w:pPr>
        <w:spacing w:after="0" w:line="61" w:lineRule="exact"/>
        <w:rPr>
          <w:sz w:val="20"/>
          <w:szCs w:val="20"/>
          <w:color w:val="auto"/>
        </w:rPr>
      </w:pPr>
    </w:p>
    <w:p>
      <w:pPr>
        <w:ind w:left="265"/>
        <w:spacing w:after="0"/>
        <w:rPr>
          <w:sz w:val="20"/>
          <w:szCs w:val="20"/>
          <w:color w:val="auto"/>
        </w:rPr>
      </w:pPr>
      <w:r>
        <w:rPr>
          <w:rFonts w:ascii="Times New Roman" w:cs="Times New Roman" w:eastAsia="Times New Roman" w:hAnsi="Times New Roman"/>
          <w:sz w:val="14"/>
          <w:szCs w:val="14"/>
          <w:color w:val="auto"/>
        </w:rPr>
        <w:t>Your assumed Maximum Distribution Payment is $7,507; however, you elect to receive only</w:t>
      </w:r>
    </w:p>
    <w:p>
      <w:pPr>
        <w:spacing w:after="0" w:line="86" w:lineRule="exact"/>
        <w:rPr>
          <w:sz w:val="20"/>
          <w:szCs w:val="20"/>
          <w:color w:val="auto"/>
        </w:rPr>
      </w:pPr>
    </w:p>
    <w:p>
      <w:pPr>
        <w:jc w:val="both"/>
        <w:ind w:left="5" w:right="2939" w:firstLine="274"/>
        <w:spacing w:after="0" w:line="252" w:lineRule="auto"/>
        <w:rPr>
          <w:sz w:val="20"/>
          <w:szCs w:val="20"/>
          <w:color w:val="auto"/>
        </w:rPr>
      </w:pPr>
      <w:r>
        <w:rPr>
          <w:rFonts w:ascii="Times New Roman" w:cs="Times New Roman" w:eastAsia="Times New Roman" w:hAnsi="Times New Roman"/>
          <w:sz w:val="14"/>
          <w:szCs w:val="14"/>
          <w:color w:val="auto"/>
        </w:rPr>
        <w:t>$6,000 a year. Beginning in Policy Year 11, you begin taking $6,000 each year. At any point after you begin taking Distribution Payments, a One-time Payment amount is available for the difference of the cumulative Maximum Distribution Payment at that time and the cumulative amount taken, up to a limit, which is the lesser of: three times the Maximum Distribution Payment or $150,000.</w:t>
      </w:r>
    </w:p>
    <w:p>
      <w:pPr>
        <w:spacing w:after="0" w:line="64" w:lineRule="exact"/>
        <w:rPr>
          <w:sz w:val="20"/>
          <w:szCs w:val="20"/>
          <w:color w:val="auto"/>
        </w:rPr>
      </w:pPr>
    </w:p>
    <w:p>
      <w:pPr>
        <w:jc w:val="both"/>
        <w:ind w:left="5" w:right="2939" w:firstLine="274"/>
        <w:spacing w:after="0" w:line="251" w:lineRule="auto"/>
        <w:rPr>
          <w:sz w:val="20"/>
          <w:szCs w:val="20"/>
          <w:color w:val="auto"/>
        </w:rPr>
      </w:pPr>
      <w:r>
        <w:rPr>
          <w:rFonts w:ascii="Times New Roman" w:cs="Times New Roman" w:eastAsia="Times New Roman" w:hAnsi="Times New Roman"/>
          <w:sz w:val="14"/>
          <w:szCs w:val="14"/>
          <w:color w:val="auto"/>
        </w:rPr>
        <w:t>In Policy Year 11, your cumulative amount taken as Distribution Payments is $6,000, and your available One-time Payment is $1,507, or the cumulative Maximum Distribution Payment minus the cumulative Distribution Payments taken. If you elect to take the One-time Payment of $1,507, you will continue to receive $6,000 a year until the cumulative amount of the Maximum Distribution Payment multiplied by the Distribution Payment Duration of $75,070 has been reached.</w:t>
      </w:r>
    </w:p>
    <w:p>
      <w:pPr>
        <w:spacing w:after="0" w:line="63" w:lineRule="exact"/>
        <w:rPr>
          <w:sz w:val="20"/>
          <w:szCs w:val="20"/>
          <w:color w:val="auto"/>
        </w:rPr>
      </w:pPr>
    </w:p>
    <w:p>
      <w:pPr>
        <w:jc w:val="both"/>
        <w:ind w:left="5" w:right="2939" w:firstLine="274"/>
        <w:spacing w:after="0" w:line="251" w:lineRule="auto"/>
        <w:rPr>
          <w:sz w:val="20"/>
          <w:szCs w:val="20"/>
          <w:color w:val="auto"/>
        </w:rPr>
      </w:pPr>
      <w:r>
        <w:rPr>
          <w:rFonts w:ascii="Times New Roman" w:cs="Times New Roman" w:eastAsia="Times New Roman" w:hAnsi="Times New Roman"/>
          <w:sz w:val="14"/>
          <w:szCs w:val="14"/>
          <w:color w:val="auto"/>
        </w:rPr>
        <w:t>In Policy Year 12, if you have not already taken the One-time Payment, your cumulative amount taken as Distribution Payments is $12,000, and your One-time Payment is $3,014, or the cumulative Maximum Distribution Payment minus the cumulative Distribution Payments taken. If you elect to take the One-time Payment of $3,014, you will continue to receive $6,000 a year until the cumulative amount of the Maximum Distribution Payment multiplied by the Distribution Payment Duration of $75,070 has been reached.</w:t>
      </w:r>
    </w:p>
    <w:p>
      <w:pPr>
        <w:spacing w:after="0" w:line="200" w:lineRule="exact"/>
        <w:rPr>
          <w:sz w:val="20"/>
          <w:szCs w:val="20"/>
          <w:color w:val="auto"/>
        </w:rPr>
      </w:pPr>
    </w:p>
    <w:p>
      <w:pPr>
        <w:spacing w:after="0" w:line="306" w:lineRule="exact"/>
        <w:rPr>
          <w:sz w:val="20"/>
          <w:szCs w:val="20"/>
          <w:color w:val="auto"/>
        </w:rPr>
      </w:pPr>
    </w:p>
    <w:p>
      <w:pPr>
        <w:ind w:left="3045"/>
        <w:spacing w:after="0"/>
        <w:rPr>
          <w:sz w:val="20"/>
          <w:szCs w:val="20"/>
          <w:color w:val="auto"/>
        </w:rPr>
      </w:pPr>
      <w:r>
        <w:rPr>
          <w:rFonts w:ascii="Times New Roman" w:cs="Times New Roman" w:eastAsia="Times New Roman" w:hAnsi="Times New Roman"/>
          <w:sz w:val="14"/>
          <w:szCs w:val="14"/>
          <w:color w:val="auto"/>
        </w:rPr>
        <w:t>D-2</w:t>
      </w:r>
    </w:p>
    <w:p>
      <w:pPr>
        <w:sectPr>
          <w:pgSz w:w="11900" w:h="16838" w:orient="portrait"/>
          <w:cols w:equalWidth="0" w:num="1">
            <w:col w:w="9224"/>
          </w:cols>
          <w:pgMar w:left="1235" w:top="1083" w:right="1440" w:bottom="1440" w:gutter="0" w:footer="0" w:header="0"/>
        </w:sectPr>
      </w:pPr>
    </w:p>
    <w:bookmarkStart w:id="87" w:name="page88"/>
    <w:bookmarkEnd w:id="87"/>
    <w:p>
      <w:pPr>
        <w:jc w:val="both"/>
        <w:ind w:right="2939" w:firstLine="274"/>
        <w:spacing w:after="0" w:line="25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422275</wp:posOffset>
            </wp:positionV>
            <wp:extent cx="7190105"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0">
                      <a:extLst>
                        <a:ext uri="{28A0092B-C50C-407E-A947-70E740481C1C}"/>
                      </a:extLst>
                    </a:blip>
                    <a:srcRect/>
                    <a:stretch>
                      <a:fillRect/>
                    </a:stretch>
                  </pic:blipFill>
                  <pic:spPr bwMode="auto">
                    <a:xfrm>
                      <a:off x="0" y="0"/>
                      <a:ext cx="7190105" cy="38735"/>
                    </a:xfrm>
                    <a:prstGeom prst="rect">
                      <a:avLst/>
                    </a:prstGeom>
                    <a:noFill/>
                  </pic:spPr>
                </pic:pic>
              </a:graphicData>
            </a:graphic>
          </wp:anchor>
        </w:drawing>
        <w:t>In Policy Year 13, if you have not already taken the One-time Payment, your cumulative amount taken as Distribution Payments is $18,000, and your One-time Payment is $4,521, or the cumulative Maximum Distribution Payment minus the cumulative Distribution Payments taken. If you elect to take the One-time Payment of $4,521, you will continue to receive $6,000 a year until the cumulative amount of the Maximum Distribution Payment multiplied by the Distribution Payment Duration of $75,070 has been reached.</w:t>
      </w:r>
    </w:p>
    <w:p>
      <w:pPr>
        <w:spacing w:after="0" w:line="63" w:lineRule="exact"/>
        <w:rPr>
          <w:sz w:val="20"/>
          <w:szCs w:val="20"/>
          <w:color w:val="auto"/>
        </w:rPr>
      </w:pPr>
    </w:p>
    <w:p>
      <w:pPr>
        <w:jc w:val="both"/>
        <w:ind w:right="2939" w:firstLine="274"/>
        <w:spacing w:after="0" w:line="252" w:lineRule="auto"/>
        <w:rPr>
          <w:sz w:val="20"/>
          <w:szCs w:val="20"/>
          <w:color w:val="auto"/>
        </w:rPr>
      </w:pPr>
      <w:r>
        <w:rPr>
          <w:rFonts w:ascii="Times New Roman" w:cs="Times New Roman" w:eastAsia="Times New Roman" w:hAnsi="Times New Roman"/>
          <w:sz w:val="14"/>
          <w:szCs w:val="14"/>
          <w:color w:val="auto"/>
        </w:rPr>
        <w:t>In Policy Year 18, you are still receiving Distribution Payments of $6,000. Your unloaned Cash Value prior to your next Distribution Payment is $4,000. The amount available for Distribution Payments is equal to your unloaned Cash Value of $4,000. In order to receive your next Distribution Payment, we will increase your unloaned Cash Value to $6,000 so that the Distribution Payment can be made in the form of a loan.</w:t>
      </w:r>
    </w:p>
    <w:p>
      <w:pPr>
        <w:spacing w:after="0" w:line="6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u w:val="single" w:color="auto"/>
          <w:color w:val="auto"/>
        </w:rPr>
        <w:t>Example II</w:t>
      </w:r>
      <w:r>
        <w:rPr>
          <w:rFonts w:ascii="Times New Roman" w:cs="Times New Roman" w:eastAsia="Times New Roman" w:hAnsi="Times New Roman"/>
          <w:sz w:val="14"/>
          <w:szCs w:val="14"/>
          <w:color w:val="auto"/>
        </w:rPr>
        <w:t>:</w:t>
      </w:r>
    </w:p>
    <w:p>
      <w:pPr>
        <w:spacing w:after="0" w:line="86" w:lineRule="exact"/>
        <w:rPr>
          <w:sz w:val="20"/>
          <w:szCs w:val="20"/>
          <w:color w:val="auto"/>
        </w:rPr>
      </w:pPr>
    </w:p>
    <w:p>
      <w:pPr>
        <w:jc w:val="both"/>
        <w:ind w:right="2939" w:firstLine="274"/>
        <w:spacing w:after="0" w:line="256" w:lineRule="auto"/>
        <w:rPr>
          <w:sz w:val="20"/>
          <w:szCs w:val="20"/>
          <w:color w:val="auto"/>
        </w:rPr>
      </w:pPr>
      <w:r>
        <w:rPr>
          <w:rFonts w:ascii="Times New Roman" w:cs="Times New Roman" w:eastAsia="Times New Roman" w:hAnsi="Times New Roman"/>
          <w:sz w:val="14"/>
          <w:szCs w:val="14"/>
          <w:color w:val="auto"/>
        </w:rPr>
        <w:t>Assume you are a 50-year-old male, and your annual Planned Premium Payment is $10,000 a year for 10 years. You select an annual Distribution Payment Frequency for a Distribution Payment Duration of 10 years. You elect to begin taking Distribution Payments in Policy Year 11.</w:t>
      </w:r>
    </w:p>
    <w:p>
      <w:pPr>
        <w:spacing w:after="0" w:line="61" w:lineRule="exact"/>
        <w:rPr>
          <w:sz w:val="20"/>
          <w:szCs w:val="20"/>
          <w:color w:val="auto"/>
        </w:rPr>
      </w:pPr>
    </w:p>
    <w:p>
      <w:pPr>
        <w:jc w:val="both"/>
        <w:ind w:right="2939" w:firstLine="274"/>
        <w:spacing w:after="0" w:line="249" w:lineRule="auto"/>
        <w:rPr>
          <w:sz w:val="20"/>
          <w:szCs w:val="20"/>
          <w:color w:val="auto"/>
        </w:rPr>
      </w:pPr>
      <w:r>
        <w:rPr>
          <w:rFonts w:ascii="Times New Roman" w:cs="Times New Roman" w:eastAsia="Times New Roman" w:hAnsi="Times New Roman"/>
          <w:sz w:val="14"/>
          <w:szCs w:val="14"/>
          <w:color w:val="auto"/>
        </w:rPr>
        <w:t>Your assumed Maximum Distribution Payment is $7,507; however, you elect to receive only $2,000 a year starting in year 11. In Policy Year 15, your cumulative amount taken as Distribution Payments is $10,000. Your cumulative Maximum Distribution Payment is $37,535. The difference between the two is $27,535. If you have not already taken the One-time Payment and you elect to take it, the maximum amount available would be limited to $22,521, which is the minimum of 3 times the Maximum Distribution Amount (3 x $7,507 = $22,521) or $150,000. You will continue to receive $2,000 a year until the cumulative amount of the Maximum Distribution Payment multiplied by the Distribution Payment Duration of $75,070 has been reached.</w:t>
      </w:r>
    </w:p>
    <w:p>
      <w:pPr>
        <w:spacing w:after="0" w:line="65" w:lineRule="exact"/>
        <w:rPr>
          <w:sz w:val="20"/>
          <w:szCs w:val="20"/>
          <w:color w:val="auto"/>
        </w:rPr>
      </w:pPr>
    </w:p>
    <w:p>
      <w:pPr>
        <w:jc w:val="both"/>
        <w:ind w:right="2939" w:firstLine="274"/>
        <w:spacing w:after="0" w:line="267" w:lineRule="auto"/>
        <w:rPr>
          <w:sz w:val="20"/>
          <w:szCs w:val="20"/>
          <w:color w:val="auto"/>
        </w:rPr>
      </w:pPr>
      <w:r>
        <w:rPr>
          <w:rFonts w:ascii="Times New Roman" w:cs="Times New Roman" w:eastAsia="Times New Roman" w:hAnsi="Times New Roman"/>
          <w:sz w:val="14"/>
          <w:szCs w:val="14"/>
          <w:color w:val="auto"/>
        </w:rPr>
        <w:t>The One-time Payment is available once, at any time after Distribution Payments begin, if the cumulative amounts taken as Distribution Payments is less than the cumulative Maximum Distribution Payment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4"/>
          <w:szCs w:val="14"/>
          <w:color w:val="auto"/>
        </w:rPr>
        <w:t>D-3</w:t>
      </w:r>
    </w:p>
    <w:p>
      <w:pPr>
        <w:sectPr>
          <w:pgSz w:w="11900" w:h="16838" w:orient="portrait"/>
          <w:cols w:equalWidth="0" w:num="1">
            <w:col w:w="9219"/>
          </w:cols>
          <w:pgMar w:left="1240" w:top="1083" w:right="1440" w:bottom="1440" w:gutter="0" w:footer="0" w:header="0"/>
        </w:sectPr>
      </w:pPr>
    </w:p>
    <w:bookmarkStart w:id="88" w:name="page89"/>
    <w:bookmarkEnd w:id="8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179070</wp:posOffset>
            </wp:positionH>
            <wp:positionV relativeFrom="page">
              <wp:posOffset>422275</wp:posOffset>
            </wp:positionV>
            <wp:extent cx="719010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1">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640" w:type="dxa"/>
            <w:vAlign w:val="bottom"/>
            <w:vMerge w:val="restart"/>
          </w:tcPr>
          <w:p>
            <w:pPr>
              <w:ind w:left="840"/>
              <w:spacing w:after="0"/>
              <w:rPr>
                <w:sz w:val="20"/>
                <w:szCs w:val="20"/>
                <w:color w:val="auto"/>
              </w:rPr>
            </w:pPr>
            <w:r>
              <w:rPr>
                <w:rFonts w:ascii="Times New Roman" w:cs="Times New Roman" w:eastAsia="Times New Roman" w:hAnsi="Times New Roman"/>
                <w:sz w:val="14"/>
                <w:szCs w:val="14"/>
                <w:color w:val="auto"/>
                <w:w w:val="96"/>
              </w:rPr>
              <w:t>(THIS PAGE INTENTIONALLY LEFT BLANK.)</w:t>
            </w:r>
          </w:p>
        </w:tc>
        <w:tc>
          <w:tcPr>
            <w:tcW w:w="0" w:type="dxa"/>
            <w:vAlign w:val="bottom"/>
          </w:tcPr>
          <w:p>
            <w:pPr>
              <w:spacing w:after="0"/>
              <w:rPr>
                <w:sz w:val="1"/>
                <w:szCs w:val="1"/>
                <w:color w:val="auto"/>
              </w:rPr>
            </w:pPr>
          </w:p>
        </w:tc>
      </w:tr>
      <w:tr>
        <w:trPr>
          <w:trHeight w:val="68"/>
        </w:trPr>
        <w:tc>
          <w:tcPr>
            <w:tcW w:w="900" w:type="dxa"/>
            <w:vAlign w:val="bottom"/>
          </w:tcPr>
          <w:p>
            <w:pPr>
              <w:spacing w:after="0"/>
              <w:rPr>
                <w:sz w:val="5"/>
                <w:szCs w:val="5"/>
                <w:color w:val="auto"/>
              </w:rPr>
            </w:pPr>
          </w:p>
        </w:tc>
        <w:tc>
          <w:tcPr>
            <w:tcW w:w="36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9219"/>
          </w:cols>
          <w:pgMar w:left="1240" w:top="1440" w:right="1440" w:bottom="1440" w:gutter="0" w:footer="0" w:header="0"/>
        </w:sectPr>
      </w:pPr>
    </w:p>
    <w:bookmarkStart w:id="89" w:name="page90"/>
    <w:bookmarkEnd w:id="89"/>
    <w:p>
      <w:pPr>
        <w:jc w:val="center"/>
        <w:ind w:right="293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422275</wp:posOffset>
            </wp:positionV>
            <wp:extent cx="719010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2">
                      <a:extLst>
                        <a:ext uri="{28A0092B-C50C-407E-A947-70E740481C1C}"/>
                      </a:extLst>
                    </a:blip>
                    <a:srcRect/>
                    <a:stretch>
                      <a:fillRect/>
                    </a:stretch>
                  </pic:blipFill>
                  <pic:spPr bwMode="auto">
                    <a:xfrm>
                      <a:off x="0" y="0"/>
                      <a:ext cx="7190105" cy="38735"/>
                    </a:xfrm>
                    <a:prstGeom prst="rect">
                      <a:avLst/>
                    </a:prstGeom>
                    <a:noFill/>
                  </pic:spPr>
                </pic:pic>
              </a:graphicData>
            </a:graphic>
          </wp:anchor>
        </w:drawing>
        <w:t>APPENDIX E</w:t>
      </w:r>
    </w:p>
    <w:p>
      <w:pPr>
        <w:spacing w:after="0" w:line="86" w:lineRule="exact"/>
        <w:rPr>
          <w:sz w:val="20"/>
          <w:szCs w:val="20"/>
          <w:color w:val="auto"/>
        </w:rPr>
      </w:pPr>
    </w:p>
    <w:p>
      <w:pPr>
        <w:jc w:val="center"/>
        <w:ind w:right="2939"/>
        <w:spacing w:after="0"/>
        <w:rPr>
          <w:sz w:val="20"/>
          <w:szCs w:val="20"/>
          <w:color w:val="auto"/>
        </w:rPr>
      </w:pPr>
      <w:r>
        <w:rPr>
          <w:rFonts w:ascii="Times New Roman" w:cs="Times New Roman" w:eastAsia="Times New Roman" w:hAnsi="Times New Roman"/>
          <w:sz w:val="14"/>
          <w:szCs w:val="14"/>
          <w:b w:val="1"/>
          <w:bCs w:val="1"/>
          <w:color w:val="auto"/>
        </w:rPr>
        <w:t>CASH VALUE ACCUMULATION TEST</w:t>
      </w:r>
    </w:p>
    <w:p>
      <w:pPr>
        <w:spacing w:after="0" w:line="90" w:lineRule="exact"/>
        <w:rPr>
          <w:sz w:val="20"/>
          <w:szCs w:val="20"/>
          <w:color w:val="auto"/>
        </w:rPr>
      </w:pPr>
    </w:p>
    <w:p>
      <w:pPr>
        <w:jc w:val="both"/>
        <w:ind w:right="2939" w:firstLine="274"/>
        <w:spacing w:after="0" w:line="256" w:lineRule="auto"/>
        <w:rPr>
          <w:sz w:val="20"/>
          <w:szCs w:val="20"/>
          <w:color w:val="auto"/>
        </w:rPr>
      </w:pPr>
      <w:r>
        <w:rPr>
          <w:rFonts w:ascii="Times New Roman" w:cs="Times New Roman" w:eastAsia="Times New Roman" w:hAnsi="Times New Roman"/>
          <w:sz w:val="14"/>
          <w:szCs w:val="14"/>
          <w:color w:val="auto"/>
        </w:rPr>
        <w:t>In order to meet the Internal Revenue Code’s definition of life insurance, your policy provides that the death benefit will not be less than what is required by the “cash value accumulation test” under Section 7702(a)(1) of the Internal Revenue Code. This test will be used for the life of the Policy. (See “Death Benefit.”)</w:t>
      </w:r>
    </w:p>
    <w:p>
      <w:pPr>
        <w:spacing w:after="0" w:line="61" w:lineRule="exact"/>
        <w:rPr>
          <w:sz w:val="20"/>
          <w:szCs w:val="20"/>
          <w:color w:val="auto"/>
        </w:rPr>
      </w:pPr>
    </w:p>
    <w:p>
      <w:pPr>
        <w:jc w:val="both"/>
        <w:ind w:right="2939" w:firstLine="274"/>
        <w:spacing w:after="0" w:line="267" w:lineRule="auto"/>
        <w:rPr>
          <w:sz w:val="20"/>
          <w:szCs w:val="20"/>
          <w:color w:val="auto"/>
        </w:rPr>
      </w:pPr>
      <w:r>
        <w:rPr>
          <w:rFonts w:ascii="Times New Roman" w:cs="Times New Roman" w:eastAsia="Times New Roman" w:hAnsi="Times New Roman"/>
          <w:sz w:val="14"/>
          <w:szCs w:val="14"/>
          <w:color w:val="auto"/>
        </w:rPr>
        <w:t>Sample minimum death benefit factors for selected ages of male and female insureds, in a nonsmoker risk class, are listed below.</w:t>
      </w:r>
    </w:p>
    <w:p>
      <w:pPr>
        <w:spacing w:after="0" w:line="82" w:lineRule="exact"/>
        <w:rPr>
          <w:sz w:val="20"/>
          <w:szCs w:val="20"/>
          <w:color w:val="auto"/>
        </w:rPr>
      </w:pPr>
    </w:p>
    <w:tbl>
      <w:tblPr>
        <w:tblLayout w:type="fixed"/>
        <w:tblInd w:w="10" w:type="dxa"/>
        <w:tblCellMar>
          <w:top w:w="0" w:type="dxa"/>
          <w:left w:w="0" w:type="dxa"/>
          <w:bottom w:w="0" w:type="dxa"/>
          <w:right w:w="0" w:type="dxa"/>
        </w:tblCellMar>
      </w:tblPr>
      <w:tr>
        <w:trPr>
          <w:trHeight w:val="171"/>
        </w:trPr>
        <w:tc>
          <w:tcPr>
            <w:tcW w:w="2100" w:type="dxa"/>
            <w:vAlign w:val="bottom"/>
            <w:tcBorders>
              <w:top w:val="single" w:sz="8" w:color="auto"/>
              <w:left w:val="single" w:sz="8" w:color="auto"/>
              <w:right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2940" w:type="dxa"/>
            <w:vAlign w:val="bottom"/>
            <w:tcBorders>
              <w:top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Minimum Death Benefit Factor</w:t>
            </w:r>
          </w:p>
        </w:tc>
      </w:tr>
      <w:tr>
        <w:trPr>
          <w:trHeight w:val="40"/>
        </w:trPr>
        <w:tc>
          <w:tcPr>
            <w:tcW w:w="2100" w:type="dxa"/>
            <w:vAlign w:val="bottom"/>
            <w:tcBorders>
              <w:left w:val="single" w:sz="8" w:color="auto"/>
              <w:bottom w:val="single" w:sz="8" w:color="auto"/>
              <w:right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100" w:type="dxa"/>
            <w:vAlign w:val="bottom"/>
            <w:tcBorders>
              <w:bottom w:val="single" w:sz="8" w:color="auto"/>
              <w:right w:val="single" w:sz="8" w:color="auto"/>
            </w:tcBorders>
          </w:tcPr>
          <w:p>
            <w:pPr>
              <w:spacing w:after="0"/>
              <w:rPr>
                <w:sz w:val="3"/>
                <w:szCs w:val="3"/>
                <w:color w:val="auto"/>
              </w:rPr>
            </w:pPr>
          </w:p>
        </w:tc>
      </w:tr>
      <w:tr>
        <w:trPr>
          <w:trHeight w:val="191"/>
        </w:trPr>
        <w:tc>
          <w:tcPr>
            <w:tcW w:w="2100" w:type="dxa"/>
            <w:vAlign w:val="bottom"/>
            <w:tcBorders>
              <w:left w:val="single" w:sz="8" w:color="auto"/>
              <w:bottom w:val="single" w:sz="8" w:color="F0FFFF"/>
              <w:right w:val="single" w:sz="8" w:color="auto"/>
            </w:tcBorders>
            <w:shd w:val="clear" w:color="auto" w:fill="F0FFFF"/>
          </w:tcPr>
          <w:p>
            <w:pPr>
              <w:ind w:left="80"/>
              <w:spacing w:after="0"/>
              <w:rPr>
                <w:sz w:val="20"/>
                <w:szCs w:val="20"/>
                <w:color w:val="auto"/>
              </w:rPr>
            </w:pPr>
            <w:r>
              <w:rPr>
                <w:rFonts w:ascii="Times New Roman" w:cs="Times New Roman" w:eastAsia="Times New Roman" w:hAnsi="Times New Roman"/>
                <w:sz w:val="11"/>
                <w:szCs w:val="11"/>
                <w:b w:val="1"/>
                <w:bCs w:val="1"/>
                <w:color w:val="auto"/>
              </w:rPr>
              <w:t>Age</w:t>
            </w:r>
          </w:p>
        </w:tc>
        <w:tc>
          <w:tcPr>
            <w:tcW w:w="1260" w:type="dxa"/>
            <w:vAlign w:val="bottom"/>
            <w:tcBorders>
              <w:bottom w:val="single" w:sz="8" w:color="F0FFFF"/>
            </w:tcBorders>
            <w:shd w:val="clear" w:color="auto" w:fill="F0FFFF"/>
          </w:tcPr>
          <w:p>
            <w:pPr>
              <w:jc w:val="center"/>
              <w:ind w:left="753"/>
              <w:spacing w:after="0"/>
              <w:rPr>
                <w:sz w:val="20"/>
                <w:szCs w:val="20"/>
                <w:color w:val="auto"/>
              </w:rPr>
            </w:pPr>
            <w:r>
              <w:rPr>
                <w:rFonts w:ascii="Times New Roman" w:cs="Times New Roman" w:eastAsia="Times New Roman" w:hAnsi="Times New Roman"/>
                <w:sz w:val="11"/>
                <w:szCs w:val="11"/>
                <w:b w:val="1"/>
                <w:bCs w:val="1"/>
                <w:color w:val="auto"/>
              </w:rPr>
              <w:t>Male</w:t>
            </w:r>
          </w:p>
        </w:tc>
        <w:tc>
          <w:tcPr>
            <w:tcW w:w="840" w:type="dxa"/>
            <w:vAlign w:val="bottom"/>
            <w:tcBorders>
              <w:bottom w:val="single" w:sz="8" w:color="F0FFFF"/>
              <w:right w:val="single" w:sz="8" w:color="auto"/>
            </w:tcBorders>
            <w:shd w:val="clear" w:color="auto" w:fill="F0FFFF"/>
          </w:tcPr>
          <w:p>
            <w:pPr>
              <w:spacing w:after="0"/>
              <w:rPr>
                <w:sz w:val="16"/>
                <w:szCs w:val="16"/>
                <w:color w:val="auto"/>
              </w:rPr>
            </w:pPr>
          </w:p>
        </w:tc>
        <w:tc>
          <w:tcPr>
            <w:tcW w:w="2100" w:type="dxa"/>
            <w:vAlign w:val="bottom"/>
            <w:tcBorders>
              <w:bottom w:val="single" w:sz="8" w:color="F0FFFF"/>
              <w:right w:val="single" w:sz="8" w:color="auto"/>
            </w:tcBorders>
            <w:shd w:val="clear" w:color="auto" w:fill="F0FFFF"/>
          </w:tcPr>
          <w:p>
            <w:pPr>
              <w:ind w:left="880"/>
              <w:spacing w:after="0"/>
              <w:rPr>
                <w:sz w:val="20"/>
                <w:szCs w:val="20"/>
                <w:color w:val="auto"/>
              </w:rPr>
            </w:pPr>
            <w:r>
              <w:rPr>
                <w:rFonts w:ascii="Times New Roman" w:cs="Times New Roman" w:eastAsia="Times New Roman" w:hAnsi="Times New Roman"/>
                <w:sz w:val="11"/>
                <w:szCs w:val="11"/>
                <w:b w:val="1"/>
                <w:bCs w:val="1"/>
                <w:color w:val="auto"/>
              </w:rPr>
              <w:t>Female</w:t>
            </w:r>
          </w:p>
        </w:tc>
      </w:tr>
      <w:tr>
        <w:trPr>
          <w:trHeight w:val="185"/>
        </w:trPr>
        <w:tc>
          <w:tcPr>
            <w:tcW w:w="210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40</w:t>
            </w:r>
          </w:p>
        </w:tc>
        <w:tc>
          <w:tcPr>
            <w:tcW w:w="1260" w:type="dxa"/>
            <w:vAlign w:val="bottom"/>
            <w:tcBorders>
              <w:top w:val="single" w:sz="8" w:color="auto"/>
            </w:tcBorders>
          </w:tcPr>
          <w:p>
            <w:pPr>
              <w:jc w:val="center"/>
              <w:ind w:left="733"/>
              <w:spacing w:after="0"/>
              <w:rPr>
                <w:sz w:val="20"/>
                <w:szCs w:val="20"/>
                <w:color w:val="auto"/>
              </w:rPr>
            </w:pPr>
            <w:r>
              <w:rPr>
                <w:rFonts w:ascii="Times New Roman" w:cs="Times New Roman" w:eastAsia="Times New Roman" w:hAnsi="Times New Roman"/>
                <w:sz w:val="14"/>
                <w:szCs w:val="14"/>
                <w:color w:val="auto"/>
                <w:w w:val="95"/>
              </w:rPr>
              <w:t>2.254</w:t>
            </w:r>
          </w:p>
        </w:tc>
        <w:tc>
          <w:tcPr>
            <w:tcW w:w="840" w:type="dxa"/>
            <w:vAlign w:val="bottom"/>
            <w:tcBorders>
              <w:top w:val="single" w:sz="8" w:color="auto"/>
              <w:right w:val="single" w:sz="8" w:color="auto"/>
            </w:tcBorders>
          </w:tcPr>
          <w:p>
            <w:pPr>
              <w:spacing w:after="0"/>
              <w:rPr>
                <w:sz w:val="16"/>
                <w:szCs w:val="16"/>
                <w:color w:val="auto"/>
              </w:rPr>
            </w:pPr>
          </w:p>
        </w:tc>
        <w:tc>
          <w:tcPr>
            <w:tcW w:w="2100" w:type="dxa"/>
            <w:vAlign w:val="bottom"/>
            <w:tcBorders>
              <w:top w:val="single" w:sz="8" w:color="auto"/>
              <w:right w:val="single" w:sz="8" w:color="auto"/>
            </w:tcBorders>
          </w:tcPr>
          <w:p>
            <w:pPr>
              <w:ind w:left="880"/>
              <w:spacing w:after="0"/>
              <w:rPr>
                <w:sz w:val="20"/>
                <w:szCs w:val="20"/>
                <w:color w:val="auto"/>
              </w:rPr>
            </w:pPr>
            <w:r>
              <w:rPr>
                <w:rFonts w:ascii="Times New Roman" w:cs="Times New Roman" w:eastAsia="Times New Roman" w:hAnsi="Times New Roman"/>
                <w:sz w:val="14"/>
                <w:szCs w:val="14"/>
                <w:color w:val="auto"/>
              </w:rPr>
              <w:t>2.385</w:t>
            </w:r>
          </w:p>
        </w:tc>
      </w:tr>
      <w:tr>
        <w:trPr>
          <w:trHeight w:val="22"/>
        </w:trPr>
        <w:tc>
          <w:tcPr>
            <w:tcW w:w="21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c>
          <w:tcPr>
            <w:tcW w:w="2100" w:type="dxa"/>
            <w:vAlign w:val="bottom"/>
            <w:tcBorders>
              <w:bottom w:val="single" w:sz="8" w:color="auto"/>
              <w:right w:val="single" w:sz="8" w:color="auto"/>
            </w:tcBorders>
          </w:tcPr>
          <w:p>
            <w:pPr>
              <w:spacing w:after="0" w:line="20" w:lineRule="exact"/>
              <w:rPr>
                <w:sz w:val="1"/>
                <w:szCs w:val="1"/>
                <w:color w:val="auto"/>
              </w:rPr>
            </w:pPr>
          </w:p>
        </w:tc>
      </w:tr>
      <w:tr>
        <w:trPr>
          <w:trHeight w:val="211"/>
        </w:trPr>
        <w:tc>
          <w:tcPr>
            <w:tcW w:w="2100" w:type="dxa"/>
            <w:vAlign w:val="bottom"/>
            <w:tcBorders>
              <w:left w:val="single" w:sz="8" w:color="auto"/>
              <w:bottom w:val="single" w:sz="8" w:color="F0FFFF"/>
              <w:right w:val="single" w:sz="8" w:color="auto"/>
            </w:tcBorders>
            <w:shd w:val="clear" w:color="auto" w:fill="F0FFFF"/>
          </w:tcPr>
          <w:p>
            <w:pPr>
              <w:ind w:left="80"/>
              <w:spacing w:after="0"/>
              <w:rPr>
                <w:sz w:val="20"/>
                <w:szCs w:val="20"/>
                <w:color w:val="auto"/>
              </w:rPr>
            </w:pPr>
            <w:r>
              <w:rPr>
                <w:rFonts w:ascii="Times New Roman" w:cs="Times New Roman" w:eastAsia="Times New Roman" w:hAnsi="Times New Roman"/>
                <w:sz w:val="14"/>
                <w:szCs w:val="14"/>
                <w:color w:val="auto"/>
              </w:rPr>
              <w:t>50</w:t>
            </w:r>
          </w:p>
        </w:tc>
        <w:tc>
          <w:tcPr>
            <w:tcW w:w="1260" w:type="dxa"/>
            <w:vAlign w:val="bottom"/>
            <w:tcBorders>
              <w:bottom w:val="single" w:sz="8" w:color="F0FFFF"/>
            </w:tcBorders>
            <w:shd w:val="clear" w:color="auto" w:fill="F0FFFF"/>
          </w:tcPr>
          <w:p>
            <w:pPr>
              <w:jc w:val="center"/>
              <w:ind w:left="733"/>
              <w:spacing w:after="0"/>
              <w:rPr>
                <w:sz w:val="20"/>
                <w:szCs w:val="20"/>
                <w:color w:val="auto"/>
              </w:rPr>
            </w:pPr>
            <w:r>
              <w:rPr>
                <w:rFonts w:ascii="Times New Roman" w:cs="Times New Roman" w:eastAsia="Times New Roman" w:hAnsi="Times New Roman"/>
                <w:sz w:val="14"/>
                <w:szCs w:val="14"/>
                <w:color w:val="auto"/>
                <w:w w:val="95"/>
              </w:rPr>
              <w:t>1.885</w:t>
            </w:r>
          </w:p>
        </w:tc>
        <w:tc>
          <w:tcPr>
            <w:tcW w:w="840" w:type="dxa"/>
            <w:vAlign w:val="bottom"/>
            <w:tcBorders>
              <w:bottom w:val="single" w:sz="8" w:color="F0FFFF"/>
              <w:right w:val="single" w:sz="8" w:color="auto"/>
            </w:tcBorders>
            <w:shd w:val="clear" w:color="auto" w:fill="F0FFFF"/>
          </w:tcPr>
          <w:p>
            <w:pPr>
              <w:spacing w:after="0"/>
              <w:rPr>
                <w:sz w:val="17"/>
                <w:szCs w:val="17"/>
                <w:color w:val="auto"/>
              </w:rPr>
            </w:pPr>
          </w:p>
        </w:tc>
        <w:tc>
          <w:tcPr>
            <w:tcW w:w="2100" w:type="dxa"/>
            <w:vAlign w:val="bottom"/>
            <w:tcBorders>
              <w:bottom w:val="single" w:sz="8" w:color="F0FFFF"/>
              <w:right w:val="single" w:sz="8" w:color="auto"/>
            </w:tcBorders>
            <w:shd w:val="clear" w:color="auto" w:fill="F0FFFF"/>
          </w:tcPr>
          <w:p>
            <w:pPr>
              <w:ind w:left="880"/>
              <w:spacing w:after="0"/>
              <w:rPr>
                <w:sz w:val="20"/>
                <w:szCs w:val="20"/>
                <w:color w:val="auto"/>
              </w:rPr>
            </w:pPr>
            <w:r>
              <w:rPr>
                <w:rFonts w:ascii="Times New Roman" w:cs="Times New Roman" w:eastAsia="Times New Roman" w:hAnsi="Times New Roman"/>
                <w:sz w:val="14"/>
                <w:szCs w:val="14"/>
                <w:color w:val="auto"/>
              </w:rPr>
              <w:t>1.982</w:t>
            </w:r>
          </w:p>
        </w:tc>
      </w:tr>
      <w:tr>
        <w:trPr>
          <w:trHeight w:val="185"/>
        </w:trPr>
        <w:tc>
          <w:tcPr>
            <w:tcW w:w="210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60</w:t>
            </w:r>
          </w:p>
        </w:tc>
        <w:tc>
          <w:tcPr>
            <w:tcW w:w="1260" w:type="dxa"/>
            <w:vAlign w:val="bottom"/>
            <w:tcBorders>
              <w:top w:val="single" w:sz="8" w:color="auto"/>
            </w:tcBorders>
          </w:tcPr>
          <w:p>
            <w:pPr>
              <w:jc w:val="center"/>
              <w:ind w:left="733"/>
              <w:spacing w:after="0"/>
              <w:rPr>
                <w:sz w:val="20"/>
                <w:szCs w:val="20"/>
                <w:color w:val="auto"/>
              </w:rPr>
            </w:pPr>
            <w:r>
              <w:rPr>
                <w:rFonts w:ascii="Times New Roman" w:cs="Times New Roman" w:eastAsia="Times New Roman" w:hAnsi="Times New Roman"/>
                <w:sz w:val="14"/>
                <w:szCs w:val="14"/>
                <w:color w:val="auto"/>
                <w:w w:val="95"/>
              </w:rPr>
              <w:t>1.584</w:t>
            </w:r>
          </w:p>
        </w:tc>
        <w:tc>
          <w:tcPr>
            <w:tcW w:w="840" w:type="dxa"/>
            <w:vAlign w:val="bottom"/>
            <w:tcBorders>
              <w:top w:val="single" w:sz="8" w:color="auto"/>
              <w:right w:val="single" w:sz="8" w:color="auto"/>
            </w:tcBorders>
          </w:tcPr>
          <w:p>
            <w:pPr>
              <w:spacing w:after="0"/>
              <w:rPr>
                <w:sz w:val="16"/>
                <w:szCs w:val="16"/>
                <w:color w:val="auto"/>
              </w:rPr>
            </w:pPr>
          </w:p>
        </w:tc>
        <w:tc>
          <w:tcPr>
            <w:tcW w:w="2100" w:type="dxa"/>
            <w:vAlign w:val="bottom"/>
            <w:tcBorders>
              <w:top w:val="single" w:sz="8" w:color="auto"/>
              <w:right w:val="single" w:sz="8" w:color="auto"/>
            </w:tcBorders>
          </w:tcPr>
          <w:p>
            <w:pPr>
              <w:ind w:left="880"/>
              <w:spacing w:after="0"/>
              <w:rPr>
                <w:sz w:val="20"/>
                <w:szCs w:val="20"/>
                <w:color w:val="auto"/>
              </w:rPr>
            </w:pPr>
            <w:r>
              <w:rPr>
                <w:rFonts w:ascii="Times New Roman" w:cs="Times New Roman" w:eastAsia="Times New Roman" w:hAnsi="Times New Roman"/>
                <w:sz w:val="14"/>
                <w:szCs w:val="14"/>
                <w:color w:val="auto"/>
              </w:rPr>
              <w:t>1.657</w:t>
            </w:r>
          </w:p>
        </w:tc>
      </w:tr>
      <w:tr>
        <w:trPr>
          <w:trHeight w:val="22"/>
        </w:trPr>
        <w:tc>
          <w:tcPr>
            <w:tcW w:w="21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c>
          <w:tcPr>
            <w:tcW w:w="2100" w:type="dxa"/>
            <w:vAlign w:val="bottom"/>
            <w:tcBorders>
              <w:bottom w:val="single" w:sz="8" w:color="auto"/>
              <w:right w:val="single" w:sz="8" w:color="auto"/>
            </w:tcBorders>
          </w:tcPr>
          <w:p>
            <w:pPr>
              <w:spacing w:after="0" w:line="20" w:lineRule="exact"/>
              <w:rPr>
                <w:sz w:val="1"/>
                <w:szCs w:val="1"/>
                <w:color w:val="auto"/>
              </w:rPr>
            </w:pPr>
          </w:p>
        </w:tc>
      </w:tr>
      <w:tr>
        <w:trPr>
          <w:trHeight w:val="211"/>
        </w:trPr>
        <w:tc>
          <w:tcPr>
            <w:tcW w:w="2100" w:type="dxa"/>
            <w:vAlign w:val="bottom"/>
            <w:tcBorders>
              <w:left w:val="single" w:sz="8" w:color="auto"/>
              <w:bottom w:val="single" w:sz="8" w:color="F0FFFF"/>
              <w:right w:val="single" w:sz="8" w:color="auto"/>
            </w:tcBorders>
            <w:shd w:val="clear" w:color="auto" w:fill="F0FFFF"/>
          </w:tcPr>
          <w:p>
            <w:pPr>
              <w:ind w:left="80"/>
              <w:spacing w:after="0"/>
              <w:rPr>
                <w:sz w:val="20"/>
                <w:szCs w:val="20"/>
                <w:color w:val="auto"/>
              </w:rPr>
            </w:pPr>
            <w:r>
              <w:rPr>
                <w:rFonts w:ascii="Times New Roman" w:cs="Times New Roman" w:eastAsia="Times New Roman" w:hAnsi="Times New Roman"/>
                <w:sz w:val="14"/>
                <w:szCs w:val="14"/>
                <w:color w:val="auto"/>
              </w:rPr>
              <w:t>70</w:t>
            </w:r>
          </w:p>
        </w:tc>
        <w:tc>
          <w:tcPr>
            <w:tcW w:w="1260" w:type="dxa"/>
            <w:vAlign w:val="bottom"/>
            <w:tcBorders>
              <w:bottom w:val="single" w:sz="8" w:color="F0FFFF"/>
            </w:tcBorders>
            <w:shd w:val="clear" w:color="auto" w:fill="F0FFFF"/>
          </w:tcPr>
          <w:p>
            <w:pPr>
              <w:jc w:val="center"/>
              <w:ind w:left="733"/>
              <w:spacing w:after="0"/>
              <w:rPr>
                <w:sz w:val="20"/>
                <w:szCs w:val="20"/>
                <w:color w:val="auto"/>
              </w:rPr>
            </w:pPr>
            <w:r>
              <w:rPr>
                <w:rFonts w:ascii="Times New Roman" w:cs="Times New Roman" w:eastAsia="Times New Roman" w:hAnsi="Times New Roman"/>
                <w:sz w:val="14"/>
                <w:szCs w:val="14"/>
                <w:color w:val="auto"/>
                <w:w w:val="95"/>
              </w:rPr>
              <w:t>1.348</w:t>
            </w:r>
          </w:p>
        </w:tc>
        <w:tc>
          <w:tcPr>
            <w:tcW w:w="840" w:type="dxa"/>
            <w:vAlign w:val="bottom"/>
            <w:tcBorders>
              <w:bottom w:val="single" w:sz="8" w:color="F0FFFF"/>
              <w:right w:val="single" w:sz="8" w:color="auto"/>
            </w:tcBorders>
            <w:shd w:val="clear" w:color="auto" w:fill="F0FFFF"/>
          </w:tcPr>
          <w:p>
            <w:pPr>
              <w:spacing w:after="0"/>
              <w:rPr>
                <w:sz w:val="17"/>
                <w:szCs w:val="17"/>
                <w:color w:val="auto"/>
              </w:rPr>
            </w:pPr>
          </w:p>
        </w:tc>
        <w:tc>
          <w:tcPr>
            <w:tcW w:w="2100" w:type="dxa"/>
            <w:vAlign w:val="bottom"/>
            <w:tcBorders>
              <w:bottom w:val="single" w:sz="8" w:color="F0FFFF"/>
              <w:right w:val="single" w:sz="8" w:color="auto"/>
            </w:tcBorders>
            <w:shd w:val="clear" w:color="auto" w:fill="F0FFFF"/>
          </w:tcPr>
          <w:p>
            <w:pPr>
              <w:ind w:left="880"/>
              <w:spacing w:after="0"/>
              <w:rPr>
                <w:sz w:val="20"/>
                <w:szCs w:val="20"/>
                <w:color w:val="auto"/>
              </w:rPr>
            </w:pPr>
            <w:r>
              <w:rPr>
                <w:rFonts w:ascii="Times New Roman" w:cs="Times New Roman" w:eastAsia="Times New Roman" w:hAnsi="Times New Roman"/>
                <w:sz w:val="14"/>
                <w:szCs w:val="14"/>
                <w:color w:val="auto"/>
              </w:rPr>
              <w:t>1.400</w:t>
            </w:r>
          </w:p>
        </w:tc>
      </w:tr>
      <w:tr>
        <w:trPr>
          <w:trHeight w:val="185"/>
        </w:trPr>
        <w:tc>
          <w:tcPr>
            <w:tcW w:w="210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80</w:t>
            </w:r>
          </w:p>
        </w:tc>
        <w:tc>
          <w:tcPr>
            <w:tcW w:w="1260" w:type="dxa"/>
            <w:vAlign w:val="bottom"/>
            <w:tcBorders>
              <w:top w:val="single" w:sz="8" w:color="auto"/>
            </w:tcBorders>
          </w:tcPr>
          <w:p>
            <w:pPr>
              <w:jc w:val="center"/>
              <w:ind w:left="733"/>
              <w:spacing w:after="0"/>
              <w:rPr>
                <w:sz w:val="20"/>
                <w:szCs w:val="20"/>
                <w:color w:val="auto"/>
              </w:rPr>
            </w:pPr>
            <w:r>
              <w:rPr>
                <w:rFonts w:ascii="Times New Roman" w:cs="Times New Roman" w:eastAsia="Times New Roman" w:hAnsi="Times New Roman"/>
                <w:sz w:val="14"/>
                <w:szCs w:val="14"/>
                <w:color w:val="auto"/>
                <w:w w:val="95"/>
              </w:rPr>
              <w:t>1.177</w:t>
            </w:r>
          </w:p>
        </w:tc>
        <w:tc>
          <w:tcPr>
            <w:tcW w:w="840" w:type="dxa"/>
            <w:vAlign w:val="bottom"/>
            <w:tcBorders>
              <w:top w:val="single" w:sz="8" w:color="auto"/>
              <w:right w:val="single" w:sz="8" w:color="auto"/>
            </w:tcBorders>
          </w:tcPr>
          <w:p>
            <w:pPr>
              <w:spacing w:after="0"/>
              <w:rPr>
                <w:sz w:val="16"/>
                <w:szCs w:val="16"/>
                <w:color w:val="auto"/>
              </w:rPr>
            </w:pPr>
          </w:p>
        </w:tc>
        <w:tc>
          <w:tcPr>
            <w:tcW w:w="2100" w:type="dxa"/>
            <w:vAlign w:val="bottom"/>
            <w:tcBorders>
              <w:top w:val="single" w:sz="8" w:color="auto"/>
              <w:right w:val="single" w:sz="8" w:color="auto"/>
            </w:tcBorders>
          </w:tcPr>
          <w:p>
            <w:pPr>
              <w:ind w:left="880"/>
              <w:spacing w:after="0"/>
              <w:rPr>
                <w:sz w:val="20"/>
                <w:szCs w:val="20"/>
                <w:color w:val="auto"/>
              </w:rPr>
            </w:pPr>
            <w:r>
              <w:rPr>
                <w:rFonts w:ascii="Times New Roman" w:cs="Times New Roman" w:eastAsia="Times New Roman" w:hAnsi="Times New Roman"/>
                <w:sz w:val="14"/>
                <w:szCs w:val="14"/>
                <w:color w:val="auto"/>
              </w:rPr>
              <w:t>1.205</w:t>
            </w:r>
          </w:p>
        </w:tc>
      </w:tr>
      <w:tr>
        <w:trPr>
          <w:trHeight w:val="22"/>
        </w:trPr>
        <w:tc>
          <w:tcPr>
            <w:tcW w:w="21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c>
          <w:tcPr>
            <w:tcW w:w="2100" w:type="dxa"/>
            <w:vAlign w:val="bottom"/>
            <w:tcBorders>
              <w:bottom w:val="single" w:sz="8" w:color="auto"/>
              <w:right w:val="single" w:sz="8" w:color="auto"/>
            </w:tcBorders>
          </w:tcPr>
          <w:p>
            <w:pPr>
              <w:spacing w:after="0" w:line="20" w:lineRule="exact"/>
              <w:rPr>
                <w:sz w:val="1"/>
                <w:szCs w:val="1"/>
                <w:color w:val="auto"/>
              </w:rPr>
            </w:pPr>
          </w:p>
        </w:tc>
      </w:tr>
      <w:tr>
        <w:trPr>
          <w:trHeight w:val="211"/>
        </w:trPr>
        <w:tc>
          <w:tcPr>
            <w:tcW w:w="2100" w:type="dxa"/>
            <w:vAlign w:val="bottom"/>
            <w:tcBorders>
              <w:left w:val="single" w:sz="8" w:color="auto"/>
              <w:bottom w:val="single" w:sz="8" w:color="F0FFFF"/>
              <w:right w:val="single" w:sz="8" w:color="auto"/>
            </w:tcBorders>
            <w:shd w:val="clear" w:color="auto" w:fill="F0FFFF"/>
          </w:tcPr>
          <w:p>
            <w:pPr>
              <w:ind w:left="80"/>
              <w:spacing w:after="0"/>
              <w:rPr>
                <w:sz w:val="20"/>
                <w:szCs w:val="20"/>
                <w:color w:val="auto"/>
              </w:rPr>
            </w:pPr>
            <w:r>
              <w:rPr>
                <w:rFonts w:ascii="Times New Roman" w:cs="Times New Roman" w:eastAsia="Times New Roman" w:hAnsi="Times New Roman"/>
                <w:sz w:val="14"/>
                <w:szCs w:val="14"/>
                <w:color w:val="auto"/>
              </w:rPr>
              <w:t>90</w:t>
            </w:r>
          </w:p>
        </w:tc>
        <w:tc>
          <w:tcPr>
            <w:tcW w:w="1260" w:type="dxa"/>
            <w:vAlign w:val="bottom"/>
            <w:tcBorders>
              <w:bottom w:val="single" w:sz="8" w:color="F0FFFF"/>
            </w:tcBorders>
            <w:shd w:val="clear" w:color="auto" w:fill="F0FFFF"/>
          </w:tcPr>
          <w:p>
            <w:pPr>
              <w:jc w:val="center"/>
              <w:ind w:left="733"/>
              <w:spacing w:after="0"/>
              <w:rPr>
                <w:sz w:val="20"/>
                <w:szCs w:val="20"/>
                <w:color w:val="auto"/>
              </w:rPr>
            </w:pPr>
            <w:r>
              <w:rPr>
                <w:rFonts w:ascii="Times New Roman" w:cs="Times New Roman" w:eastAsia="Times New Roman" w:hAnsi="Times New Roman"/>
                <w:sz w:val="14"/>
                <w:szCs w:val="14"/>
                <w:color w:val="auto"/>
                <w:w w:val="95"/>
              </w:rPr>
              <w:t>1.064</w:t>
            </w:r>
          </w:p>
        </w:tc>
        <w:tc>
          <w:tcPr>
            <w:tcW w:w="840" w:type="dxa"/>
            <w:vAlign w:val="bottom"/>
            <w:tcBorders>
              <w:bottom w:val="single" w:sz="8" w:color="F0FFFF"/>
              <w:right w:val="single" w:sz="8" w:color="auto"/>
            </w:tcBorders>
            <w:shd w:val="clear" w:color="auto" w:fill="F0FFFF"/>
          </w:tcPr>
          <w:p>
            <w:pPr>
              <w:spacing w:after="0"/>
              <w:rPr>
                <w:sz w:val="17"/>
                <w:szCs w:val="17"/>
                <w:color w:val="auto"/>
              </w:rPr>
            </w:pPr>
          </w:p>
        </w:tc>
        <w:tc>
          <w:tcPr>
            <w:tcW w:w="2100" w:type="dxa"/>
            <w:vAlign w:val="bottom"/>
            <w:tcBorders>
              <w:bottom w:val="single" w:sz="8" w:color="F0FFFF"/>
              <w:right w:val="single" w:sz="8" w:color="auto"/>
            </w:tcBorders>
            <w:shd w:val="clear" w:color="auto" w:fill="F0FFFF"/>
          </w:tcPr>
          <w:p>
            <w:pPr>
              <w:ind w:left="880"/>
              <w:spacing w:after="0"/>
              <w:rPr>
                <w:sz w:val="20"/>
                <w:szCs w:val="20"/>
                <w:color w:val="auto"/>
              </w:rPr>
            </w:pPr>
            <w:r>
              <w:rPr>
                <w:rFonts w:ascii="Times New Roman" w:cs="Times New Roman" w:eastAsia="Times New Roman" w:hAnsi="Times New Roman"/>
                <w:sz w:val="14"/>
                <w:szCs w:val="14"/>
                <w:color w:val="auto"/>
              </w:rPr>
              <w:t>1.072</w:t>
            </w:r>
          </w:p>
        </w:tc>
      </w:tr>
      <w:tr>
        <w:trPr>
          <w:trHeight w:val="185"/>
        </w:trPr>
        <w:tc>
          <w:tcPr>
            <w:tcW w:w="210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100</w:t>
            </w:r>
          </w:p>
        </w:tc>
        <w:tc>
          <w:tcPr>
            <w:tcW w:w="1260" w:type="dxa"/>
            <w:vAlign w:val="bottom"/>
            <w:tcBorders>
              <w:top w:val="single" w:sz="8" w:color="auto"/>
            </w:tcBorders>
          </w:tcPr>
          <w:p>
            <w:pPr>
              <w:jc w:val="center"/>
              <w:ind w:left="733"/>
              <w:spacing w:after="0"/>
              <w:rPr>
                <w:sz w:val="20"/>
                <w:szCs w:val="20"/>
                <w:color w:val="auto"/>
              </w:rPr>
            </w:pPr>
            <w:r>
              <w:rPr>
                <w:rFonts w:ascii="Times New Roman" w:cs="Times New Roman" w:eastAsia="Times New Roman" w:hAnsi="Times New Roman"/>
                <w:sz w:val="14"/>
                <w:szCs w:val="14"/>
                <w:color w:val="auto"/>
                <w:w w:val="95"/>
              </w:rPr>
              <w:t>1.001</w:t>
            </w:r>
          </w:p>
        </w:tc>
        <w:tc>
          <w:tcPr>
            <w:tcW w:w="840" w:type="dxa"/>
            <w:vAlign w:val="bottom"/>
            <w:tcBorders>
              <w:top w:val="single" w:sz="8" w:color="auto"/>
              <w:right w:val="single" w:sz="8" w:color="auto"/>
            </w:tcBorders>
          </w:tcPr>
          <w:p>
            <w:pPr>
              <w:spacing w:after="0"/>
              <w:rPr>
                <w:sz w:val="16"/>
                <w:szCs w:val="16"/>
                <w:color w:val="auto"/>
              </w:rPr>
            </w:pPr>
          </w:p>
        </w:tc>
        <w:tc>
          <w:tcPr>
            <w:tcW w:w="2100" w:type="dxa"/>
            <w:vAlign w:val="bottom"/>
            <w:tcBorders>
              <w:top w:val="single" w:sz="8" w:color="auto"/>
              <w:right w:val="single" w:sz="8" w:color="auto"/>
            </w:tcBorders>
          </w:tcPr>
          <w:p>
            <w:pPr>
              <w:ind w:left="880"/>
              <w:spacing w:after="0"/>
              <w:rPr>
                <w:sz w:val="20"/>
                <w:szCs w:val="20"/>
                <w:color w:val="auto"/>
              </w:rPr>
            </w:pPr>
            <w:r>
              <w:rPr>
                <w:rFonts w:ascii="Times New Roman" w:cs="Times New Roman" w:eastAsia="Times New Roman" w:hAnsi="Times New Roman"/>
                <w:sz w:val="14"/>
                <w:szCs w:val="14"/>
                <w:color w:val="auto"/>
              </w:rPr>
              <w:t>1.001</w:t>
            </w:r>
          </w:p>
        </w:tc>
      </w:tr>
      <w:tr>
        <w:trPr>
          <w:trHeight w:val="22"/>
        </w:trPr>
        <w:tc>
          <w:tcPr>
            <w:tcW w:w="21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c>
          <w:tcPr>
            <w:tcW w:w="2100" w:type="dxa"/>
            <w:vAlign w:val="bottom"/>
            <w:tcBorders>
              <w:bottom w:val="single" w:sz="8" w:color="auto"/>
              <w:right w:val="single" w:sz="8" w:color="auto"/>
            </w:tcBorders>
          </w:tcPr>
          <w:p>
            <w:pPr>
              <w:spacing w:after="0" w:line="20" w:lineRule="exact"/>
              <w:rPr>
                <w:sz w:val="1"/>
                <w:szCs w:val="1"/>
                <w:color w:val="auto"/>
              </w:rPr>
            </w:pPr>
          </w:p>
        </w:tc>
      </w:tr>
      <w:tr>
        <w:trPr>
          <w:trHeight w:val="176"/>
        </w:trPr>
        <w:tc>
          <w:tcPr>
            <w:tcW w:w="2100" w:type="dxa"/>
            <w:vAlign w:val="bottom"/>
            <w:tcBorders>
              <w:left w:val="single" w:sz="8" w:color="auto"/>
              <w:bottom w:val="single" w:sz="8" w:color="F0FFFF"/>
              <w:right w:val="single" w:sz="8" w:color="auto"/>
            </w:tcBorders>
            <w:shd w:val="clear" w:color="auto" w:fill="F0FFFF"/>
          </w:tcPr>
          <w:p>
            <w:pPr>
              <w:ind w:left="80"/>
              <w:spacing w:after="0"/>
              <w:rPr>
                <w:sz w:val="20"/>
                <w:szCs w:val="20"/>
                <w:color w:val="auto"/>
              </w:rPr>
            </w:pPr>
            <w:r>
              <w:rPr>
                <w:rFonts w:ascii="Times New Roman" w:cs="Times New Roman" w:eastAsia="Times New Roman" w:hAnsi="Times New Roman"/>
                <w:sz w:val="14"/>
                <w:szCs w:val="14"/>
                <w:color w:val="auto"/>
              </w:rPr>
              <w:t>120</w:t>
            </w:r>
          </w:p>
        </w:tc>
        <w:tc>
          <w:tcPr>
            <w:tcW w:w="1260" w:type="dxa"/>
            <w:vAlign w:val="bottom"/>
            <w:tcBorders>
              <w:bottom w:val="single" w:sz="8" w:color="F0FFFF"/>
            </w:tcBorders>
            <w:shd w:val="clear" w:color="auto" w:fill="F0FFFF"/>
          </w:tcPr>
          <w:p>
            <w:pPr>
              <w:jc w:val="center"/>
              <w:ind w:left="733"/>
              <w:spacing w:after="0"/>
              <w:rPr>
                <w:sz w:val="20"/>
                <w:szCs w:val="20"/>
                <w:color w:val="auto"/>
              </w:rPr>
            </w:pPr>
            <w:r>
              <w:rPr>
                <w:rFonts w:ascii="Times New Roman" w:cs="Times New Roman" w:eastAsia="Times New Roman" w:hAnsi="Times New Roman"/>
                <w:sz w:val="14"/>
                <w:szCs w:val="14"/>
                <w:color w:val="auto"/>
                <w:w w:val="95"/>
              </w:rPr>
              <w:t>1.001</w:t>
            </w:r>
          </w:p>
        </w:tc>
        <w:tc>
          <w:tcPr>
            <w:tcW w:w="840" w:type="dxa"/>
            <w:vAlign w:val="bottom"/>
            <w:tcBorders>
              <w:bottom w:val="single" w:sz="8" w:color="F0FFFF"/>
              <w:right w:val="single" w:sz="8" w:color="auto"/>
            </w:tcBorders>
            <w:shd w:val="clear" w:color="auto" w:fill="F0FFFF"/>
          </w:tcPr>
          <w:p>
            <w:pPr>
              <w:spacing w:after="0"/>
              <w:rPr>
                <w:sz w:val="15"/>
                <w:szCs w:val="15"/>
                <w:color w:val="auto"/>
              </w:rPr>
            </w:pPr>
          </w:p>
        </w:tc>
        <w:tc>
          <w:tcPr>
            <w:tcW w:w="2100" w:type="dxa"/>
            <w:vAlign w:val="bottom"/>
            <w:tcBorders>
              <w:bottom w:val="single" w:sz="8" w:color="F0FFFF"/>
              <w:right w:val="single" w:sz="8" w:color="auto"/>
            </w:tcBorders>
            <w:shd w:val="clear" w:color="auto" w:fill="F0FFFF"/>
          </w:tcPr>
          <w:p>
            <w:pPr>
              <w:ind w:left="880"/>
              <w:spacing w:after="0"/>
              <w:rPr>
                <w:sz w:val="20"/>
                <w:szCs w:val="20"/>
                <w:color w:val="auto"/>
              </w:rPr>
            </w:pPr>
            <w:r>
              <w:rPr>
                <w:rFonts w:ascii="Times New Roman" w:cs="Times New Roman" w:eastAsia="Times New Roman" w:hAnsi="Times New Roman"/>
                <w:sz w:val="14"/>
                <w:szCs w:val="14"/>
                <w:color w:val="auto"/>
              </w:rPr>
              <w:t>1.001</w:t>
            </w:r>
          </w:p>
        </w:tc>
      </w:tr>
      <w:tr>
        <w:trPr>
          <w:trHeight w:val="20"/>
        </w:trPr>
        <w:tc>
          <w:tcPr>
            <w:tcW w:w="21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2100" w:type="dxa"/>
            <w:vAlign w:val="bottom"/>
            <w:tcBorders>
              <w:right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-1406525</wp:posOffset>
            </wp:positionV>
            <wp:extent cx="3983990" cy="13081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3">
                      <a:extLst>
                        <a:ext uri="{28A0092B-C50C-407E-A947-70E740481C1C}"/>
                      </a:extLst>
                    </a:blip>
                    <a:srcRect/>
                    <a:stretch>
                      <a:fillRect/>
                    </a:stretch>
                  </pic:blipFill>
                  <pic:spPr bwMode="auto">
                    <a:xfrm>
                      <a:off x="0" y="0"/>
                      <a:ext cx="3983990" cy="13081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-1145540</wp:posOffset>
            </wp:positionV>
            <wp:extent cx="3983990" cy="14351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4">
                      <a:extLst>
                        <a:ext uri="{28A0092B-C50C-407E-A947-70E740481C1C}"/>
                      </a:extLst>
                    </a:blip>
                    <a:srcRect/>
                    <a:stretch>
                      <a:fillRect/>
                    </a:stretch>
                  </pic:blipFill>
                  <pic:spPr bwMode="auto">
                    <a:xfrm>
                      <a:off x="0" y="0"/>
                      <a:ext cx="3983990" cy="14351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-857885</wp:posOffset>
            </wp:positionV>
            <wp:extent cx="3983990" cy="14351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5">
                      <a:extLst>
                        <a:ext uri="{28A0092B-C50C-407E-A947-70E740481C1C}"/>
                      </a:extLst>
                    </a:blip>
                    <a:srcRect/>
                    <a:stretch>
                      <a:fillRect/>
                    </a:stretch>
                  </pic:blipFill>
                  <pic:spPr bwMode="auto">
                    <a:xfrm>
                      <a:off x="0" y="0"/>
                      <a:ext cx="3983990" cy="14351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-570865</wp:posOffset>
            </wp:positionV>
            <wp:extent cx="3983990" cy="14351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6">
                      <a:extLst>
                        <a:ext uri="{28A0092B-C50C-407E-A947-70E740481C1C}"/>
                      </a:extLst>
                    </a:blip>
                    <a:srcRect/>
                    <a:stretch>
                      <a:fillRect/>
                    </a:stretch>
                  </pic:blipFill>
                  <pic:spPr bwMode="auto">
                    <a:xfrm>
                      <a:off x="0" y="0"/>
                      <a:ext cx="3983990" cy="14351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-283210</wp:posOffset>
            </wp:positionV>
            <wp:extent cx="3983990" cy="14351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7">
                      <a:extLst>
                        <a:ext uri="{28A0092B-C50C-407E-A947-70E740481C1C}"/>
                      </a:extLst>
                    </a:blip>
                    <a:srcRect/>
                    <a:stretch>
                      <a:fillRect/>
                    </a:stretch>
                  </pic:blipFill>
                  <pic:spPr bwMode="auto">
                    <a:xfrm>
                      <a:off x="0" y="0"/>
                      <a:ext cx="3983990" cy="143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4"/>
          <w:szCs w:val="14"/>
          <w:color w:val="auto"/>
        </w:rPr>
        <w:t>E-1</w:t>
      </w:r>
    </w:p>
    <w:p>
      <w:pPr>
        <w:sectPr>
          <w:pgSz w:w="11900" w:h="16838" w:orient="portrait"/>
          <w:cols w:equalWidth="0" w:num="1">
            <w:col w:w="9219"/>
          </w:cols>
          <w:pgMar w:left="1240" w:top="1079" w:right="1440" w:bottom="1440" w:gutter="0" w:footer="0" w:header="0"/>
        </w:sectPr>
      </w:pPr>
    </w:p>
    <w:bookmarkStart w:id="90" w:name="page91"/>
    <w:bookmarkEnd w:id="9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179070</wp:posOffset>
            </wp:positionH>
            <wp:positionV relativeFrom="page">
              <wp:posOffset>422275</wp:posOffset>
            </wp:positionV>
            <wp:extent cx="719010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8">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640" w:type="dxa"/>
            <w:vAlign w:val="bottom"/>
            <w:vMerge w:val="restart"/>
          </w:tcPr>
          <w:p>
            <w:pPr>
              <w:ind w:left="840"/>
              <w:spacing w:after="0"/>
              <w:rPr>
                <w:sz w:val="20"/>
                <w:szCs w:val="20"/>
                <w:color w:val="auto"/>
              </w:rPr>
            </w:pPr>
            <w:r>
              <w:rPr>
                <w:rFonts w:ascii="Times New Roman" w:cs="Times New Roman" w:eastAsia="Times New Roman" w:hAnsi="Times New Roman"/>
                <w:sz w:val="14"/>
                <w:szCs w:val="14"/>
                <w:color w:val="auto"/>
                <w:w w:val="96"/>
              </w:rPr>
              <w:t>(THIS PAGE INTENTIONALLY LEFT BLANK.)</w:t>
            </w:r>
          </w:p>
        </w:tc>
        <w:tc>
          <w:tcPr>
            <w:tcW w:w="0" w:type="dxa"/>
            <w:vAlign w:val="bottom"/>
          </w:tcPr>
          <w:p>
            <w:pPr>
              <w:spacing w:after="0"/>
              <w:rPr>
                <w:sz w:val="1"/>
                <w:szCs w:val="1"/>
                <w:color w:val="auto"/>
              </w:rPr>
            </w:pPr>
          </w:p>
        </w:tc>
      </w:tr>
      <w:tr>
        <w:trPr>
          <w:trHeight w:val="68"/>
        </w:trPr>
        <w:tc>
          <w:tcPr>
            <w:tcW w:w="900" w:type="dxa"/>
            <w:vAlign w:val="bottom"/>
          </w:tcPr>
          <w:p>
            <w:pPr>
              <w:spacing w:after="0"/>
              <w:rPr>
                <w:sz w:val="5"/>
                <w:szCs w:val="5"/>
                <w:color w:val="auto"/>
              </w:rPr>
            </w:pPr>
          </w:p>
        </w:tc>
        <w:tc>
          <w:tcPr>
            <w:tcW w:w="36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9219"/>
          </w:cols>
          <w:pgMar w:left="1240" w:top="1440" w:right="1440" w:bottom="1440" w:gutter="0" w:footer="0" w:header="0"/>
        </w:sectPr>
      </w:pPr>
    </w:p>
    <w:bookmarkStart w:id="91" w:name="page92"/>
    <w:bookmarkEnd w:id="91"/>
    <w:p>
      <w:pPr>
        <w:jc w:val="center"/>
        <w:ind w:right="293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422275</wp:posOffset>
            </wp:positionV>
            <wp:extent cx="719010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9">
                      <a:extLst>
                        <a:ext uri="{28A0092B-C50C-407E-A947-70E740481C1C}"/>
                      </a:extLst>
                    </a:blip>
                    <a:srcRect/>
                    <a:stretch>
                      <a:fillRect/>
                    </a:stretch>
                  </pic:blipFill>
                  <pic:spPr bwMode="auto">
                    <a:xfrm>
                      <a:off x="0" y="0"/>
                      <a:ext cx="7190105" cy="38735"/>
                    </a:xfrm>
                    <a:prstGeom prst="rect">
                      <a:avLst/>
                    </a:prstGeom>
                    <a:noFill/>
                  </pic:spPr>
                </pic:pic>
              </a:graphicData>
            </a:graphic>
          </wp:anchor>
        </w:drawing>
        <w:t>APPENDIX F</w:t>
      </w:r>
    </w:p>
    <w:p>
      <w:pPr>
        <w:spacing w:after="0" w:line="86" w:lineRule="exact"/>
        <w:rPr>
          <w:sz w:val="20"/>
          <w:szCs w:val="20"/>
          <w:color w:val="auto"/>
        </w:rPr>
      </w:pPr>
    </w:p>
    <w:p>
      <w:pPr>
        <w:jc w:val="center"/>
        <w:ind w:right="2939"/>
        <w:spacing w:after="0"/>
        <w:rPr>
          <w:sz w:val="20"/>
          <w:szCs w:val="20"/>
          <w:color w:val="auto"/>
        </w:rPr>
      </w:pPr>
      <w:r>
        <w:rPr>
          <w:rFonts w:ascii="Times New Roman" w:cs="Times New Roman" w:eastAsia="Times New Roman" w:hAnsi="Times New Roman"/>
          <w:sz w:val="14"/>
          <w:szCs w:val="14"/>
          <w:b w:val="1"/>
          <w:bCs w:val="1"/>
          <w:color w:val="auto"/>
        </w:rPr>
        <w:t>STATE VARIATIONS</w:t>
      </w:r>
    </w:p>
    <w:p>
      <w:pPr>
        <w:spacing w:after="0" w:line="90" w:lineRule="exact"/>
        <w:rPr>
          <w:sz w:val="20"/>
          <w:szCs w:val="20"/>
          <w:color w:val="auto"/>
        </w:rPr>
      </w:pPr>
    </w:p>
    <w:p>
      <w:pPr>
        <w:jc w:val="both"/>
        <w:ind w:right="2939" w:firstLine="274"/>
        <w:spacing w:after="0" w:line="249" w:lineRule="auto"/>
        <w:rPr>
          <w:sz w:val="20"/>
          <w:szCs w:val="20"/>
          <w:color w:val="auto"/>
        </w:rPr>
      </w:pPr>
      <w:r>
        <w:rPr>
          <w:rFonts w:ascii="Times New Roman" w:cs="Times New Roman" w:eastAsia="Times New Roman" w:hAnsi="Times New Roman"/>
          <w:sz w:val="14"/>
          <w:szCs w:val="14"/>
          <w:color w:val="auto"/>
        </w:rPr>
        <w:t>Certain Policy features and/or benefits described in this prospectus may vary or may not be available in your state, or may have been approved in your state after your Policy was issued and cannot be added. These variations are reflected in your Policy and in riders to your Policy. The following information is a summary of the states where certain Policy features and/or benefits are either not available as of the date of this prospectus or vary from the Policy’s features and benefits as described in this prospectus. See your financial representative or contact us for specific information that may be applicable to your state.</w:t>
      </w:r>
    </w:p>
    <w:p>
      <w:pPr>
        <w:spacing w:after="0" w:line="97" w:lineRule="exact"/>
        <w:rPr>
          <w:sz w:val="20"/>
          <w:szCs w:val="20"/>
          <w:color w:val="auto"/>
        </w:rPr>
      </w:pPr>
    </w:p>
    <w:tbl>
      <w:tblPr>
        <w:tblLayout w:type="fixed"/>
        <w:tblInd w:w="10" w:type="dxa"/>
        <w:tblCellMar>
          <w:top w:w="0" w:type="dxa"/>
          <w:left w:w="0" w:type="dxa"/>
          <w:bottom w:w="0" w:type="dxa"/>
          <w:right w:w="0" w:type="dxa"/>
        </w:tblCellMar>
      </w:tblPr>
      <w:tr>
        <w:trPr>
          <w:trHeight w:val="180"/>
        </w:trPr>
        <w:tc>
          <w:tcPr>
            <w:tcW w:w="204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1"/>
                <w:szCs w:val="11"/>
                <w:b w:val="1"/>
                <w:bCs w:val="1"/>
                <w:color w:val="auto"/>
              </w:rPr>
              <w:t>State</w:t>
            </w:r>
          </w:p>
        </w:tc>
        <w:tc>
          <w:tcPr>
            <w:tcW w:w="2040" w:type="dxa"/>
            <w:vAlign w:val="bottom"/>
            <w:tcBorders>
              <w:top w:val="single" w:sz="8" w:color="auto"/>
              <w:bottom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1"/>
                <w:szCs w:val="11"/>
                <w:b w:val="1"/>
                <w:bCs w:val="1"/>
                <w:color w:val="auto"/>
              </w:rPr>
              <w:t>Features or Benefit</w:t>
            </w:r>
          </w:p>
        </w:tc>
        <w:tc>
          <w:tcPr>
            <w:tcW w:w="2220" w:type="dxa"/>
            <w:vAlign w:val="bottom"/>
            <w:tcBorders>
              <w:top w:val="single" w:sz="8" w:color="auto"/>
              <w:bottom w:val="single" w:sz="8" w:color="auto"/>
              <w:right w:val="single" w:sz="8" w:color="auto"/>
            </w:tcBorders>
          </w:tcPr>
          <w:p>
            <w:pPr>
              <w:ind w:left="880"/>
              <w:spacing w:after="0"/>
              <w:rPr>
                <w:sz w:val="20"/>
                <w:szCs w:val="20"/>
                <w:color w:val="auto"/>
              </w:rPr>
            </w:pPr>
            <w:r>
              <w:rPr>
                <w:rFonts w:ascii="Times New Roman" w:cs="Times New Roman" w:eastAsia="Times New Roman" w:hAnsi="Times New Roman"/>
                <w:sz w:val="11"/>
                <w:szCs w:val="11"/>
                <w:b w:val="1"/>
                <w:bCs w:val="1"/>
                <w:color w:val="auto"/>
              </w:rPr>
              <w:t>Variation</w:t>
            </w:r>
          </w:p>
        </w:tc>
      </w:tr>
      <w:tr>
        <w:trPr>
          <w:trHeight w:val="172"/>
        </w:trPr>
        <w:tc>
          <w:tcPr>
            <w:tcW w:w="2040" w:type="dxa"/>
            <w:vAlign w:val="bottom"/>
            <w:tcBorders>
              <w:left w:val="single" w:sz="8" w:color="auto"/>
              <w:right w:val="single" w:sz="8" w:color="auto"/>
            </w:tcBorders>
            <w:shd w:val="clear" w:color="auto" w:fill="F0FFFF"/>
          </w:tcPr>
          <w:p>
            <w:pPr>
              <w:ind w:left="80"/>
              <w:spacing w:after="0"/>
              <w:rPr>
                <w:sz w:val="20"/>
                <w:szCs w:val="20"/>
                <w:color w:val="auto"/>
              </w:rPr>
            </w:pPr>
            <w:r>
              <w:rPr>
                <w:rFonts w:ascii="Times New Roman" w:cs="Times New Roman" w:eastAsia="Times New Roman" w:hAnsi="Times New Roman"/>
                <w:sz w:val="14"/>
                <w:szCs w:val="14"/>
                <w:color w:val="auto"/>
              </w:rPr>
              <w:t>Alabama</w:t>
            </w:r>
          </w:p>
        </w:tc>
        <w:tc>
          <w:tcPr>
            <w:tcW w:w="2040" w:type="dxa"/>
            <w:vAlign w:val="bottom"/>
            <w:tcBorders>
              <w:right w:val="single" w:sz="8" w:color="auto"/>
            </w:tcBorders>
            <w:shd w:val="clear" w:color="auto" w:fill="F0FFFF"/>
          </w:tcPr>
          <w:p>
            <w:pPr>
              <w:ind w:left="60"/>
              <w:spacing w:after="0"/>
              <w:rPr>
                <w:sz w:val="20"/>
                <w:szCs w:val="20"/>
                <w:color w:val="auto"/>
              </w:rPr>
            </w:pPr>
            <w:r>
              <w:rPr>
                <w:rFonts w:ascii="Times New Roman" w:cs="Times New Roman" w:eastAsia="Times New Roman" w:hAnsi="Times New Roman"/>
                <w:sz w:val="14"/>
                <w:szCs w:val="14"/>
                <w:color w:val="auto"/>
              </w:rPr>
              <w:t>Free Look</w:t>
            </w:r>
          </w:p>
        </w:tc>
        <w:tc>
          <w:tcPr>
            <w:tcW w:w="2220" w:type="dxa"/>
            <w:vAlign w:val="bottom"/>
            <w:tcBorders>
              <w:right w:val="single" w:sz="8" w:color="auto"/>
            </w:tcBorders>
            <w:shd w:val="clear" w:color="auto" w:fill="F0FFFF"/>
          </w:tcPr>
          <w:p>
            <w:pPr>
              <w:ind w:left="60"/>
              <w:spacing w:after="0"/>
              <w:rPr>
                <w:sz w:val="20"/>
                <w:szCs w:val="20"/>
                <w:color w:val="auto"/>
              </w:rPr>
            </w:pPr>
            <w:r>
              <w:rPr>
                <w:rFonts w:ascii="Times New Roman" w:cs="Times New Roman" w:eastAsia="Times New Roman" w:hAnsi="Times New Roman"/>
                <w:sz w:val="14"/>
                <w:szCs w:val="14"/>
                <w:color w:val="auto"/>
              </w:rPr>
              <w:t>For the replacement of an existing</w:t>
            </w:r>
          </w:p>
        </w:tc>
      </w:tr>
      <w:tr>
        <w:trPr>
          <w:trHeight w:val="165"/>
        </w:trPr>
        <w:tc>
          <w:tcPr>
            <w:tcW w:w="2040" w:type="dxa"/>
            <w:vAlign w:val="bottom"/>
            <w:tcBorders>
              <w:left w:val="single" w:sz="8" w:color="auto"/>
              <w:right w:val="single" w:sz="8" w:color="auto"/>
            </w:tcBorders>
            <w:shd w:val="clear" w:color="auto" w:fill="F0FFFF"/>
          </w:tcPr>
          <w:p>
            <w:pPr>
              <w:spacing w:after="0"/>
              <w:rPr>
                <w:sz w:val="14"/>
                <w:szCs w:val="14"/>
                <w:color w:val="auto"/>
              </w:rPr>
            </w:pPr>
          </w:p>
        </w:tc>
        <w:tc>
          <w:tcPr>
            <w:tcW w:w="2040" w:type="dxa"/>
            <w:vAlign w:val="bottom"/>
            <w:tcBorders>
              <w:right w:val="single" w:sz="8" w:color="auto"/>
            </w:tcBorders>
            <w:shd w:val="clear" w:color="auto" w:fill="F0FFFF"/>
          </w:tcPr>
          <w:p>
            <w:pPr>
              <w:spacing w:after="0"/>
              <w:rPr>
                <w:sz w:val="14"/>
                <w:szCs w:val="14"/>
                <w:color w:val="auto"/>
              </w:rPr>
            </w:pPr>
          </w:p>
        </w:tc>
        <w:tc>
          <w:tcPr>
            <w:tcW w:w="2220" w:type="dxa"/>
            <w:vAlign w:val="bottom"/>
            <w:tcBorders>
              <w:right w:val="single" w:sz="8" w:color="auto"/>
            </w:tcBorders>
            <w:shd w:val="clear" w:color="auto" w:fill="F0FFFF"/>
          </w:tcPr>
          <w:p>
            <w:pPr>
              <w:ind w:left="60"/>
              <w:spacing w:after="0"/>
              <w:rPr>
                <w:sz w:val="20"/>
                <w:szCs w:val="20"/>
                <w:color w:val="auto"/>
              </w:rPr>
            </w:pPr>
            <w:r>
              <w:rPr>
                <w:rFonts w:ascii="Times New Roman" w:cs="Times New Roman" w:eastAsia="Times New Roman" w:hAnsi="Times New Roman"/>
                <w:sz w:val="14"/>
                <w:szCs w:val="14"/>
                <w:color w:val="auto"/>
              </w:rPr>
              <w:t>policy, the Free Look period is</w:t>
            </w:r>
          </w:p>
        </w:tc>
      </w:tr>
      <w:tr>
        <w:trPr>
          <w:trHeight w:val="203"/>
        </w:trPr>
        <w:tc>
          <w:tcPr>
            <w:tcW w:w="2040" w:type="dxa"/>
            <w:vAlign w:val="bottom"/>
            <w:tcBorders>
              <w:left w:val="single" w:sz="8" w:color="auto"/>
              <w:bottom w:val="single" w:sz="8" w:color="F0FFFF"/>
              <w:right w:val="single" w:sz="8" w:color="auto"/>
            </w:tcBorders>
            <w:shd w:val="clear" w:color="auto" w:fill="F0FFFF"/>
          </w:tcPr>
          <w:p>
            <w:pPr>
              <w:spacing w:after="0"/>
              <w:rPr>
                <w:sz w:val="17"/>
                <w:szCs w:val="17"/>
                <w:color w:val="auto"/>
              </w:rPr>
            </w:pPr>
          </w:p>
        </w:tc>
        <w:tc>
          <w:tcPr>
            <w:tcW w:w="2040" w:type="dxa"/>
            <w:vAlign w:val="bottom"/>
            <w:tcBorders>
              <w:bottom w:val="single" w:sz="8" w:color="F0FFFF"/>
              <w:right w:val="single" w:sz="8" w:color="auto"/>
            </w:tcBorders>
            <w:shd w:val="clear" w:color="auto" w:fill="F0FFFF"/>
          </w:tcPr>
          <w:p>
            <w:pPr>
              <w:spacing w:after="0"/>
              <w:rPr>
                <w:sz w:val="17"/>
                <w:szCs w:val="17"/>
                <w:color w:val="auto"/>
              </w:rPr>
            </w:pPr>
          </w:p>
        </w:tc>
        <w:tc>
          <w:tcPr>
            <w:tcW w:w="2220" w:type="dxa"/>
            <w:vAlign w:val="bottom"/>
            <w:tcBorders>
              <w:bottom w:val="single" w:sz="8" w:color="F0FFFF"/>
              <w:right w:val="single" w:sz="8" w:color="auto"/>
            </w:tcBorders>
            <w:shd w:val="clear" w:color="auto" w:fill="F0FFFF"/>
          </w:tcPr>
          <w:p>
            <w:pPr>
              <w:ind w:left="60"/>
              <w:spacing w:after="0"/>
              <w:rPr>
                <w:sz w:val="20"/>
                <w:szCs w:val="20"/>
                <w:color w:val="auto"/>
              </w:rPr>
            </w:pPr>
            <w:r>
              <w:rPr>
                <w:rFonts w:ascii="Times New Roman" w:cs="Times New Roman" w:eastAsia="Times New Roman" w:hAnsi="Times New Roman"/>
                <w:sz w:val="14"/>
                <w:szCs w:val="14"/>
                <w:color w:val="auto"/>
              </w:rPr>
              <w:t>30 days.</w:t>
            </w:r>
          </w:p>
        </w:tc>
      </w:tr>
      <w:tr>
        <w:trPr>
          <w:trHeight w:val="163"/>
        </w:trPr>
        <w:tc>
          <w:tcPr>
            <w:tcW w:w="204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Alaska</w:t>
            </w:r>
          </w:p>
        </w:tc>
        <w:tc>
          <w:tcPr>
            <w:tcW w:w="204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Free Look</w:t>
            </w:r>
          </w:p>
        </w:tc>
        <w:tc>
          <w:tcPr>
            <w:tcW w:w="222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For the replacement of an existing</w:t>
            </w:r>
          </w:p>
        </w:tc>
      </w:tr>
      <w:tr>
        <w:trPr>
          <w:trHeight w:val="165"/>
        </w:trPr>
        <w:tc>
          <w:tcPr>
            <w:tcW w:w="2040" w:type="dxa"/>
            <w:vAlign w:val="bottom"/>
            <w:tcBorders>
              <w:left w:val="single" w:sz="8" w:color="auto"/>
              <w:right w:val="single" w:sz="8" w:color="auto"/>
            </w:tcBorders>
          </w:tcPr>
          <w:p>
            <w:pPr>
              <w:spacing w:after="0"/>
              <w:rPr>
                <w:sz w:val="14"/>
                <w:szCs w:val="14"/>
                <w:color w:val="auto"/>
              </w:rPr>
            </w:pPr>
          </w:p>
        </w:tc>
        <w:tc>
          <w:tcPr>
            <w:tcW w:w="2040" w:type="dxa"/>
            <w:vAlign w:val="bottom"/>
            <w:tcBorders>
              <w:right w:val="single" w:sz="8" w:color="auto"/>
            </w:tcBorders>
          </w:tcPr>
          <w:p>
            <w:pPr>
              <w:spacing w:after="0"/>
              <w:rPr>
                <w:sz w:val="14"/>
                <w:szCs w:val="14"/>
                <w:color w:val="auto"/>
              </w:rPr>
            </w:pPr>
          </w:p>
        </w:tc>
        <w:tc>
          <w:tcPr>
            <w:tcW w:w="2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policy, the Free Look period is</w:t>
            </w:r>
          </w:p>
        </w:tc>
      </w:tr>
      <w:tr>
        <w:trPr>
          <w:trHeight w:val="176"/>
        </w:trPr>
        <w:tc>
          <w:tcPr>
            <w:tcW w:w="2040" w:type="dxa"/>
            <w:vAlign w:val="bottom"/>
            <w:tcBorders>
              <w:left w:val="single" w:sz="8" w:color="auto"/>
              <w:right w:val="single" w:sz="8" w:color="auto"/>
            </w:tcBorders>
          </w:tcPr>
          <w:p>
            <w:pPr>
              <w:spacing w:after="0"/>
              <w:rPr>
                <w:sz w:val="15"/>
                <w:szCs w:val="15"/>
                <w:color w:val="auto"/>
              </w:rPr>
            </w:pPr>
          </w:p>
        </w:tc>
        <w:tc>
          <w:tcPr>
            <w:tcW w:w="2040" w:type="dxa"/>
            <w:vAlign w:val="bottom"/>
            <w:tcBorders>
              <w:right w:val="single" w:sz="8" w:color="auto"/>
            </w:tcBorders>
          </w:tcPr>
          <w:p>
            <w:pPr>
              <w:spacing w:after="0"/>
              <w:rPr>
                <w:sz w:val="15"/>
                <w:szCs w:val="15"/>
                <w:color w:val="auto"/>
              </w:rPr>
            </w:pPr>
          </w:p>
        </w:tc>
        <w:tc>
          <w:tcPr>
            <w:tcW w:w="2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30 days.</w:t>
            </w:r>
          </w:p>
        </w:tc>
      </w:tr>
      <w:tr>
        <w:trPr>
          <w:trHeight w:val="22"/>
        </w:trPr>
        <w:tc>
          <w:tcPr>
            <w:tcW w:w="20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40" w:type="dxa"/>
            <w:vAlign w:val="bottom"/>
            <w:tcBorders>
              <w:bottom w:val="single" w:sz="8" w:color="auto"/>
              <w:right w:val="single" w:sz="8" w:color="auto"/>
            </w:tcBorders>
          </w:tcPr>
          <w:p>
            <w:pPr>
              <w:spacing w:after="0" w:line="20" w:lineRule="exact"/>
              <w:rPr>
                <w:sz w:val="1"/>
                <w:szCs w:val="1"/>
                <w:color w:val="auto"/>
              </w:rPr>
            </w:pPr>
          </w:p>
        </w:tc>
        <w:tc>
          <w:tcPr>
            <w:tcW w:w="2220" w:type="dxa"/>
            <w:vAlign w:val="bottom"/>
            <w:tcBorders>
              <w:bottom w:val="single" w:sz="8" w:color="auto"/>
              <w:right w:val="single" w:sz="8" w:color="auto"/>
            </w:tcBorders>
          </w:tcPr>
          <w:p>
            <w:pPr>
              <w:spacing w:after="0" w:line="20" w:lineRule="exact"/>
              <w:rPr>
                <w:sz w:val="1"/>
                <w:szCs w:val="1"/>
                <w:color w:val="auto"/>
              </w:rPr>
            </w:pPr>
          </w:p>
        </w:tc>
      </w:tr>
      <w:tr>
        <w:trPr>
          <w:trHeight w:val="163"/>
        </w:trPr>
        <w:tc>
          <w:tcPr>
            <w:tcW w:w="2040" w:type="dxa"/>
            <w:vAlign w:val="bottom"/>
            <w:tcBorders>
              <w:left w:val="single" w:sz="8" w:color="auto"/>
              <w:right w:val="single" w:sz="8" w:color="auto"/>
            </w:tcBorders>
            <w:shd w:val="clear" w:color="auto" w:fill="F0FFFF"/>
          </w:tcPr>
          <w:p>
            <w:pPr>
              <w:ind w:left="80"/>
              <w:spacing w:after="0"/>
              <w:rPr>
                <w:sz w:val="20"/>
                <w:szCs w:val="20"/>
                <w:color w:val="auto"/>
              </w:rPr>
            </w:pPr>
            <w:r>
              <w:rPr>
                <w:rFonts w:ascii="Times New Roman" w:cs="Times New Roman" w:eastAsia="Times New Roman" w:hAnsi="Times New Roman"/>
                <w:sz w:val="14"/>
                <w:szCs w:val="14"/>
                <w:color w:val="auto"/>
              </w:rPr>
              <w:t>Arizona</w:t>
            </w:r>
          </w:p>
        </w:tc>
        <w:tc>
          <w:tcPr>
            <w:tcW w:w="2040" w:type="dxa"/>
            <w:vAlign w:val="bottom"/>
            <w:tcBorders>
              <w:right w:val="single" w:sz="8" w:color="auto"/>
            </w:tcBorders>
            <w:shd w:val="clear" w:color="auto" w:fill="F0FFFF"/>
          </w:tcPr>
          <w:p>
            <w:pPr>
              <w:ind w:left="60"/>
              <w:spacing w:after="0"/>
              <w:rPr>
                <w:sz w:val="20"/>
                <w:szCs w:val="20"/>
                <w:color w:val="auto"/>
              </w:rPr>
            </w:pPr>
            <w:r>
              <w:rPr>
                <w:rFonts w:ascii="Times New Roman" w:cs="Times New Roman" w:eastAsia="Times New Roman" w:hAnsi="Times New Roman"/>
                <w:sz w:val="14"/>
                <w:szCs w:val="14"/>
                <w:color w:val="auto"/>
              </w:rPr>
              <w:t>Free Look</w:t>
            </w:r>
          </w:p>
        </w:tc>
        <w:tc>
          <w:tcPr>
            <w:tcW w:w="2220" w:type="dxa"/>
            <w:vAlign w:val="bottom"/>
            <w:tcBorders>
              <w:right w:val="single" w:sz="8" w:color="auto"/>
            </w:tcBorders>
            <w:shd w:val="clear" w:color="auto" w:fill="F0FFFF"/>
          </w:tcPr>
          <w:p>
            <w:pPr>
              <w:ind w:left="60"/>
              <w:spacing w:after="0"/>
              <w:rPr>
                <w:sz w:val="20"/>
                <w:szCs w:val="20"/>
                <w:color w:val="auto"/>
              </w:rPr>
            </w:pPr>
            <w:r>
              <w:rPr>
                <w:rFonts w:ascii="Times New Roman" w:cs="Times New Roman" w:eastAsia="Times New Roman" w:hAnsi="Times New Roman"/>
                <w:sz w:val="14"/>
                <w:szCs w:val="14"/>
                <w:color w:val="auto"/>
              </w:rPr>
              <w:t>If the Owner is age 65 or older, the</w:t>
            </w:r>
          </w:p>
        </w:tc>
      </w:tr>
      <w:tr>
        <w:trPr>
          <w:trHeight w:val="165"/>
        </w:trPr>
        <w:tc>
          <w:tcPr>
            <w:tcW w:w="2040" w:type="dxa"/>
            <w:vAlign w:val="bottom"/>
            <w:tcBorders>
              <w:left w:val="single" w:sz="8" w:color="auto"/>
              <w:right w:val="single" w:sz="8" w:color="auto"/>
            </w:tcBorders>
            <w:shd w:val="clear" w:color="auto" w:fill="F0FFFF"/>
          </w:tcPr>
          <w:p>
            <w:pPr>
              <w:spacing w:after="0"/>
              <w:rPr>
                <w:sz w:val="14"/>
                <w:szCs w:val="14"/>
                <w:color w:val="auto"/>
              </w:rPr>
            </w:pPr>
          </w:p>
        </w:tc>
        <w:tc>
          <w:tcPr>
            <w:tcW w:w="2040" w:type="dxa"/>
            <w:vAlign w:val="bottom"/>
            <w:tcBorders>
              <w:right w:val="single" w:sz="8" w:color="auto"/>
            </w:tcBorders>
            <w:shd w:val="clear" w:color="auto" w:fill="F0FFFF"/>
          </w:tcPr>
          <w:p>
            <w:pPr>
              <w:spacing w:after="0"/>
              <w:rPr>
                <w:sz w:val="14"/>
                <w:szCs w:val="14"/>
                <w:color w:val="auto"/>
              </w:rPr>
            </w:pPr>
          </w:p>
        </w:tc>
        <w:tc>
          <w:tcPr>
            <w:tcW w:w="2220" w:type="dxa"/>
            <w:vAlign w:val="bottom"/>
            <w:tcBorders>
              <w:right w:val="single" w:sz="8" w:color="auto"/>
            </w:tcBorders>
            <w:shd w:val="clear" w:color="auto" w:fill="F0FFFF"/>
          </w:tcPr>
          <w:p>
            <w:pPr>
              <w:ind w:left="60"/>
              <w:spacing w:after="0"/>
              <w:rPr>
                <w:sz w:val="20"/>
                <w:szCs w:val="20"/>
                <w:color w:val="auto"/>
              </w:rPr>
            </w:pPr>
            <w:r>
              <w:rPr>
                <w:rFonts w:ascii="Times New Roman" w:cs="Times New Roman" w:eastAsia="Times New Roman" w:hAnsi="Times New Roman"/>
                <w:sz w:val="14"/>
                <w:szCs w:val="14"/>
                <w:color w:val="auto"/>
              </w:rPr>
              <w:t>Free Look period is 30 days. For the</w:t>
            </w:r>
          </w:p>
        </w:tc>
      </w:tr>
      <w:tr>
        <w:trPr>
          <w:trHeight w:val="165"/>
        </w:trPr>
        <w:tc>
          <w:tcPr>
            <w:tcW w:w="2040" w:type="dxa"/>
            <w:vAlign w:val="bottom"/>
            <w:tcBorders>
              <w:left w:val="single" w:sz="8" w:color="auto"/>
              <w:right w:val="single" w:sz="8" w:color="auto"/>
            </w:tcBorders>
            <w:shd w:val="clear" w:color="auto" w:fill="F0FFFF"/>
          </w:tcPr>
          <w:p>
            <w:pPr>
              <w:spacing w:after="0"/>
              <w:rPr>
                <w:sz w:val="14"/>
                <w:szCs w:val="14"/>
                <w:color w:val="auto"/>
              </w:rPr>
            </w:pPr>
          </w:p>
        </w:tc>
        <w:tc>
          <w:tcPr>
            <w:tcW w:w="2040" w:type="dxa"/>
            <w:vAlign w:val="bottom"/>
            <w:tcBorders>
              <w:right w:val="single" w:sz="8" w:color="auto"/>
            </w:tcBorders>
            <w:shd w:val="clear" w:color="auto" w:fill="F0FFFF"/>
          </w:tcPr>
          <w:p>
            <w:pPr>
              <w:spacing w:after="0"/>
              <w:rPr>
                <w:sz w:val="14"/>
                <w:szCs w:val="14"/>
                <w:color w:val="auto"/>
              </w:rPr>
            </w:pPr>
          </w:p>
        </w:tc>
        <w:tc>
          <w:tcPr>
            <w:tcW w:w="2220" w:type="dxa"/>
            <w:vAlign w:val="bottom"/>
            <w:tcBorders>
              <w:right w:val="single" w:sz="8" w:color="auto"/>
            </w:tcBorders>
            <w:shd w:val="clear" w:color="auto" w:fill="F0FFFF"/>
          </w:tcPr>
          <w:p>
            <w:pPr>
              <w:ind w:left="60"/>
              <w:spacing w:after="0"/>
              <w:rPr>
                <w:sz w:val="20"/>
                <w:szCs w:val="20"/>
                <w:color w:val="auto"/>
              </w:rPr>
            </w:pPr>
            <w:r>
              <w:rPr>
                <w:rFonts w:ascii="Times New Roman" w:cs="Times New Roman" w:eastAsia="Times New Roman" w:hAnsi="Times New Roman"/>
                <w:sz w:val="14"/>
                <w:szCs w:val="14"/>
                <w:color w:val="auto"/>
              </w:rPr>
              <w:t>replacement of an existing policy, the</w:t>
            </w:r>
          </w:p>
        </w:tc>
      </w:tr>
      <w:tr>
        <w:trPr>
          <w:trHeight w:val="203"/>
        </w:trPr>
        <w:tc>
          <w:tcPr>
            <w:tcW w:w="2040" w:type="dxa"/>
            <w:vAlign w:val="bottom"/>
            <w:tcBorders>
              <w:left w:val="single" w:sz="8" w:color="auto"/>
              <w:bottom w:val="single" w:sz="8" w:color="F0FFFF"/>
              <w:right w:val="single" w:sz="8" w:color="auto"/>
            </w:tcBorders>
            <w:shd w:val="clear" w:color="auto" w:fill="F0FFFF"/>
          </w:tcPr>
          <w:p>
            <w:pPr>
              <w:spacing w:after="0"/>
              <w:rPr>
                <w:sz w:val="17"/>
                <w:szCs w:val="17"/>
                <w:color w:val="auto"/>
              </w:rPr>
            </w:pPr>
          </w:p>
        </w:tc>
        <w:tc>
          <w:tcPr>
            <w:tcW w:w="2040" w:type="dxa"/>
            <w:vAlign w:val="bottom"/>
            <w:tcBorders>
              <w:bottom w:val="single" w:sz="8" w:color="F0FFFF"/>
              <w:right w:val="single" w:sz="8" w:color="auto"/>
            </w:tcBorders>
            <w:shd w:val="clear" w:color="auto" w:fill="F0FFFF"/>
          </w:tcPr>
          <w:p>
            <w:pPr>
              <w:spacing w:after="0"/>
              <w:rPr>
                <w:sz w:val="17"/>
                <w:szCs w:val="17"/>
                <w:color w:val="auto"/>
              </w:rPr>
            </w:pPr>
          </w:p>
        </w:tc>
        <w:tc>
          <w:tcPr>
            <w:tcW w:w="2220" w:type="dxa"/>
            <w:vAlign w:val="bottom"/>
            <w:tcBorders>
              <w:bottom w:val="single" w:sz="8" w:color="F0FFFF"/>
              <w:right w:val="single" w:sz="8" w:color="auto"/>
            </w:tcBorders>
            <w:shd w:val="clear" w:color="auto" w:fill="F0FFFF"/>
          </w:tcPr>
          <w:p>
            <w:pPr>
              <w:ind w:left="60"/>
              <w:spacing w:after="0"/>
              <w:rPr>
                <w:sz w:val="20"/>
                <w:szCs w:val="20"/>
                <w:color w:val="auto"/>
              </w:rPr>
            </w:pPr>
            <w:r>
              <w:rPr>
                <w:rFonts w:ascii="Times New Roman" w:cs="Times New Roman" w:eastAsia="Times New Roman" w:hAnsi="Times New Roman"/>
                <w:sz w:val="14"/>
                <w:szCs w:val="14"/>
                <w:color w:val="auto"/>
              </w:rPr>
              <w:t>Free Look period is 30 days.</w:t>
            </w:r>
          </w:p>
        </w:tc>
      </w:tr>
      <w:tr>
        <w:trPr>
          <w:trHeight w:val="163"/>
        </w:trPr>
        <w:tc>
          <w:tcPr>
            <w:tcW w:w="204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Arkansas</w:t>
            </w:r>
          </w:p>
        </w:tc>
        <w:tc>
          <w:tcPr>
            <w:tcW w:w="204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Free Look</w:t>
            </w:r>
          </w:p>
        </w:tc>
        <w:tc>
          <w:tcPr>
            <w:tcW w:w="222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For the replacement of an existing</w:t>
            </w:r>
          </w:p>
        </w:tc>
      </w:tr>
      <w:tr>
        <w:trPr>
          <w:trHeight w:val="165"/>
        </w:trPr>
        <w:tc>
          <w:tcPr>
            <w:tcW w:w="2040" w:type="dxa"/>
            <w:vAlign w:val="bottom"/>
            <w:tcBorders>
              <w:left w:val="single" w:sz="8" w:color="auto"/>
              <w:right w:val="single" w:sz="8" w:color="auto"/>
            </w:tcBorders>
          </w:tcPr>
          <w:p>
            <w:pPr>
              <w:spacing w:after="0"/>
              <w:rPr>
                <w:sz w:val="14"/>
                <w:szCs w:val="14"/>
                <w:color w:val="auto"/>
              </w:rPr>
            </w:pPr>
          </w:p>
        </w:tc>
        <w:tc>
          <w:tcPr>
            <w:tcW w:w="2040" w:type="dxa"/>
            <w:vAlign w:val="bottom"/>
            <w:tcBorders>
              <w:right w:val="single" w:sz="8" w:color="auto"/>
            </w:tcBorders>
          </w:tcPr>
          <w:p>
            <w:pPr>
              <w:spacing w:after="0"/>
              <w:rPr>
                <w:sz w:val="14"/>
                <w:szCs w:val="14"/>
                <w:color w:val="auto"/>
              </w:rPr>
            </w:pPr>
          </w:p>
        </w:tc>
        <w:tc>
          <w:tcPr>
            <w:tcW w:w="2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policy, the Free Look period is</w:t>
            </w:r>
          </w:p>
        </w:tc>
      </w:tr>
      <w:tr>
        <w:trPr>
          <w:trHeight w:val="176"/>
        </w:trPr>
        <w:tc>
          <w:tcPr>
            <w:tcW w:w="2040" w:type="dxa"/>
            <w:vAlign w:val="bottom"/>
            <w:tcBorders>
              <w:left w:val="single" w:sz="8" w:color="auto"/>
              <w:right w:val="single" w:sz="8" w:color="auto"/>
            </w:tcBorders>
          </w:tcPr>
          <w:p>
            <w:pPr>
              <w:spacing w:after="0"/>
              <w:rPr>
                <w:sz w:val="15"/>
                <w:szCs w:val="15"/>
                <w:color w:val="auto"/>
              </w:rPr>
            </w:pPr>
          </w:p>
        </w:tc>
        <w:tc>
          <w:tcPr>
            <w:tcW w:w="2040" w:type="dxa"/>
            <w:vAlign w:val="bottom"/>
            <w:tcBorders>
              <w:right w:val="single" w:sz="8" w:color="auto"/>
            </w:tcBorders>
          </w:tcPr>
          <w:p>
            <w:pPr>
              <w:spacing w:after="0"/>
              <w:rPr>
                <w:sz w:val="15"/>
                <w:szCs w:val="15"/>
                <w:color w:val="auto"/>
              </w:rPr>
            </w:pPr>
          </w:p>
        </w:tc>
        <w:tc>
          <w:tcPr>
            <w:tcW w:w="2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30 days.</w:t>
            </w:r>
          </w:p>
        </w:tc>
      </w:tr>
      <w:tr>
        <w:trPr>
          <w:trHeight w:val="22"/>
        </w:trPr>
        <w:tc>
          <w:tcPr>
            <w:tcW w:w="20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40" w:type="dxa"/>
            <w:vAlign w:val="bottom"/>
            <w:tcBorders>
              <w:bottom w:val="single" w:sz="8" w:color="auto"/>
              <w:right w:val="single" w:sz="8" w:color="auto"/>
            </w:tcBorders>
          </w:tcPr>
          <w:p>
            <w:pPr>
              <w:spacing w:after="0" w:line="20" w:lineRule="exact"/>
              <w:rPr>
                <w:sz w:val="1"/>
                <w:szCs w:val="1"/>
                <w:color w:val="auto"/>
              </w:rPr>
            </w:pPr>
          </w:p>
        </w:tc>
        <w:tc>
          <w:tcPr>
            <w:tcW w:w="2220" w:type="dxa"/>
            <w:vAlign w:val="bottom"/>
            <w:tcBorders>
              <w:bottom w:val="single" w:sz="8" w:color="auto"/>
              <w:right w:val="single" w:sz="8" w:color="auto"/>
            </w:tcBorders>
          </w:tcPr>
          <w:p>
            <w:pPr>
              <w:spacing w:after="0" w:line="20" w:lineRule="exact"/>
              <w:rPr>
                <w:sz w:val="1"/>
                <w:szCs w:val="1"/>
                <w:color w:val="auto"/>
              </w:rPr>
            </w:pPr>
          </w:p>
        </w:tc>
      </w:tr>
      <w:tr>
        <w:trPr>
          <w:trHeight w:val="163"/>
        </w:trPr>
        <w:tc>
          <w:tcPr>
            <w:tcW w:w="2040" w:type="dxa"/>
            <w:vAlign w:val="bottom"/>
            <w:tcBorders>
              <w:left w:val="single" w:sz="8" w:color="auto"/>
              <w:right w:val="single" w:sz="8" w:color="auto"/>
            </w:tcBorders>
            <w:shd w:val="clear" w:color="auto" w:fill="F0FFFF"/>
          </w:tcPr>
          <w:p>
            <w:pPr>
              <w:ind w:left="80"/>
              <w:spacing w:after="0"/>
              <w:rPr>
                <w:sz w:val="20"/>
                <w:szCs w:val="20"/>
                <w:color w:val="auto"/>
              </w:rPr>
            </w:pPr>
            <w:r>
              <w:rPr>
                <w:rFonts w:ascii="Times New Roman" w:cs="Times New Roman" w:eastAsia="Times New Roman" w:hAnsi="Times New Roman"/>
                <w:sz w:val="14"/>
                <w:szCs w:val="14"/>
                <w:color w:val="auto"/>
              </w:rPr>
              <w:t>California</w:t>
            </w:r>
          </w:p>
        </w:tc>
        <w:tc>
          <w:tcPr>
            <w:tcW w:w="2040" w:type="dxa"/>
            <w:vAlign w:val="bottom"/>
            <w:tcBorders>
              <w:right w:val="single" w:sz="8" w:color="auto"/>
            </w:tcBorders>
            <w:shd w:val="clear" w:color="auto" w:fill="F0FFFF"/>
          </w:tcPr>
          <w:p>
            <w:pPr>
              <w:ind w:left="60"/>
              <w:spacing w:after="0"/>
              <w:rPr>
                <w:sz w:val="20"/>
                <w:szCs w:val="20"/>
                <w:color w:val="auto"/>
              </w:rPr>
            </w:pPr>
            <w:r>
              <w:rPr>
                <w:rFonts w:ascii="Times New Roman" w:cs="Times New Roman" w:eastAsia="Times New Roman" w:hAnsi="Times New Roman"/>
                <w:sz w:val="14"/>
                <w:szCs w:val="14"/>
                <w:color w:val="auto"/>
              </w:rPr>
              <w:t>Free Look</w:t>
            </w:r>
          </w:p>
        </w:tc>
        <w:tc>
          <w:tcPr>
            <w:tcW w:w="2220" w:type="dxa"/>
            <w:vAlign w:val="bottom"/>
            <w:tcBorders>
              <w:right w:val="single" w:sz="8" w:color="auto"/>
            </w:tcBorders>
            <w:shd w:val="clear" w:color="auto" w:fill="F0FFFF"/>
          </w:tcPr>
          <w:p>
            <w:pPr>
              <w:ind w:left="60"/>
              <w:spacing w:after="0"/>
              <w:rPr>
                <w:sz w:val="20"/>
                <w:szCs w:val="20"/>
                <w:color w:val="auto"/>
              </w:rPr>
            </w:pPr>
            <w:r>
              <w:rPr>
                <w:rFonts w:ascii="Times New Roman" w:cs="Times New Roman" w:eastAsia="Times New Roman" w:hAnsi="Times New Roman"/>
                <w:sz w:val="14"/>
                <w:szCs w:val="14"/>
                <w:color w:val="auto"/>
              </w:rPr>
              <w:t>If the Owner is age 60 or older, the</w:t>
            </w:r>
          </w:p>
        </w:tc>
      </w:tr>
      <w:tr>
        <w:trPr>
          <w:trHeight w:val="165"/>
        </w:trPr>
        <w:tc>
          <w:tcPr>
            <w:tcW w:w="2040" w:type="dxa"/>
            <w:vAlign w:val="bottom"/>
            <w:tcBorders>
              <w:left w:val="single" w:sz="8" w:color="auto"/>
              <w:right w:val="single" w:sz="8" w:color="auto"/>
            </w:tcBorders>
            <w:shd w:val="clear" w:color="auto" w:fill="F0FFFF"/>
          </w:tcPr>
          <w:p>
            <w:pPr>
              <w:spacing w:after="0"/>
              <w:rPr>
                <w:sz w:val="14"/>
                <w:szCs w:val="14"/>
                <w:color w:val="auto"/>
              </w:rPr>
            </w:pPr>
          </w:p>
        </w:tc>
        <w:tc>
          <w:tcPr>
            <w:tcW w:w="2040" w:type="dxa"/>
            <w:vAlign w:val="bottom"/>
            <w:tcBorders>
              <w:right w:val="single" w:sz="8" w:color="auto"/>
            </w:tcBorders>
            <w:shd w:val="clear" w:color="auto" w:fill="F0FFFF"/>
          </w:tcPr>
          <w:p>
            <w:pPr>
              <w:spacing w:after="0"/>
              <w:rPr>
                <w:sz w:val="14"/>
                <w:szCs w:val="14"/>
                <w:color w:val="auto"/>
              </w:rPr>
            </w:pPr>
          </w:p>
        </w:tc>
        <w:tc>
          <w:tcPr>
            <w:tcW w:w="2220" w:type="dxa"/>
            <w:vAlign w:val="bottom"/>
            <w:tcBorders>
              <w:right w:val="single" w:sz="8" w:color="auto"/>
            </w:tcBorders>
            <w:shd w:val="clear" w:color="auto" w:fill="F0FFFF"/>
          </w:tcPr>
          <w:p>
            <w:pPr>
              <w:ind w:left="60"/>
              <w:spacing w:after="0"/>
              <w:rPr>
                <w:sz w:val="20"/>
                <w:szCs w:val="20"/>
                <w:color w:val="auto"/>
              </w:rPr>
            </w:pPr>
            <w:r>
              <w:rPr>
                <w:rFonts w:ascii="Times New Roman" w:cs="Times New Roman" w:eastAsia="Times New Roman" w:hAnsi="Times New Roman"/>
                <w:sz w:val="14"/>
                <w:szCs w:val="14"/>
                <w:color w:val="auto"/>
              </w:rPr>
              <w:t>Free Look period is 30 days. For the</w:t>
            </w:r>
          </w:p>
        </w:tc>
      </w:tr>
      <w:tr>
        <w:trPr>
          <w:trHeight w:val="165"/>
        </w:trPr>
        <w:tc>
          <w:tcPr>
            <w:tcW w:w="2040" w:type="dxa"/>
            <w:vAlign w:val="bottom"/>
            <w:tcBorders>
              <w:left w:val="single" w:sz="8" w:color="auto"/>
              <w:right w:val="single" w:sz="8" w:color="auto"/>
            </w:tcBorders>
            <w:shd w:val="clear" w:color="auto" w:fill="F0FFFF"/>
          </w:tcPr>
          <w:p>
            <w:pPr>
              <w:spacing w:after="0"/>
              <w:rPr>
                <w:sz w:val="14"/>
                <w:szCs w:val="14"/>
                <w:color w:val="auto"/>
              </w:rPr>
            </w:pPr>
          </w:p>
        </w:tc>
        <w:tc>
          <w:tcPr>
            <w:tcW w:w="2040" w:type="dxa"/>
            <w:vAlign w:val="bottom"/>
            <w:tcBorders>
              <w:right w:val="single" w:sz="8" w:color="auto"/>
            </w:tcBorders>
            <w:shd w:val="clear" w:color="auto" w:fill="F0FFFF"/>
          </w:tcPr>
          <w:p>
            <w:pPr>
              <w:spacing w:after="0"/>
              <w:rPr>
                <w:sz w:val="14"/>
                <w:szCs w:val="14"/>
                <w:color w:val="auto"/>
              </w:rPr>
            </w:pPr>
          </w:p>
        </w:tc>
        <w:tc>
          <w:tcPr>
            <w:tcW w:w="2220" w:type="dxa"/>
            <w:vAlign w:val="bottom"/>
            <w:tcBorders>
              <w:right w:val="single" w:sz="8" w:color="auto"/>
            </w:tcBorders>
            <w:shd w:val="clear" w:color="auto" w:fill="F0FFFF"/>
          </w:tcPr>
          <w:p>
            <w:pPr>
              <w:ind w:left="60"/>
              <w:spacing w:after="0"/>
              <w:rPr>
                <w:sz w:val="20"/>
                <w:szCs w:val="20"/>
                <w:color w:val="auto"/>
              </w:rPr>
            </w:pPr>
            <w:r>
              <w:rPr>
                <w:rFonts w:ascii="Times New Roman" w:cs="Times New Roman" w:eastAsia="Times New Roman" w:hAnsi="Times New Roman"/>
                <w:sz w:val="14"/>
                <w:szCs w:val="14"/>
                <w:color w:val="auto"/>
              </w:rPr>
              <w:t>replacement of an existing policy, the</w:t>
            </w:r>
          </w:p>
        </w:tc>
      </w:tr>
      <w:tr>
        <w:trPr>
          <w:trHeight w:val="203"/>
        </w:trPr>
        <w:tc>
          <w:tcPr>
            <w:tcW w:w="2040" w:type="dxa"/>
            <w:vAlign w:val="bottom"/>
            <w:tcBorders>
              <w:left w:val="single" w:sz="8" w:color="auto"/>
              <w:bottom w:val="single" w:sz="8" w:color="F0FFFF"/>
              <w:right w:val="single" w:sz="8" w:color="auto"/>
            </w:tcBorders>
            <w:shd w:val="clear" w:color="auto" w:fill="F0FFFF"/>
          </w:tcPr>
          <w:p>
            <w:pPr>
              <w:spacing w:after="0"/>
              <w:rPr>
                <w:sz w:val="17"/>
                <w:szCs w:val="17"/>
                <w:color w:val="auto"/>
              </w:rPr>
            </w:pPr>
          </w:p>
        </w:tc>
        <w:tc>
          <w:tcPr>
            <w:tcW w:w="2040" w:type="dxa"/>
            <w:vAlign w:val="bottom"/>
            <w:tcBorders>
              <w:bottom w:val="single" w:sz="8" w:color="F0FFFF"/>
              <w:right w:val="single" w:sz="8" w:color="auto"/>
            </w:tcBorders>
            <w:shd w:val="clear" w:color="auto" w:fill="F0FFFF"/>
          </w:tcPr>
          <w:p>
            <w:pPr>
              <w:spacing w:after="0"/>
              <w:rPr>
                <w:sz w:val="17"/>
                <w:szCs w:val="17"/>
                <w:color w:val="auto"/>
              </w:rPr>
            </w:pPr>
          </w:p>
        </w:tc>
        <w:tc>
          <w:tcPr>
            <w:tcW w:w="2220" w:type="dxa"/>
            <w:vAlign w:val="bottom"/>
            <w:tcBorders>
              <w:bottom w:val="single" w:sz="8" w:color="F0FFFF"/>
              <w:right w:val="single" w:sz="8" w:color="auto"/>
            </w:tcBorders>
            <w:shd w:val="clear" w:color="auto" w:fill="F0FFFF"/>
          </w:tcPr>
          <w:p>
            <w:pPr>
              <w:ind w:left="60"/>
              <w:spacing w:after="0"/>
              <w:rPr>
                <w:sz w:val="20"/>
                <w:szCs w:val="20"/>
                <w:color w:val="auto"/>
              </w:rPr>
            </w:pPr>
            <w:r>
              <w:rPr>
                <w:rFonts w:ascii="Times New Roman" w:cs="Times New Roman" w:eastAsia="Times New Roman" w:hAnsi="Times New Roman"/>
                <w:sz w:val="14"/>
                <w:szCs w:val="14"/>
                <w:color w:val="auto"/>
              </w:rPr>
              <w:t>Free Look period is 30 days.</w:t>
            </w:r>
          </w:p>
        </w:tc>
      </w:tr>
      <w:tr>
        <w:trPr>
          <w:trHeight w:val="163"/>
        </w:trPr>
        <w:tc>
          <w:tcPr>
            <w:tcW w:w="204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Colorado</w:t>
            </w:r>
          </w:p>
        </w:tc>
        <w:tc>
          <w:tcPr>
            <w:tcW w:w="204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Free Look</w:t>
            </w:r>
          </w:p>
        </w:tc>
        <w:tc>
          <w:tcPr>
            <w:tcW w:w="222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For the replacement of an existing</w:t>
            </w:r>
          </w:p>
        </w:tc>
      </w:tr>
      <w:tr>
        <w:trPr>
          <w:trHeight w:val="165"/>
        </w:trPr>
        <w:tc>
          <w:tcPr>
            <w:tcW w:w="2040" w:type="dxa"/>
            <w:vAlign w:val="bottom"/>
            <w:tcBorders>
              <w:left w:val="single" w:sz="8" w:color="auto"/>
              <w:right w:val="single" w:sz="8" w:color="auto"/>
            </w:tcBorders>
          </w:tcPr>
          <w:p>
            <w:pPr>
              <w:spacing w:after="0"/>
              <w:rPr>
                <w:sz w:val="14"/>
                <w:szCs w:val="14"/>
                <w:color w:val="auto"/>
              </w:rPr>
            </w:pPr>
          </w:p>
        </w:tc>
        <w:tc>
          <w:tcPr>
            <w:tcW w:w="2040" w:type="dxa"/>
            <w:vAlign w:val="bottom"/>
            <w:tcBorders>
              <w:right w:val="single" w:sz="8" w:color="auto"/>
            </w:tcBorders>
          </w:tcPr>
          <w:p>
            <w:pPr>
              <w:spacing w:after="0"/>
              <w:rPr>
                <w:sz w:val="14"/>
                <w:szCs w:val="14"/>
                <w:color w:val="auto"/>
              </w:rPr>
            </w:pPr>
          </w:p>
        </w:tc>
        <w:tc>
          <w:tcPr>
            <w:tcW w:w="2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policy, the Free Look period is</w:t>
            </w:r>
          </w:p>
        </w:tc>
      </w:tr>
      <w:tr>
        <w:trPr>
          <w:trHeight w:val="176"/>
        </w:trPr>
        <w:tc>
          <w:tcPr>
            <w:tcW w:w="2040" w:type="dxa"/>
            <w:vAlign w:val="bottom"/>
            <w:tcBorders>
              <w:left w:val="single" w:sz="8" w:color="auto"/>
              <w:right w:val="single" w:sz="8" w:color="auto"/>
            </w:tcBorders>
          </w:tcPr>
          <w:p>
            <w:pPr>
              <w:spacing w:after="0"/>
              <w:rPr>
                <w:sz w:val="15"/>
                <w:szCs w:val="15"/>
                <w:color w:val="auto"/>
              </w:rPr>
            </w:pPr>
          </w:p>
        </w:tc>
        <w:tc>
          <w:tcPr>
            <w:tcW w:w="2040" w:type="dxa"/>
            <w:vAlign w:val="bottom"/>
            <w:tcBorders>
              <w:right w:val="single" w:sz="8" w:color="auto"/>
            </w:tcBorders>
          </w:tcPr>
          <w:p>
            <w:pPr>
              <w:spacing w:after="0"/>
              <w:rPr>
                <w:sz w:val="15"/>
                <w:szCs w:val="15"/>
                <w:color w:val="auto"/>
              </w:rPr>
            </w:pPr>
          </w:p>
        </w:tc>
        <w:tc>
          <w:tcPr>
            <w:tcW w:w="2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30 days.</w:t>
            </w:r>
          </w:p>
        </w:tc>
      </w:tr>
      <w:tr>
        <w:trPr>
          <w:trHeight w:val="22"/>
        </w:trPr>
        <w:tc>
          <w:tcPr>
            <w:tcW w:w="20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40" w:type="dxa"/>
            <w:vAlign w:val="bottom"/>
            <w:tcBorders>
              <w:bottom w:val="single" w:sz="8" w:color="auto"/>
              <w:right w:val="single" w:sz="8" w:color="auto"/>
            </w:tcBorders>
          </w:tcPr>
          <w:p>
            <w:pPr>
              <w:spacing w:after="0" w:line="20" w:lineRule="exact"/>
              <w:rPr>
                <w:sz w:val="1"/>
                <w:szCs w:val="1"/>
                <w:color w:val="auto"/>
              </w:rPr>
            </w:pPr>
          </w:p>
        </w:tc>
        <w:tc>
          <w:tcPr>
            <w:tcW w:w="2220" w:type="dxa"/>
            <w:vAlign w:val="bottom"/>
            <w:tcBorders>
              <w:bottom w:val="single" w:sz="8" w:color="auto"/>
              <w:right w:val="single" w:sz="8" w:color="auto"/>
            </w:tcBorders>
          </w:tcPr>
          <w:p>
            <w:pPr>
              <w:spacing w:after="0" w:line="20" w:lineRule="exact"/>
              <w:rPr>
                <w:sz w:val="1"/>
                <w:szCs w:val="1"/>
                <w:color w:val="auto"/>
              </w:rPr>
            </w:pPr>
          </w:p>
        </w:tc>
      </w:tr>
      <w:tr>
        <w:trPr>
          <w:trHeight w:val="163"/>
        </w:trPr>
        <w:tc>
          <w:tcPr>
            <w:tcW w:w="2040" w:type="dxa"/>
            <w:vAlign w:val="bottom"/>
            <w:tcBorders>
              <w:left w:val="single" w:sz="8" w:color="auto"/>
              <w:right w:val="single" w:sz="8" w:color="auto"/>
            </w:tcBorders>
            <w:shd w:val="clear" w:color="auto" w:fill="F0FFFF"/>
          </w:tcPr>
          <w:p>
            <w:pPr>
              <w:ind w:left="80"/>
              <w:spacing w:after="0"/>
              <w:rPr>
                <w:sz w:val="20"/>
                <w:szCs w:val="20"/>
                <w:color w:val="auto"/>
              </w:rPr>
            </w:pPr>
            <w:r>
              <w:rPr>
                <w:rFonts w:ascii="Times New Roman" w:cs="Times New Roman" w:eastAsia="Times New Roman" w:hAnsi="Times New Roman"/>
                <w:sz w:val="14"/>
                <w:szCs w:val="14"/>
                <w:color w:val="auto"/>
              </w:rPr>
              <w:t>Delaware</w:t>
            </w:r>
          </w:p>
        </w:tc>
        <w:tc>
          <w:tcPr>
            <w:tcW w:w="2040" w:type="dxa"/>
            <w:vAlign w:val="bottom"/>
            <w:tcBorders>
              <w:right w:val="single" w:sz="8" w:color="auto"/>
            </w:tcBorders>
            <w:shd w:val="clear" w:color="auto" w:fill="F0FFFF"/>
          </w:tcPr>
          <w:p>
            <w:pPr>
              <w:ind w:left="60"/>
              <w:spacing w:after="0"/>
              <w:rPr>
                <w:sz w:val="20"/>
                <w:szCs w:val="20"/>
                <w:color w:val="auto"/>
              </w:rPr>
            </w:pPr>
            <w:r>
              <w:rPr>
                <w:rFonts w:ascii="Times New Roman" w:cs="Times New Roman" w:eastAsia="Times New Roman" w:hAnsi="Times New Roman"/>
                <w:sz w:val="14"/>
                <w:szCs w:val="14"/>
                <w:color w:val="auto"/>
              </w:rPr>
              <w:t>Free Look</w:t>
            </w:r>
          </w:p>
        </w:tc>
        <w:tc>
          <w:tcPr>
            <w:tcW w:w="2220" w:type="dxa"/>
            <w:vAlign w:val="bottom"/>
            <w:tcBorders>
              <w:right w:val="single" w:sz="8" w:color="auto"/>
            </w:tcBorders>
            <w:shd w:val="clear" w:color="auto" w:fill="F0FFFF"/>
          </w:tcPr>
          <w:p>
            <w:pPr>
              <w:ind w:left="60"/>
              <w:spacing w:after="0"/>
              <w:rPr>
                <w:sz w:val="20"/>
                <w:szCs w:val="20"/>
                <w:color w:val="auto"/>
              </w:rPr>
            </w:pPr>
            <w:r>
              <w:rPr>
                <w:rFonts w:ascii="Times New Roman" w:cs="Times New Roman" w:eastAsia="Times New Roman" w:hAnsi="Times New Roman"/>
                <w:sz w:val="14"/>
                <w:szCs w:val="14"/>
                <w:color w:val="auto"/>
              </w:rPr>
              <w:t>For the replacement of an existing</w:t>
            </w:r>
          </w:p>
        </w:tc>
      </w:tr>
      <w:tr>
        <w:trPr>
          <w:trHeight w:val="165"/>
        </w:trPr>
        <w:tc>
          <w:tcPr>
            <w:tcW w:w="2040" w:type="dxa"/>
            <w:vAlign w:val="bottom"/>
            <w:tcBorders>
              <w:left w:val="single" w:sz="8" w:color="auto"/>
              <w:right w:val="single" w:sz="8" w:color="auto"/>
            </w:tcBorders>
            <w:shd w:val="clear" w:color="auto" w:fill="F0FFFF"/>
          </w:tcPr>
          <w:p>
            <w:pPr>
              <w:spacing w:after="0"/>
              <w:rPr>
                <w:sz w:val="14"/>
                <w:szCs w:val="14"/>
                <w:color w:val="auto"/>
              </w:rPr>
            </w:pPr>
          </w:p>
        </w:tc>
        <w:tc>
          <w:tcPr>
            <w:tcW w:w="2040" w:type="dxa"/>
            <w:vAlign w:val="bottom"/>
            <w:tcBorders>
              <w:right w:val="single" w:sz="8" w:color="auto"/>
            </w:tcBorders>
            <w:shd w:val="clear" w:color="auto" w:fill="F0FFFF"/>
          </w:tcPr>
          <w:p>
            <w:pPr>
              <w:spacing w:after="0"/>
              <w:rPr>
                <w:sz w:val="14"/>
                <w:szCs w:val="14"/>
                <w:color w:val="auto"/>
              </w:rPr>
            </w:pPr>
          </w:p>
        </w:tc>
        <w:tc>
          <w:tcPr>
            <w:tcW w:w="2220" w:type="dxa"/>
            <w:vAlign w:val="bottom"/>
            <w:tcBorders>
              <w:right w:val="single" w:sz="8" w:color="auto"/>
            </w:tcBorders>
            <w:shd w:val="clear" w:color="auto" w:fill="F0FFFF"/>
          </w:tcPr>
          <w:p>
            <w:pPr>
              <w:ind w:left="60"/>
              <w:spacing w:after="0"/>
              <w:rPr>
                <w:sz w:val="20"/>
                <w:szCs w:val="20"/>
                <w:color w:val="auto"/>
              </w:rPr>
            </w:pPr>
            <w:r>
              <w:rPr>
                <w:rFonts w:ascii="Times New Roman" w:cs="Times New Roman" w:eastAsia="Times New Roman" w:hAnsi="Times New Roman"/>
                <w:sz w:val="14"/>
                <w:szCs w:val="14"/>
                <w:color w:val="auto"/>
              </w:rPr>
              <w:t>policy, the Free Look period is</w:t>
            </w:r>
          </w:p>
        </w:tc>
      </w:tr>
      <w:tr>
        <w:trPr>
          <w:trHeight w:val="203"/>
        </w:trPr>
        <w:tc>
          <w:tcPr>
            <w:tcW w:w="2040" w:type="dxa"/>
            <w:vAlign w:val="bottom"/>
            <w:tcBorders>
              <w:left w:val="single" w:sz="8" w:color="auto"/>
              <w:bottom w:val="single" w:sz="8" w:color="F0FFFF"/>
              <w:right w:val="single" w:sz="8" w:color="auto"/>
            </w:tcBorders>
            <w:shd w:val="clear" w:color="auto" w:fill="F0FFFF"/>
          </w:tcPr>
          <w:p>
            <w:pPr>
              <w:spacing w:after="0"/>
              <w:rPr>
                <w:sz w:val="17"/>
                <w:szCs w:val="17"/>
                <w:color w:val="auto"/>
              </w:rPr>
            </w:pPr>
          </w:p>
        </w:tc>
        <w:tc>
          <w:tcPr>
            <w:tcW w:w="2040" w:type="dxa"/>
            <w:vAlign w:val="bottom"/>
            <w:tcBorders>
              <w:bottom w:val="single" w:sz="8" w:color="F0FFFF"/>
              <w:right w:val="single" w:sz="8" w:color="auto"/>
            </w:tcBorders>
            <w:shd w:val="clear" w:color="auto" w:fill="F0FFFF"/>
          </w:tcPr>
          <w:p>
            <w:pPr>
              <w:spacing w:after="0"/>
              <w:rPr>
                <w:sz w:val="17"/>
                <w:szCs w:val="17"/>
                <w:color w:val="auto"/>
              </w:rPr>
            </w:pPr>
          </w:p>
        </w:tc>
        <w:tc>
          <w:tcPr>
            <w:tcW w:w="2220" w:type="dxa"/>
            <w:vAlign w:val="bottom"/>
            <w:tcBorders>
              <w:bottom w:val="single" w:sz="8" w:color="F0FFFF"/>
              <w:right w:val="single" w:sz="8" w:color="auto"/>
            </w:tcBorders>
            <w:shd w:val="clear" w:color="auto" w:fill="F0FFFF"/>
          </w:tcPr>
          <w:p>
            <w:pPr>
              <w:ind w:left="60"/>
              <w:spacing w:after="0"/>
              <w:rPr>
                <w:sz w:val="20"/>
                <w:szCs w:val="20"/>
                <w:color w:val="auto"/>
              </w:rPr>
            </w:pPr>
            <w:r>
              <w:rPr>
                <w:rFonts w:ascii="Times New Roman" w:cs="Times New Roman" w:eastAsia="Times New Roman" w:hAnsi="Times New Roman"/>
                <w:sz w:val="14"/>
                <w:szCs w:val="14"/>
                <w:color w:val="auto"/>
              </w:rPr>
              <w:t>20 days.</w:t>
            </w:r>
          </w:p>
        </w:tc>
      </w:tr>
      <w:tr>
        <w:trPr>
          <w:trHeight w:val="163"/>
        </w:trPr>
        <w:tc>
          <w:tcPr>
            <w:tcW w:w="204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Florida</w:t>
            </w:r>
          </w:p>
        </w:tc>
        <w:tc>
          <w:tcPr>
            <w:tcW w:w="204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Free Look</w:t>
            </w:r>
          </w:p>
        </w:tc>
        <w:tc>
          <w:tcPr>
            <w:tcW w:w="222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The Free Look period is 14 days. For</w:t>
            </w:r>
          </w:p>
        </w:tc>
      </w:tr>
      <w:tr>
        <w:trPr>
          <w:trHeight w:val="165"/>
        </w:trPr>
        <w:tc>
          <w:tcPr>
            <w:tcW w:w="2040" w:type="dxa"/>
            <w:vAlign w:val="bottom"/>
            <w:tcBorders>
              <w:left w:val="single" w:sz="8" w:color="auto"/>
              <w:right w:val="single" w:sz="8" w:color="auto"/>
            </w:tcBorders>
          </w:tcPr>
          <w:p>
            <w:pPr>
              <w:spacing w:after="0"/>
              <w:rPr>
                <w:sz w:val="14"/>
                <w:szCs w:val="14"/>
                <w:color w:val="auto"/>
              </w:rPr>
            </w:pPr>
          </w:p>
        </w:tc>
        <w:tc>
          <w:tcPr>
            <w:tcW w:w="2040" w:type="dxa"/>
            <w:vAlign w:val="bottom"/>
            <w:tcBorders>
              <w:right w:val="single" w:sz="8" w:color="auto"/>
            </w:tcBorders>
          </w:tcPr>
          <w:p>
            <w:pPr>
              <w:spacing w:after="0"/>
              <w:rPr>
                <w:sz w:val="14"/>
                <w:szCs w:val="14"/>
                <w:color w:val="auto"/>
              </w:rPr>
            </w:pPr>
          </w:p>
        </w:tc>
        <w:tc>
          <w:tcPr>
            <w:tcW w:w="2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the replacement of an existing policy,</w:t>
            </w:r>
          </w:p>
        </w:tc>
      </w:tr>
      <w:tr>
        <w:trPr>
          <w:trHeight w:val="176"/>
        </w:trPr>
        <w:tc>
          <w:tcPr>
            <w:tcW w:w="2040" w:type="dxa"/>
            <w:vAlign w:val="bottom"/>
            <w:tcBorders>
              <w:left w:val="single" w:sz="8" w:color="auto"/>
              <w:right w:val="single" w:sz="8" w:color="auto"/>
            </w:tcBorders>
          </w:tcPr>
          <w:p>
            <w:pPr>
              <w:spacing w:after="0"/>
              <w:rPr>
                <w:sz w:val="15"/>
                <w:szCs w:val="15"/>
                <w:color w:val="auto"/>
              </w:rPr>
            </w:pPr>
          </w:p>
        </w:tc>
        <w:tc>
          <w:tcPr>
            <w:tcW w:w="2040" w:type="dxa"/>
            <w:vAlign w:val="bottom"/>
            <w:tcBorders>
              <w:right w:val="single" w:sz="8" w:color="auto"/>
            </w:tcBorders>
          </w:tcPr>
          <w:p>
            <w:pPr>
              <w:spacing w:after="0"/>
              <w:rPr>
                <w:sz w:val="15"/>
                <w:szCs w:val="15"/>
                <w:color w:val="auto"/>
              </w:rPr>
            </w:pPr>
          </w:p>
        </w:tc>
        <w:tc>
          <w:tcPr>
            <w:tcW w:w="2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the Free Look period is 30 days.</w:t>
            </w:r>
          </w:p>
        </w:tc>
      </w:tr>
      <w:tr>
        <w:trPr>
          <w:trHeight w:val="22"/>
        </w:trPr>
        <w:tc>
          <w:tcPr>
            <w:tcW w:w="20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40" w:type="dxa"/>
            <w:vAlign w:val="bottom"/>
            <w:tcBorders>
              <w:bottom w:val="single" w:sz="8" w:color="auto"/>
              <w:right w:val="single" w:sz="8" w:color="auto"/>
            </w:tcBorders>
          </w:tcPr>
          <w:p>
            <w:pPr>
              <w:spacing w:after="0" w:line="20" w:lineRule="exact"/>
              <w:rPr>
                <w:sz w:val="1"/>
                <w:szCs w:val="1"/>
                <w:color w:val="auto"/>
              </w:rPr>
            </w:pPr>
          </w:p>
        </w:tc>
        <w:tc>
          <w:tcPr>
            <w:tcW w:w="2220" w:type="dxa"/>
            <w:vAlign w:val="bottom"/>
            <w:tcBorders>
              <w:bottom w:val="single" w:sz="8" w:color="auto"/>
              <w:right w:val="single" w:sz="8" w:color="auto"/>
            </w:tcBorders>
          </w:tcPr>
          <w:p>
            <w:pPr>
              <w:spacing w:after="0" w:line="20" w:lineRule="exact"/>
              <w:rPr>
                <w:sz w:val="1"/>
                <w:szCs w:val="1"/>
                <w:color w:val="auto"/>
              </w:rPr>
            </w:pPr>
          </w:p>
        </w:tc>
      </w:tr>
      <w:tr>
        <w:trPr>
          <w:trHeight w:val="163"/>
        </w:trPr>
        <w:tc>
          <w:tcPr>
            <w:tcW w:w="2040" w:type="dxa"/>
            <w:vAlign w:val="bottom"/>
            <w:tcBorders>
              <w:left w:val="single" w:sz="8" w:color="auto"/>
              <w:right w:val="single" w:sz="8" w:color="auto"/>
            </w:tcBorders>
            <w:shd w:val="clear" w:color="auto" w:fill="F0FFFF"/>
          </w:tcPr>
          <w:p>
            <w:pPr>
              <w:ind w:left="80"/>
              <w:spacing w:after="0"/>
              <w:rPr>
                <w:sz w:val="20"/>
                <w:szCs w:val="20"/>
                <w:color w:val="auto"/>
              </w:rPr>
            </w:pPr>
            <w:r>
              <w:rPr>
                <w:rFonts w:ascii="Times New Roman" w:cs="Times New Roman" w:eastAsia="Times New Roman" w:hAnsi="Times New Roman"/>
                <w:sz w:val="14"/>
                <w:szCs w:val="14"/>
                <w:color w:val="auto"/>
              </w:rPr>
              <w:t>Hawaii</w:t>
            </w:r>
          </w:p>
        </w:tc>
        <w:tc>
          <w:tcPr>
            <w:tcW w:w="2040" w:type="dxa"/>
            <w:vAlign w:val="bottom"/>
            <w:tcBorders>
              <w:right w:val="single" w:sz="8" w:color="auto"/>
            </w:tcBorders>
            <w:shd w:val="clear" w:color="auto" w:fill="F0FFFF"/>
          </w:tcPr>
          <w:p>
            <w:pPr>
              <w:ind w:left="60"/>
              <w:spacing w:after="0"/>
              <w:rPr>
                <w:sz w:val="20"/>
                <w:szCs w:val="20"/>
                <w:color w:val="auto"/>
              </w:rPr>
            </w:pPr>
            <w:r>
              <w:rPr>
                <w:rFonts w:ascii="Times New Roman" w:cs="Times New Roman" w:eastAsia="Times New Roman" w:hAnsi="Times New Roman"/>
                <w:sz w:val="14"/>
                <w:szCs w:val="14"/>
                <w:color w:val="auto"/>
              </w:rPr>
              <w:t>Free Look</w:t>
            </w:r>
          </w:p>
        </w:tc>
        <w:tc>
          <w:tcPr>
            <w:tcW w:w="2220" w:type="dxa"/>
            <w:vAlign w:val="bottom"/>
            <w:tcBorders>
              <w:right w:val="single" w:sz="8" w:color="auto"/>
            </w:tcBorders>
            <w:shd w:val="clear" w:color="auto" w:fill="F0FFFF"/>
          </w:tcPr>
          <w:p>
            <w:pPr>
              <w:ind w:left="60"/>
              <w:spacing w:after="0"/>
              <w:rPr>
                <w:sz w:val="20"/>
                <w:szCs w:val="20"/>
                <w:color w:val="auto"/>
              </w:rPr>
            </w:pPr>
            <w:r>
              <w:rPr>
                <w:rFonts w:ascii="Times New Roman" w:cs="Times New Roman" w:eastAsia="Times New Roman" w:hAnsi="Times New Roman"/>
                <w:sz w:val="14"/>
                <w:szCs w:val="14"/>
                <w:color w:val="auto"/>
              </w:rPr>
              <w:t>For the replacement of an existing</w:t>
            </w:r>
          </w:p>
        </w:tc>
      </w:tr>
      <w:tr>
        <w:trPr>
          <w:trHeight w:val="165"/>
        </w:trPr>
        <w:tc>
          <w:tcPr>
            <w:tcW w:w="2040" w:type="dxa"/>
            <w:vAlign w:val="bottom"/>
            <w:tcBorders>
              <w:left w:val="single" w:sz="8" w:color="auto"/>
              <w:right w:val="single" w:sz="8" w:color="auto"/>
            </w:tcBorders>
            <w:shd w:val="clear" w:color="auto" w:fill="F0FFFF"/>
          </w:tcPr>
          <w:p>
            <w:pPr>
              <w:spacing w:after="0"/>
              <w:rPr>
                <w:sz w:val="14"/>
                <w:szCs w:val="14"/>
                <w:color w:val="auto"/>
              </w:rPr>
            </w:pPr>
          </w:p>
        </w:tc>
        <w:tc>
          <w:tcPr>
            <w:tcW w:w="2040" w:type="dxa"/>
            <w:vAlign w:val="bottom"/>
            <w:tcBorders>
              <w:right w:val="single" w:sz="8" w:color="auto"/>
            </w:tcBorders>
            <w:shd w:val="clear" w:color="auto" w:fill="F0FFFF"/>
          </w:tcPr>
          <w:p>
            <w:pPr>
              <w:spacing w:after="0"/>
              <w:rPr>
                <w:sz w:val="14"/>
                <w:szCs w:val="14"/>
                <w:color w:val="auto"/>
              </w:rPr>
            </w:pPr>
          </w:p>
        </w:tc>
        <w:tc>
          <w:tcPr>
            <w:tcW w:w="2220" w:type="dxa"/>
            <w:vAlign w:val="bottom"/>
            <w:tcBorders>
              <w:right w:val="single" w:sz="8" w:color="auto"/>
            </w:tcBorders>
            <w:shd w:val="clear" w:color="auto" w:fill="F0FFFF"/>
          </w:tcPr>
          <w:p>
            <w:pPr>
              <w:ind w:left="60"/>
              <w:spacing w:after="0"/>
              <w:rPr>
                <w:sz w:val="20"/>
                <w:szCs w:val="20"/>
                <w:color w:val="auto"/>
              </w:rPr>
            </w:pPr>
            <w:r>
              <w:rPr>
                <w:rFonts w:ascii="Times New Roman" w:cs="Times New Roman" w:eastAsia="Times New Roman" w:hAnsi="Times New Roman"/>
                <w:sz w:val="14"/>
                <w:szCs w:val="14"/>
                <w:color w:val="auto"/>
              </w:rPr>
              <w:t>policy, the Free Look period is</w:t>
            </w:r>
          </w:p>
        </w:tc>
      </w:tr>
      <w:tr>
        <w:trPr>
          <w:trHeight w:val="203"/>
        </w:trPr>
        <w:tc>
          <w:tcPr>
            <w:tcW w:w="2040" w:type="dxa"/>
            <w:vAlign w:val="bottom"/>
            <w:tcBorders>
              <w:left w:val="single" w:sz="8" w:color="auto"/>
              <w:bottom w:val="single" w:sz="8" w:color="F0FFFF"/>
              <w:right w:val="single" w:sz="8" w:color="auto"/>
            </w:tcBorders>
            <w:shd w:val="clear" w:color="auto" w:fill="F0FFFF"/>
          </w:tcPr>
          <w:p>
            <w:pPr>
              <w:spacing w:after="0"/>
              <w:rPr>
                <w:sz w:val="17"/>
                <w:szCs w:val="17"/>
                <w:color w:val="auto"/>
              </w:rPr>
            </w:pPr>
          </w:p>
        </w:tc>
        <w:tc>
          <w:tcPr>
            <w:tcW w:w="2040" w:type="dxa"/>
            <w:vAlign w:val="bottom"/>
            <w:tcBorders>
              <w:bottom w:val="single" w:sz="8" w:color="F0FFFF"/>
              <w:right w:val="single" w:sz="8" w:color="auto"/>
            </w:tcBorders>
            <w:shd w:val="clear" w:color="auto" w:fill="F0FFFF"/>
          </w:tcPr>
          <w:p>
            <w:pPr>
              <w:spacing w:after="0"/>
              <w:rPr>
                <w:sz w:val="17"/>
                <w:szCs w:val="17"/>
                <w:color w:val="auto"/>
              </w:rPr>
            </w:pPr>
          </w:p>
        </w:tc>
        <w:tc>
          <w:tcPr>
            <w:tcW w:w="2220" w:type="dxa"/>
            <w:vAlign w:val="bottom"/>
            <w:tcBorders>
              <w:bottom w:val="single" w:sz="8" w:color="F0FFFF"/>
              <w:right w:val="single" w:sz="8" w:color="auto"/>
            </w:tcBorders>
            <w:shd w:val="clear" w:color="auto" w:fill="F0FFFF"/>
          </w:tcPr>
          <w:p>
            <w:pPr>
              <w:ind w:left="60"/>
              <w:spacing w:after="0"/>
              <w:rPr>
                <w:sz w:val="20"/>
                <w:szCs w:val="20"/>
                <w:color w:val="auto"/>
              </w:rPr>
            </w:pPr>
            <w:r>
              <w:rPr>
                <w:rFonts w:ascii="Times New Roman" w:cs="Times New Roman" w:eastAsia="Times New Roman" w:hAnsi="Times New Roman"/>
                <w:sz w:val="14"/>
                <w:szCs w:val="14"/>
                <w:color w:val="auto"/>
              </w:rPr>
              <w:t>30 days.</w:t>
            </w:r>
          </w:p>
        </w:tc>
      </w:tr>
      <w:tr>
        <w:trPr>
          <w:trHeight w:val="174"/>
        </w:trPr>
        <w:tc>
          <w:tcPr>
            <w:tcW w:w="204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Idaho</w:t>
            </w:r>
          </w:p>
        </w:tc>
        <w:tc>
          <w:tcPr>
            <w:tcW w:w="204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Free Look</w:t>
            </w:r>
          </w:p>
        </w:tc>
        <w:tc>
          <w:tcPr>
            <w:tcW w:w="222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The Free Look period is 20 days.</w:t>
            </w:r>
          </w:p>
        </w:tc>
      </w:tr>
      <w:tr>
        <w:trPr>
          <w:trHeight w:val="22"/>
        </w:trPr>
        <w:tc>
          <w:tcPr>
            <w:tcW w:w="20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40" w:type="dxa"/>
            <w:vAlign w:val="bottom"/>
            <w:tcBorders>
              <w:bottom w:val="single" w:sz="8" w:color="auto"/>
              <w:right w:val="single" w:sz="8" w:color="auto"/>
            </w:tcBorders>
          </w:tcPr>
          <w:p>
            <w:pPr>
              <w:spacing w:after="0" w:line="20" w:lineRule="exact"/>
              <w:rPr>
                <w:sz w:val="1"/>
                <w:szCs w:val="1"/>
                <w:color w:val="auto"/>
              </w:rPr>
            </w:pPr>
          </w:p>
        </w:tc>
        <w:tc>
          <w:tcPr>
            <w:tcW w:w="2220" w:type="dxa"/>
            <w:vAlign w:val="bottom"/>
            <w:tcBorders>
              <w:bottom w:val="single" w:sz="8" w:color="auto"/>
              <w:right w:val="single" w:sz="8" w:color="auto"/>
            </w:tcBorders>
          </w:tcPr>
          <w:p>
            <w:pPr>
              <w:spacing w:after="0" w:line="20" w:lineRule="exact"/>
              <w:rPr>
                <w:sz w:val="1"/>
                <w:szCs w:val="1"/>
                <w:color w:val="auto"/>
              </w:rPr>
            </w:pPr>
          </w:p>
        </w:tc>
      </w:tr>
      <w:tr>
        <w:trPr>
          <w:trHeight w:val="163"/>
        </w:trPr>
        <w:tc>
          <w:tcPr>
            <w:tcW w:w="2040" w:type="dxa"/>
            <w:vAlign w:val="bottom"/>
            <w:tcBorders>
              <w:left w:val="single" w:sz="8" w:color="auto"/>
              <w:right w:val="single" w:sz="8" w:color="auto"/>
            </w:tcBorders>
            <w:shd w:val="clear" w:color="auto" w:fill="F0FFFF"/>
          </w:tcPr>
          <w:p>
            <w:pPr>
              <w:ind w:left="80"/>
              <w:spacing w:after="0"/>
              <w:rPr>
                <w:sz w:val="20"/>
                <w:szCs w:val="20"/>
                <w:color w:val="auto"/>
              </w:rPr>
            </w:pPr>
            <w:r>
              <w:rPr>
                <w:rFonts w:ascii="Times New Roman" w:cs="Times New Roman" w:eastAsia="Times New Roman" w:hAnsi="Times New Roman"/>
                <w:sz w:val="14"/>
                <w:szCs w:val="14"/>
                <w:color w:val="auto"/>
              </w:rPr>
              <w:t>Iowa</w:t>
            </w:r>
          </w:p>
        </w:tc>
        <w:tc>
          <w:tcPr>
            <w:tcW w:w="2040" w:type="dxa"/>
            <w:vAlign w:val="bottom"/>
            <w:tcBorders>
              <w:right w:val="single" w:sz="8" w:color="auto"/>
            </w:tcBorders>
            <w:shd w:val="clear" w:color="auto" w:fill="F0FFFF"/>
          </w:tcPr>
          <w:p>
            <w:pPr>
              <w:ind w:left="60"/>
              <w:spacing w:after="0"/>
              <w:rPr>
                <w:sz w:val="20"/>
                <w:szCs w:val="20"/>
                <w:color w:val="auto"/>
              </w:rPr>
            </w:pPr>
            <w:r>
              <w:rPr>
                <w:rFonts w:ascii="Times New Roman" w:cs="Times New Roman" w:eastAsia="Times New Roman" w:hAnsi="Times New Roman"/>
                <w:sz w:val="14"/>
                <w:szCs w:val="14"/>
                <w:color w:val="auto"/>
              </w:rPr>
              <w:t>Free Look</w:t>
            </w:r>
          </w:p>
        </w:tc>
        <w:tc>
          <w:tcPr>
            <w:tcW w:w="2220" w:type="dxa"/>
            <w:vAlign w:val="bottom"/>
            <w:tcBorders>
              <w:right w:val="single" w:sz="8" w:color="auto"/>
            </w:tcBorders>
            <w:shd w:val="clear" w:color="auto" w:fill="F0FFFF"/>
          </w:tcPr>
          <w:p>
            <w:pPr>
              <w:ind w:left="60"/>
              <w:spacing w:after="0"/>
              <w:rPr>
                <w:sz w:val="20"/>
                <w:szCs w:val="20"/>
                <w:color w:val="auto"/>
              </w:rPr>
            </w:pPr>
            <w:r>
              <w:rPr>
                <w:rFonts w:ascii="Times New Roman" w:cs="Times New Roman" w:eastAsia="Times New Roman" w:hAnsi="Times New Roman"/>
                <w:sz w:val="14"/>
                <w:szCs w:val="14"/>
                <w:color w:val="auto"/>
              </w:rPr>
              <w:t>For the replacement of an existing</w:t>
            </w:r>
          </w:p>
        </w:tc>
      </w:tr>
      <w:tr>
        <w:trPr>
          <w:trHeight w:val="165"/>
        </w:trPr>
        <w:tc>
          <w:tcPr>
            <w:tcW w:w="2040" w:type="dxa"/>
            <w:vAlign w:val="bottom"/>
            <w:tcBorders>
              <w:left w:val="single" w:sz="8" w:color="auto"/>
              <w:right w:val="single" w:sz="8" w:color="auto"/>
            </w:tcBorders>
            <w:shd w:val="clear" w:color="auto" w:fill="F0FFFF"/>
          </w:tcPr>
          <w:p>
            <w:pPr>
              <w:spacing w:after="0"/>
              <w:rPr>
                <w:sz w:val="14"/>
                <w:szCs w:val="14"/>
                <w:color w:val="auto"/>
              </w:rPr>
            </w:pPr>
          </w:p>
        </w:tc>
        <w:tc>
          <w:tcPr>
            <w:tcW w:w="2040" w:type="dxa"/>
            <w:vAlign w:val="bottom"/>
            <w:tcBorders>
              <w:right w:val="single" w:sz="8" w:color="auto"/>
            </w:tcBorders>
            <w:shd w:val="clear" w:color="auto" w:fill="F0FFFF"/>
          </w:tcPr>
          <w:p>
            <w:pPr>
              <w:spacing w:after="0"/>
              <w:rPr>
                <w:sz w:val="14"/>
                <w:szCs w:val="14"/>
                <w:color w:val="auto"/>
              </w:rPr>
            </w:pPr>
          </w:p>
        </w:tc>
        <w:tc>
          <w:tcPr>
            <w:tcW w:w="2220" w:type="dxa"/>
            <w:vAlign w:val="bottom"/>
            <w:tcBorders>
              <w:right w:val="single" w:sz="8" w:color="auto"/>
            </w:tcBorders>
            <w:shd w:val="clear" w:color="auto" w:fill="F0FFFF"/>
          </w:tcPr>
          <w:p>
            <w:pPr>
              <w:ind w:left="60"/>
              <w:spacing w:after="0"/>
              <w:rPr>
                <w:sz w:val="20"/>
                <w:szCs w:val="20"/>
                <w:color w:val="auto"/>
              </w:rPr>
            </w:pPr>
            <w:r>
              <w:rPr>
                <w:rFonts w:ascii="Times New Roman" w:cs="Times New Roman" w:eastAsia="Times New Roman" w:hAnsi="Times New Roman"/>
                <w:sz w:val="14"/>
                <w:szCs w:val="14"/>
                <w:color w:val="auto"/>
              </w:rPr>
              <w:t>policy, the Free Look period is</w:t>
            </w:r>
          </w:p>
        </w:tc>
      </w:tr>
      <w:tr>
        <w:trPr>
          <w:trHeight w:val="203"/>
        </w:trPr>
        <w:tc>
          <w:tcPr>
            <w:tcW w:w="2040" w:type="dxa"/>
            <w:vAlign w:val="bottom"/>
            <w:tcBorders>
              <w:left w:val="single" w:sz="8" w:color="auto"/>
              <w:bottom w:val="single" w:sz="8" w:color="F0FFFF"/>
              <w:right w:val="single" w:sz="8" w:color="auto"/>
            </w:tcBorders>
            <w:shd w:val="clear" w:color="auto" w:fill="F0FFFF"/>
          </w:tcPr>
          <w:p>
            <w:pPr>
              <w:spacing w:after="0"/>
              <w:rPr>
                <w:sz w:val="17"/>
                <w:szCs w:val="17"/>
                <w:color w:val="auto"/>
              </w:rPr>
            </w:pPr>
          </w:p>
        </w:tc>
        <w:tc>
          <w:tcPr>
            <w:tcW w:w="2040" w:type="dxa"/>
            <w:vAlign w:val="bottom"/>
            <w:tcBorders>
              <w:bottom w:val="single" w:sz="8" w:color="F0FFFF"/>
              <w:right w:val="single" w:sz="8" w:color="auto"/>
            </w:tcBorders>
            <w:shd w:val="clear" w:color="auto" w:fill="F0FFFF"/>
          </w:tcPr>
          <w:p>
            <w:pPr>
              <w:spacing w:after="0"/>
              <w:rPr>
                <w:sz w:val="17"/>
                <w:szCs w:val="17"/>
                <w:color w:val="auto"/>
              </w:rPr>
            </w:pPr>
          </w:p>
        </w:tc>
        <w:tc>
          <w:tcPr>
            <w:tcW w:w="2220" w:type="dxa"/>
            <w:vAlign w:val="bottom"/>
            <w:tcBorders>
              <w:bottom w:val="single" w:sz="8" w:color="F0FFFF"/>
              <w:right w:val="single" w:sz="8" w:color="auto"/>
            </w:tcBorders>
            <w:shd w:val="clear" w:color="auto" w:fill="F0FFFF"/>
          </w:tcPr>
          <w:p>
            <w:pPr>
              <w:ind w:left="60"/>
              <w:spacing w:after="0"/>
              <w:rPr>
                <w:sz w:val="20"/>
                <w:szCs w:val="20"/>
                <w:color w:val="auto"/>
              </w:rPr>
            </w:pPr>
            <w:r>
              <w:rPr>
                <w:rFonts w:ascii="Times New Roman" w:cs="Times New Roman" w:eastAsia="Times New Roman" w:hAnsi="Times New Roman"/>
                <w:sz w:val="14"/>
                <w:szCs w:val="14"/>
                <w:color w:val="auto"/>
              </w:rPr>
              <w:t>30 days.</w:t>
            </w:r>
          </w:p>
        </w:tc>
      </w:tr>
      <w:tr>
        <w:trPr>
          <w:trHeight w:val="163"/>
        </w:trPr>
        <w:tc>
          <w:tcPr>
            <w:tcW w:w="204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Kansas</w:t>
            </w:r>
          </w:p>
        </w:tc>
        <w:tc>
          <w:tcPr>
            <w:tcW w:w="204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Free Look</w:t>
            </w:r>
          </w:p>
        </w:tc>
        <w:tc>
          <w:tcPr>
            <w:tcW w:w="222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For the replacement of an existing</w:t>
            </w:r>
          </w:p>
        </w:tc>
      </w:tr>
      <w:tr>
        <w:trPr>
          <w:trHeight w:val="165"/>
        </w:trPr>
        <w:tc>
          <w:tcPr>
            <w:tcW w:w="2040" w:type="dxa"/>
            <w:vAlign w:val="bottom"/>
            <w:tcBorders>
              <w:left w:val="single" w:sz="8" w:color="auto"/>
              <w:right w:val="single" w:sz="8" w:color="auto"/>
            </w:tcBorders>
          </w:tcPr>
          <w:p>
            <w:pPr>
              <w:spacing w:after="0"/>
              <w:rPr>
                <w:sz w:val="14"/>
                <w:szCs w:val="14"/>
                <w:color w:val="auto"/>
              </w:rPr>
            </w:pPr>
          </w:p>
        </w:tc>
        <w:tc>
          <w:tcPr>
            <w:tcW w:w="2040" w:type="dxa"/>
            <w:vAlign w:val="bottom"/>
            <w:tcBorders>
              <w:right w:val="single" w:sz="8" w:color="auto"/>
            </w:tcBorders>
          </w:tcPr>
          <w:p>
            <w:pPr>
              <w:spacing w:after="0"/>
              <w:rPr>
                <w:sz w:val="14"/>
                <w:szCs w:val="14"/>
                <w:color w:val="auto"/>
              </w:rPr>
            </w:pPr>
          </w:p>
        </w:tc>
        <w:tc>
          <w:tcPr>
            <w:tcW w:w="2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policy, the Free Look period is</w:t>
            </w:r>
          </w:p>
        </w:tc>
      </w:tr>
      <w:tr>
        <w:trPr>
          <w:trHeight w:val="176"/>
        </w:trPr>
        <w:tc>
          <w:tcPr>
            <w:tcW w:w="2040" w:type="dxa"/>
            <w:vAlign w:val="bottom"/>
            <w:tcBorders>
              <w:left w:val="single" w:sz="8" w:color="auto"/>
              <w:right w:val="single" w:sz="8" w:color="auto"/>
            </w:tcBorders>
          </w:tcPr>
          <w:p>
            <w:pPr>
              <w:spacing w:after="0"/>
              <w:rPr>
                <w:sz w:val="15"/>
                <w:szCs w:val="15"/>
                <w:color w:val="auto"/>
              </w:rPr>
            </w:pPr>
          </w:p>
        </w:tc>
        <w:tc>
          <w:tcPr>
            <w:tcW w:w="2040" w:type="dxa"/>
            <w:vAlign w:val="bottom"/>
            <w:tcBorders>
              <w:right w:val="single" w:sz="8" w:color="auto"/>
            </w:tcBorders>
          </w:tcPr>
          <w:p>
            <w:pPr>
              <w:spacing w:after="0"/>
              <w:rPr>
                <w:sz w:val="15"/>
                <w:szCs w:val="15"/>
                <w:color w:val="auto"/>
              </w:rPr>
            </w:pPr>
          </w:p>
        </w:tc>
        <w:tc>
          <w:tcPr>
            <w:tcW w:w="2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20 days.</w:t>
            </w:r>
          </w:p>
        </w:tc>
      </w:tr>
      <w:tr>
        <w:trPr>
          <w:trHeight w:val="22"/>
        </w:trPr>
        <w:tc>
          <w:tcPr>
            <w:tcW w:w="20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40" w:type="dxa"/>
            <w:vAlign w:val="bottom"/>
            <w:tcBorders>
              <w:bottom w:val="single" w:sz="8" w:color="auto"/>
              <w:right w:val="single" w:sz="8" w:color="auto"/>
            </w:tcBorders>
          </w:tcPr>
          <w:p>
            <w:pPr>
              <w:spacing w:after="0" w:line="20" w:lineRule="exact"/>
              <w:rPr>
                <w:sz w:val="1"/>
                <w:szCs w:val="1"/>
                <w:color w:val="auto"/>
              </w:rPr>
            </w:pPr>
          </w:p>
        </w:tc>
        <w:tc>
          <w:tcPr>
            <w:tcW w:w="2220" w:type="dxa"/>
            <w:vAlign w:val="bottom"/>
            <w:tcBorders>
              <w:bottom w:val="single" w:sz="8" w:color="auto"/>
              <w:right w:val="single" w:sz="8" w:color="auto"/>
            </w:tcBorders>
          </w:tcPr>
          <w:p>
            <w:pPr>
              <w:spacing w:after="0" w:line="20" w:lineRule="exact"/>
              <w:rPr>
                <w:sz w:val="1"/>
                <w:szCs w:val="1"/>
                <w:color w:val="auto"/>
              </w:rPr>
            </w:pPr>
          </w:p>
        </w:tc>
      </w:tr>
      <w:tr>
        <w:trPr>
          <w:trHeight w:val="163"/>
        </w:trPr>
        <w:tc>
          <w:tcPr>
            <w:tcW w:w="2040" w:type="dxa"/>
            <w:vAlign w:val="bottom"/>
            <w:tcBorders>
              <w:left w:val="single" w:sz="8" w:color="auto"/>
              <w:right w:val="single" w:sz="8" w:color="auto"/>
            </w:tcBorders>
            <w:shd w:val="clear" w:color="auto" w:fill="F0FFFF"/>
          </w:tcPr>
          <w:p>
            <w:pPr>
              <w:ind w:left="80"/>
              <w:spacing w:after="0"/>
              <w:rPr>
                <w:sz w:val="20"/>
                <w:szCs w:val="20"/>
                <w:color w:val="auto"/>
              </w:rPr>
            </w:pPr>
            <w:r>
              <w:rPr>
                <w:rFonts w:ascii="Times New Roman" w:cs="Times New Roman" w:eastAsia="Times New Roman" w:hAnsi="Times New Roman"/>
                <w:sz w:val="14"/>
                <w:szCs w:val="14"/>
                <w:color w:val="auto"/>
              </w:rPr>
              <w:t>Kentucky</w:t>
            </w:r>
          </w:p>
        </w:tc>
        <w:tc>
          <w:tcPr>
            <w:tcW w:w="2040" w:type="dxa"/>
            <w:vAlign w:val="bottom"/>
            <w:tcBorders>
              <w:right w:val="single" w:sz="8" w:color="auto"/>
            </w:tcBorders>
            <w:shd w:val="clear" w:color="auto" w:fill="F0FFFF"/>
          </w:tcPr>
          <w:p>
            <w:pPr>
              <w:ind w:left="60"/>
              <w:spacing w:after="0"/>
              <w:rPr>
                <w:sz w:val="20"/>
                <w:szCs w:val="20"/>
                <w:color w:val="auto"/>
              </w:rPr>
            </w:pPr>
            <w:r>
              <w:rPr>
                <w:rFonts w:ascii="Times New Roman" w:cs="Times New Roman" w:eastAsia="Times New Roman" w:hAnsi="Times New Roman"/>
                <w:sz w:val="14"/>
                <w:szCs w:val="14"/>
                <w:color w:val="auto"/>
              </w:rPr>
              <w:t>Free Look</w:t>
            </w:r>
          </w:p>
        </w:tc>
        <w:tc>
          <w:tcPr>
            <w:tcW w:w="2220" w:type="dxa"/>
            <w:vAlign w:val="bottom"/>
            <w:tcBorders>
              <w:right w:val="single" w:sz="8" w:color="auto"/>
            </w:tcBorders>
            <w:shd w:val="clear" w:color="auto" w:fill="F0FFFF"/>
          </w:tcPr>
          <w:p>
            <w:pPr>
              <w:ind w:left="60"/>
              <w:spacing w:after="0"/>
              <w:rPr>
                <w:sz w:val="20"/>
                <w:szCs w:val="20"/>
                <w:color w:val="auto"/>
              </w:rPr>
            </w:pPr>
            <w:r>
              <w:rPr>
                <w:rFonts w:ascii="Times New Roman" w:cs="Times New Roman" w:eastAsia="Times New Roman" w:hAnsi="Times New Roman"/>
                <w:sz w:val="14"/>
                <w:szCs w:val="14"/>
                <w:color w:val="auto"/>
              </w:rPr>
              <w:t>For the replacement of an existing</w:t>
            </w:r>
          </w:p>
        </w:tc>
      </w:tr>
      <w:tr>
        <w:trPr>
          <w:trHeight w:val="165"/>
        </w:trPr>
        <w:tc>
          <w:tcPr>
            <w:tcW w:w="2040" w:type="dxa"/>
            <w:vAlign w:val="bottom"/>
            <w:tcBorders>
              <w:left w:val="single" w:sz="8" w:color="auto"/>
              <w:right w:val="single" w:sz="8" w:color="auto"/>
            </w:tcBorders>
            <w:shd w:val="clear" w:color="auto" w:fill="F0FFFF"/>
          </w:tcPr>
          <w:p>
            <w:pPr>
              <w:spacing w:after="0"/>
              <w:rPr>
                <w:sz w:val="14"/>
                <w:szCs w:val="14"/>
                <w:color w:val="auto"/>
              </w:rPr>
            </w:pPr>
          </w:p>
        </w:tc>
        <w:tc>
          <w:tcPr>
            <w:tcW w:w="2040" w:type="dxa"/>
            <w:vAlign w:val="bottom"/>
            <w:tcBorders>
              <w:right w:val="single" w:sz="8" w:color="auto"/>
            </w:tcBorders>
            <w:shd w:val="clear" w:color="auto" w:fill="F0FFFF"/>
          </w:tcPr>
          <w:p>
            <w:pPr>
              <w:spacing w:after="0"/>
              <w:rPr>
                <w:sz w:val="14"/>
                <w:szCs w:val="14"/>
                <w:color w:val="auto"/>
              </w:rPr>
            </w:pPr>
          </w:p>
        </w:tc>
        <w:tc>
          <w:tcPr>
            <w:tcW w:w="2220" w:type="dxa"/>
            <w:vAlign w:val="bottom"/>
            <w:tcBorders>
              <w:right w:val="single" w:sz="8" w:color="auto"/>
            </w:tcBorders>
            <w:shd w:val="clear" w:color="auto" w:fill="F0FFFF"/>
          </w:tcPr>
          <w:p>
            <w:pPr>
              <w:ind w:left="60"/>
              <w:spacing w:after="0"/>
              <w:rPr>
                <w:sz w:val="20"/>
                <w:szCs w:val="20"/>
                <w:color w:val="auto"/>
              </w:rPr>
            </w:pPr>
            <w:r>
              <w:rPr>
                <w:rFonts w:ascii="Times New Roman" w:cs="Times New Roman" w:eastAsia="Times New Roman" w:hAnsi="Times New Roman"/>
                <w:sz w:val="14"/>
                <w:szCs w:val="14"/>
                <w:color w:val="auto"/>
              </w:rPr>
              <w:t>policy, the Free Look period is</w:t>
            </w:r>
          </w:p>
        </w:tc>
      </w:tr>
      <w:tr>
        <w:trPr>
          <w:trHeight w:val="203"/>
        </w:trPr>
        <w:tc>
          <w:tcPr>
            <w:tcW w:w="2040" w:type="dxa"/>
            <w:vAlign w:val="bottom"/>
            <w:tcBorders>
              <w:left w:val="single" w:sz="8" w:color="auto"/>
              <w:bottom w:val="single" w:sz="8" w:color="F0FFFF"/>
              <w:right w:val="single" w:sz="8" w:color="auto"/>
            </w:tcBorders>
            <w:shd w:val="clear" w:color="auto" w:fill="F0FFFF"/>
          </w:tcPr>
          <w:p>
            <w:pPr>
              <w:spacing w:after="0"/>
              <w:rPr>
                <w:sz w:val="17"/>
                <w:szCs w:val="17"/>
                <w:color w:val="auto"/>
              </w:rPr>
            </w:pPr>
          </w:p>
        </w:tc>
        <w:tc>
          <w:tcPr>
            <w:tcW w:w="2040" w:type="dxa"/>
            <w:vAlign w:val="bottom"/>
            <w:tcBorders>
              <w:bottom w:val="single" w:sz="8" w:color="F0FFFF"/>
              <w:right w:val="single" w:sz="8" w:color="auto"/>
            </w:tcBorders>
            <w:shd w:val="clear" w:color="auto" w:fill="F0FFFF"/>
          </w:tcPr>
          <w:p>
            <w:pPr>
              <w:spacing w:after="0"/>
              <w:rPr>
                <w:sz w:val="17"/>
                <w:szCs w:val="17"/>
                <w:color w:val="auto"/>
              </w:rPr>
            </w:pPr>
          </w:p>
        </w:tc>
        <w:tc>
          <w:tcPr>
            <w:tcW w:w="2220" w:type="dxa"/>
            <w:vAlign w:val="bottom"/>
            <w:tcBorders>
              <w:bottom w:val="single" w:sz="8" w:color="F0FFFF"/>
              <w:right w:val="single" w:sz="8" w:color="auto"/>
            </w:tcBorders>
            <w:shd w:val="clear" w:color="auto" w:fill="F0FFFF"/>
          </w:tcPr>
          <w:p>
            <w:pPr>
              <w:ind w:left="60"/>
              <w:spacing w:after="0"/>
              <w:rPr>
                <w:sz w:val="20"/>
                <w:szCs w:val="20"/>
                <w:color w:val="auto"/>
              </w:rPr>
            </w:pPr>
            <w:r>
              <w:rPr>
                <w:rFonts w:ascii="Times New Roman" w:cs="Times New Roman" w:eastAsia="Times New Roman" w:hAnsi="Times New Roman"/>
                <w:sz w:val="14"/>
                <w:szCs w:val="14"/>
                <w:color w:val="auto"/>
              </w:rPr>
              <w:t>30 days.</w:t>
            </w:r>
          </w:p>
        </w:tc>
      </w:tr>
      <w:tr>
        <w:trPr>
          <w:trHeight w:val="163"/>
        </w:trPr>
        <w:tc>
          <w:tcPr>
            <w:tcW w:w="204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Louisiana</w:t>
            </w:r>
          </w:p>
        </w:tc>
        <w:tc>
          <w:tcPr>
            <w:tcW w:w="204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Free Look</w:t>
            </w:r>
          </w:p>
        </w:tc>
        <w:tc>
          <w:tcPr>
            <w:tcW w:w="222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For the replacement of an existing</w:t>
            </w:r>
          </w:p>
        </w:tc>
      </w:tr>
      <w:tr>
        <w:trPr>
          <w:trHeight w:val="165"/>
        </w:trPr>
        <w:tc>
          <w:tcPr>
            <w:tcW w:w="2040" w:type="dxa"/>
            <w:vAlign w:val="bottom"/>
            <w:tcBorders>
              <w:left w:val="single" w:sz="8" w:color="auto"/>
              <w:right w:val="single" w:sz="8" w:color="auto"/>
            </w:tcBorders>
          </w:tcPr>
          <w:p>
            <w:pPr>
              <w:spacing w:after="0"/>
              <w:rPr>
                <w:sz w:val="14"/>
                <w:szCs w:val="14"/>
                <w:color w:val="auto"/>
              </w:rPr>
            </w:pPr>
          </w:p>
        </w:tc>
        <w:tc>
          <w:tcPr>
            <w:tcW w:w="2040" w:type="dxa"/>
            <w:vAlign w:val="bottom"/>
            <w:tcBorders>
              <w:right w:val="single" w:sz="8" w:color="auto"/>
            </w:tcBorders>
          </w:tcPr>
          <w:p>
            <w:pPr>
              <w:spacing w:after="0"/>
              <w:rPr>
                <w:sz w:val="14"/>
                <w:szCs w:val="14"/>
                <w:color w:val="auto"/>
              </w:rPr>
            </w:pPr>
          </w:p>
        </w:tc>
        <w:tc>
          <w:tcPr>
            <w:tcW w:w="2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policy, the Free Look period is</w:t>
            </w:r>
          </w:p>
        </w:tc>
      </w:tr>
      <w:tr>
        <w:trPr>
          <w:trHeight w:val="176"/>
        </w:trPr>
        <w:tc>
          <w:tcPr>
            <w:tcW w:w="2040" w:type="dxa"/>
            <w:vAlign w:val="bottom"/>
            <w:tcBorders>
              <w:left w:val="single" w:sz="8" w:color="auto"/>
              <w:right w:val="single" w:sz="8" w:color="auto"/>
            </w:tcBorders>
          </w:tcPr>
          <w:p>
            <w:pPr>
              <w:spacing w:after="0"/>
              <w:rPr>
                <w:sz w:val="15"/>
                <w:szCs w:val="15"/>
                <w:color w:val="auto"/>
              </w:rPr>
            </w:pPr>
          </w:p>
        </w:tc>
        <w:tc>
          <w:tcPr>
            <w:tcW w:w="2040" w:type="dxa"/>
            <w:vAlign w:val="bottom"/>
            <w:tcBorders>
              <w:right w:val="single" w:sz="8" w:color="auto"/>
            </w:tcBorders>
          </w:tcPr>
          <w:p>
            <w:pPr>
              <w:spacing w:after="0"/>
              <w:rPr>
                <w:sz w:val="15"/>
                <w:szCs w:val="15"/>
                <w:color w:val="auto"/>
              </w:rPr>
            </w:pPr>
          </w:p>
        </w:tc>
        <w:tc>
          <w:tcPr>
            <w:tcW w:w="2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30 days.</w:t>
            </w:r>
          </w:p>
        </w:tc>
      </w:tr>
      <w:tr>
        <w:trPr>
          <w:trHeight w:val="22"/>
        </w:trPr>
        <w:tc>
          <w:tcPr>
            <w:tcW w:w="20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40" w:type="dxa"/>
            <w:vAlign w:val="bottom"/>
            <w:tcBorders>
              <w:bottom w:val="single" w:sz="8" w:color="auto"/>
              <w:right w:val="single" w:sz="8" w:color="auto"/>
            </w:tcBorders>
          </w:tcPr>
          <w:p>
            <w:pPr>
              <w:spacing w:after="0" w:line="20" w:lineRule="exact"/>
              <w:rPr>
                <w:sz w:val="1"/>
                <w:szCs w:val="1"/>
                <w:color w:val="auto"/>
              </w:rPr>
            </w:pPr>
          </w:p>
        </w:tc>
        <w:tc>
          <w:tcPr>
            <w:tcW w:w="2220" w:type="dxa"/>
            <w:vAlign w:val="bottom"/>
            <w:tcBorders>
              <w:bottom w:val="single" w:sz="8" w:color="auto"/>
              <w:right w:val="single" w:sz="8" w:color="auto"/>
            </w:tcBorders>
          </w:tcPr>
          <w:p>
            <w:pPr>
              <w:spacing w:after="0" w:line="20" w:lineRule="exact"/>
              <w:rPr>
                <w:sz w:val="1"/>
                <w:szCs w:val="1"/>
                <w:color w:val="auto"/>
              </w:rPr>
            </w:pPr>
          </w:p>
        </w:tc>
      </w:tr>
      <w:tr>
        <w:trPr>
          <w:trHeight w:val="142"/>
        </w:trPr>
        <w:tc>
          <w:tcPr>
            <w:tcW w:w="2040" w:type="dxa"/>
            <w:vAlign w:val="bottom"/>
            <w:tcBorders>
              <w:left w:val="single" w:sz="8" w:color="auto"/>
              <w:right w:val="single" w:sz="8" w:color="auto"/>
            </w:tcBorders>
            <w:shd w:val="clear" w:color="auto" w:fill="F0FFFF"/>
          </w:tcPr>
          <w:p>
            <w:pPr>
              <w:ind w:left="80"/>
              <w:spacing w:after="0" w:line="142" w:lineRule="exact"/>
              <w:rPr>
                <w:sz w:val="20"/>
                <w:szCs w:val="20"/>
                <w:color w:val="auto"/>
              </w:rPr>
            </w:pPr>
            <w:r>
              <w:rPr>
                <w:rFonts w:ascii="Times New Roman" w:cs="Times New Roman" w:eastAsia="Times New Roman" w:hAnsi="Times New Roman"/>
                <w:sz w:val="14"/>
                <w:szCs w:val="14"/>
                <w:color w:val="auto"/>
              </w:rPr>
              <w:t>Maine</w:t>
            </w:r>
          </w:p>
        </w:tc>
        <w:tc>
          <w:tcPr>
            <w:tcW w:w="2040" w:type="dxa"/>
            <w:vAlign w:val="bottom"/>
            <w:tcBorders>
              <w:right w:val="single" w:sz="8" w:color="auto"/>
            </w:tcBorders>
            <w:shd w:val="clear" w:color="auto" w:fill="F0FFFF"/>
          </w:tcPr>
          <w:p>
            <w:pPr>
              <w:ind w:left="60"/>
              <w:spacing w:after="0" w:line="142" w:lineRule="exact"/>
              <w:rPr>
                <w:sz w:val="20"/>
                <w:szCs w:val="20"/>
                <w:color w:val="auto"/>
              </w:rPr>
            </w:pPr>
            <w:r>
              <w:rPr>
                <w:rFonts w:ascii="Times New Roman" w:cs="Times New Roman" w:eastAsia="Times New Roman" w:hAnsi="Times New Roman"/>
                <w:sz w:val="14"/>
                <w:szCs w:val="14"/>
                <w:color w:val="auto"/>
              </w:rPr>
              <w:t>Free Look</w:t>
            </w:r>
          </w:p>
        </w:tc>
        <w:tc>
          <w:tcPr>
            <w:tcW w:w="2220" w:type="dxa"/>
            <w:vAlign w:val="bottom"/>
            <w:tcBorders>
              <w:right w:val="single" w:sz="8" w:color="auto"/>
            </w:tcBorders>
            <w:shd w:val="clear" w:color="auto" w:fill="F0FFFF"/>
          </w:tcPr>
          <w:p>
            <w:pPr>
              <w:ind w:left="60"/>
              <w:spacing w:after="0" w:line="142" w:lineRule="exact"/>
              <w:rPr>
                <w:sz w:val="20"/>
                <w:szCs w:val="20"/>
                <w:color w:val="auto"/>
              </w:rPr>
            </w:pPr>
            <w:r>
              <w:rPr>
                <w:rFonts w:ascii="Times New Roman" w:cs="Times New Roman" w:eastAsia="Times New Roman" w:hAnsi="Times New Roman"/>
                <w:sz w:val="14"/>
                <w:szCs w:val="14"/>
                <w:color w:val="auto"/>
              </w:rPr>
              <w:t>For the replacement of an existing</w:t>
            </w:r>
          </w:p>
        </w:tc>
      </w:tr>
      <w:tr>
        <w:trPr>
          <w:trHeight w:val="144"/>
        </w:trPr>
        <w:tc>
          <w:tcPr>
            <w:tcW w:w="2040" w:type="dxa"/>
            <w:vAlign w:val="bottom"/>
            <w:tcBorders>
              <w:left w:val="single" w:sz="8" w:color="auto"/>
              <w:right w:val="single" w:sz="8" w:color="auto"/>
            </w:tcBorders>
            <w:shd w:val="clear" w:color="auto" w:fill="F0FFFF"/>
          </w:tcPr>
          <w:p>
            <w:pPr>
              <w:spacing w:after="0"/>
              <w:rPr>
                <w:sz w:val="12"/>
                <w:szCs w:val="12"/>
                <w:color w:val="auto"/>
              </w:rPr>
            </w:pPr>
          </w:p>
        </w:tc>
        <w:tc>
          <w:tcPr>
            <w:tcW w:w="2040" w:type="dxa"/>
            <w:vAlign w:val="bottom"/>
            <w:tcBorders>
              <w:right w:val="single" w:sz="8" w:color="auto"/>
            </w:tcBorders>
            <w:shd w:val="clear" w:color="auto" w:fill="F0FFFF"/>
          </w:tcPr>
          <w:p>
            <w:pPr>
              <w:spacing w:after="0"/>
              <w:rPr>
                <w:sz w:val="12"/>
                <w:szCs w:val="12"/>
                <w:color w:val="auto"/>
              </w:rPr>
            </w:pPr>
          </w:p>
        </w:tc>
        <w:tc>
          <w:tcPr>
            <w:tcW w:w="2220" w:type="dxa"/>
            <w:vAlign w:val="bottom"/>
            <w:tcBorders>
              <w:right w:val="single" w:sz="8" w:color="auto"/>
            </w:tcBorders>
            <w:shd w:val="clear" w:color="auto" w:fill="F0FFFF"/>
          </w:tcPr>
          <w:p>
            <w:pPr>
              <w:ind w:left="60"/>
              <w:spacing w:after="0" w:line="144" w:lineRule="exact"/>
              <w:rPr>
                <w:sz w:val="20"/>
                <w:szCs w:val="20"/>
                <w:color w:val="auto"/>
              </w:rPr>
            </w:pPr>
            <w:r>
              <w:rPr>
                <w:rFonts w:ascii="Times New Roman" w:cs="Times New Roman" w:eastAsia="Times New Roman" w:hAnsi="Times New Roman"/>
                <w:sz w:val="14"/>
                <w:szCs w:val="14"/>
                <w:color w:val="auto"/>
              </w:rPr>
              <w:t>policy, the Free Look period is</w:t>
            </w:r>
          </w:p>
        </w:tc>
      </w:tr>
      <w:tr>
        <w:trPr>
          <w:trHeight w:val="203"/>
        </w:trPr>
        <w:tc>
          <w:tcPr>
            <w:tcW w:w="2040" w:type="dxa"/>
            <w:vAlign w:val="bottom"/>
            <w:tcBorders>
              <w:left w:val="single" w:sz="8" w:color="auto"/>
              <w:bottom w:val="single" w:sz="8" w:color="F0FFFF"/>
              <w:right w:val="single" w:sz="8" w:color="auto"/>
            </w:tcBorders>
            <w:shd w:val="clear" w:color="auto" w:fill="F0FFFF"/>
          </w:tcPr>
          <w:p>
            <w:pPr>
              <w:spacing w:after="0"/>
              <w:rPr>
                <w:sz w:val="17"/>
                <w:szCs w:val="17"/>
                <w:color w:val="auto"/>
              </w:rPr>
            </w:pPr>
          </w:p>
        </w:tc>
        <w:tc>
          <w:tcPr>
            <w:tcW w:w="2040" w:type="dxa"/>
            <w:vAlign w:val="bottom"/>
            <w:tcBorders>
              <w:bottom w:val="single" w:sz="8" w:color="F0FFFF"/>
              <w:right w:val="single" w:sz="8" w:color="auto"/>
            </w:tcBorders>
            <w:shd w:val="clear" w:color="auto" w:fill="F0FFFF"/>
          </w:tcPr>
          <w:p>
            <w:pPr>
              <w:spacing w:after="0"/>
              <w:rPr>
                <w:sz w:val="17"/>
                <w:szCs w:val="17"/>
                <w:color w:val="auto"/>
              </w:rPr>
            </w:pPr>
          </w:p>
        </w:tc>
        <w:tc>
          <w:tcPr>
            <w:tcW w:w="2220" w:type="dxa"/>
            <w:vAlign w:val="bottom"/>
            <w:tcBorders>
              <w:bottom w:val="single" w:sz="8" w:color="F0FFFF"/>
              <w:right w:val="single" w:sz="8" w:color="auto"/>
            </w:tcBorders>
            <w:shd w:val="clear" w:color="auto" w:fill="F0FFFF"/>
          </w:tcPr>
          <w:p>
            <w:pPr>
              <w:ind w:left="60"/>
              <w:spacing w:after="0"/>
              <w:rPr>
                <w:sz w:val="20"/>
                <w:szCs w:val="20"/>
                <w:color w:val="auto"/>
              </w:rPr>
            </w:pPr>
            <w:r>
              <w:rPr>
                <w:rFonts w:ascii="Times New Roman" w:cs="Times New Roman" w:eastAsia="Times New Roman" w:hAnsi="Times New Roman"/>
                <w:sz w:val="14"/>
                <w:szCs w:val="14"/>
                <w:color w:val="auto"/>
              </w:rPr>
              <w:t>30 days.</w:t>
            </w:r>
          </w:p>
        </w:tc>
      </w:tr>
      <w:tr>
        <w:trPr>
          <w:trHeight w:val="359"/>
        </w:trPr>
        <w:tc>
          <w:tcPr>
            <w:tcW w:w="2040" w:type="dxa"/>
            <w:vAlign w:val="bottom"/>
            <w:tcBorders>
              <w:top w:val="single" w:sz="8" w:color="auto"/>
            </w:tcBorders>
          </w:tcPr>
          <w:p>
            <w:pPr>
              <w:spacing w:after="0"/>
              <w:rPr>
                <w:sz w:val="24"/>
                <w:szCs w:val="24"/>
                <w:color w:val="auto"/>
              </w:rPr>
            </w:pPr>
          </w:p>
        </w:tc>
        <w:tc>
          <w:tcPr>
            <w:tcW w:w="2040" w:type="dxa"/>
            <w:vAlign w:val="bottom"/>
            <w:tcBorders>
              <w:top w:val="single" w:sz="8" w:color="auto"/>
            </w:tcBorders>
          </w:tcPr>
          <w:p>
            <w:pPr>
              <w:ind w:left="1000"/>
              <w:spacing w:after="0"/>
              <w:rPr>
                <w:sz w:val="20"/>
                <w:szCs w:val="20"/>
                <w:color w:val="auto"/>
              </w:rPr>
            </w:pPr>
            <w:r>
              <w:rPr>
                <w:rFonts w:ascii="Times New Roman" w:cs="Times New Roman" w:eastAsia="Times New Roman" w:hAnsi="Times New Roman"/>
                <w:sz w:val="14"/>
                <w:szCs w:val="14"/>
                <w:color w:val="auto"/>
              </w:rPr>
              <w:t>F-1</w:t>
            </w:r>
          </w:p>
        </w:tc>
        <w:tc>
          <w:tcPr>
            <w:tcW w:w="2220" w:type="dxa"/>
            <w:vAlign w:val="bottom"/>
            <w:tcBorders>
              <w:top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-5517515</wp:posOffset>
            </wp:positionV>
            <wp:extent cx="3983990" cy="11747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0">
                      <a:extLst>
                        <a:ext uri="{28A0092B-C50C-407E-A947-70E740481C1C}"/>
                      </a:extLst>
                    </a:blip>
                    <a:srcRect/>
                    <a:stretch>
                      <a:fillRect/>
                    </a:stretch>
                  </pic:blipFill>
                  <pic:spPr bwMode="auto">
                    <a:xfrm>
                      <a:off x="0" y="0"/>
                      <a:ext cx="3983990" cy="11747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-5053965</wp:posOffset>
            </wp:positionV>
            <wp:extent cx="3983990" cy="34607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1">
                      <a:extLst>
                        <a:ext uri="{28A0092B-C50C-407E-A947-70E740481C1C}"/>
                      </a:extLst>
                    </a:blip>
                    <a:srcRect/>
                    <a:stretch>
                      <a:fillRect/>
                    </a:stretch>
                  </pic:blipFill>
                  <pic:spPr bwMode="auto">
                    <a:xfrm>
                      <a:off x="0" y="0"/>
                      <a:ext cx="3983990" cy="34607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-4257040</wp:posOffset>
            </wp:positionV>
            <wp:extent cx="3983990" cy="34607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2">
                      <a:extLst>
                        <a:ext uri="{28A0092B-C50C-407E-A947-70E740481C1C}"/>
                      </a:extLst>
                    </a:blip>
                    <a:srcRect/>
                    <a:stretch>
                      <a:fillRect/>
                    </a:stretch>
                  </pic:blipFill>
                  <pic:spPr bwMode="auto">
                    <a:xfrm>
                      <a:off x="0" y="0"/>
                      <a:ext cx="3983990" cy="34607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-3460115</wp:posOffset>
            </wp:positionV>
            <wp:extent cx="3983990" cy="34607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3">
                      <a:extLst>
                        <a:ext uri="{28A0092B-C50C-407E-A947-70E740481C1C}"/>
                      </a:extLst>
                    </a:blip>
                    <a:srcRect/>
                    <a:stretch>
                      <a:fillRect/>
                    </a:stretch>
                  </pic:blipFill>
                  <pic:spPr bwMode="auto">
                    <a:xfrm>
                      <a:off x="0" y="0"/>
                      <a:ext cx="3983990" cy="34607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-2767965</wp:posOffset>
            </wp:positionV>
            <wp:extent cx="3983990" cy="34607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4">
                      <a:extLst>
                        <a:ext uri="{28A0092B-C50C-407E-A947-70E740481C1C}"/>
                      </a:extLst>
                    </a:blip>
                    <a:srcRect/>
                    <a:stretch>
                      <a:fillRect/>
                    </a:stretch>
                  </pic:blipFill>
                  <pic:spPr bwMode="auto">
                    <a:xfrm>
                      <a:off x="0" y="0"/>
                      <a:ext cx="3983990" cy="34607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-2075815</wp:posOffset>
            </wp:positionV>
            <wp:extent cx="3983990" cy="13716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5">
                      <a:extLst>
                        <a:ext uri="{28A0092B-C50C-407E-A947-70E740481C1C}"/>
                      </a:extLst>
                    </a:blip>
                    <a:srcRect/>
                    <a:stretch>
                      <a:fillRect/>
                    </a:stretch>
                  </pic:blipFill>
                  <pic:spPr bwMode="auto">
                    <a:xfrm>
                      <a:off x="0" y="0"/>
                      <a:ext cx="3983990" cy="13716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-1592580</wp:posOffset>
            </wp:positionV>
            <wp:extent cx="3983990" cy="34607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6">
                      <a:extLst>
                        <a:ext uri="{28A0092B-C50C-407E-A947-70E740481C1C}"/>
                      </a:extLst>
                    </a:blip>
                    <a:srcRect/>
                    <a:stretch>
                      <a:fillRect/>
                    </a:stretch>
                  </pic:blipFill>
                  <pic:spPr bwMode="auto">
                    <a:xfrm>
                      <a:off x="0" y="0"/>
                      <a:ext cx="3983990" cy="34607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-899795</wp:posOffset>
            </wp:positionV>
            <wp:extent cx="3983990" cy="34607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7">
                      <a:extLst>
                        <a:ext uri="{28A0092B-C50C-407E-A947-70E740481C1C}"/>
                      </a:extLst>
                    </a:blip>
                    <a:srcRect/>
                    <a:stretch>
                      <a:fillRect/>
                    </a:stretch>
                  </pic:blipFill>
                  <pic:spPr bwMode="auto">
                    <a:xfrm>
                      <a:off x="0" y="0"/>
                      <a:ext cx="3983990" cy="346075"/>
                    </a:xfrm>
                    <a:prstGeom prst="rect">
                      <a:avLst/>
                    </a:prstGeom>
                    <a:noFill/>
                  </pic:spPr>
                </pic:pic>
              </a:graphicData>
            </a:graphic>
          </wp:anchor>
        </w:drawing>
      </w:r>
    </w:p>
    <w:p>
      <w:pPr>
        <w:sectPr>
          <w:pgSz w:w="11900" w:h="16838" w:orient="portrait"/>
          <w:cols w:equalWidth="0" w:num="1">
            <w:col w:w="9219"/>
          </w:cols>
          <w:pgMar w:left="1240" w:top="1079" w:right="1440" w:bottom="1440" w:gutter="0" w:footer="0" w:header="0"/>
        </w:sectPr>
      </w:pPr>
    </w:p>
    <w:bookmarkStart w:id="92" w:name="page93"/>
    <w:bookmarkEnd w:id="92"/>
    <w:tbl>
      <w:tblPr>
        <w:tblLayout w:type="fixed"/>
        <w:tblInd w:w="10" w:type="dxa"/>
        <w:tblCellMar>
          <w:top w:w="0" w:type="dxa"/>
          <w:left w:w="0" w:type="dxa"/>
          <w:bottom w:w="0" w:type="dxa"/>
          <w:right w:w="0" w:type="dxa"/>
        </w:tblCellMar>
      </w:tblPr>
      <w:tr>
        <w:trPr>
          <w:trHeight w:val="180"/>
        </w:trPr>
        <w:tc>
          <w:tcPr>
            <w:tcW w:w="200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1"/>
                <w:szCs w:val="11"/>
                <w:b w:val="1"/>
                <w:bCs w:val="1"/>
                <w:color w:val="auto"/>
              </w:rPr>
              <w:t>State</w:t>
            </w:r>
          </w:p>
        </w:tc>
        <w:tc>
          <w:tcPr>
            <w:tcW w:w="2000" w:type="dxa"/>
            <w:vAlign w:val="bottom"/>
            <w:tcBorders>
              <w:top w:val="single" w:sz="8" w:color="auto"/>
              <w:bottom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1"/>
                <w:szCs w:val="11"/>
                <w:b w:val="1"/>
                <w:bCs w:val="1"/>
                <w:color w:val="auto"/>
              </w:rPr>
              <w:t>Features or Benefit</w:t>
            </w:r>
          </w:p>
        </w:tc>
        <w:tc>
          <w:tcPr>
            <w:tcW w:w="2300" w:type="dxa"/>
            <w:vAlign w:val="bottom"/>
            <w:tcBorders>
              <w:top w:val="single" w:sz="8" w:color="auto"/>
              <w:bottom w:val="single" w:sz="8" w:color="auto"/>
              <w:right w:val="single" w:sz="8" w:color="auto"/>
            </w:tcBorders>
          </w:tcPr>
          <w:p>
            <w:pPr>
              <w:ind w:left="920"/>
              <w:spacing w:after="0"/>
              <w:rPr>
                <w:sz w:val="20"/>
                <w:szCs w:val="20"/>
                <w:color w:val="auto"/>
              </w:rPr>
            </w:pPr>
            <w:r>
              <w:rPr>
                <w:rFonts w:ascii="Times New Roman" w:cs="Times New Roman" w:eastAsia="Times New Roman" w:hAnsi="Times New Roman"/>
                <w:sz w:val="11"/>
                <w:szCs w:val="11"/>
                <w:b w:val="1"/>
                <w:bCs w:val="1"/>
                <w:color w:val="auto"/>
              </w:rPr>
              <w:t>Variation</w:t>
            </w:r>
          </w:p>
        </w:tc>
      </w:tr>
      <w:tr>
        <w:trPr>
          <w:trHeight w:val="172"/>
        </w:trPr>
        <w:tc>
          <w:tcPr>
            <w:tcW w:w="2000" w:type="dxa"/>
            <w:vAlign w:val="bottom"/>
            <w:tcBorders>
              <w:left w:val="single" w:sz="8" w:color="auto"/>
              <w:right w:val="single" w:sz="8" w:color="auto"/>
            </w:tcBorders>
            <w:shd w:val="clear" w:color="auto" w:fill="F0FFFF"/>
          </w:tcPr>
          <w:p>
            <w:pPr>
              <w:ind w:left="80"/>
              <w:spacing w:after="0"/>
              <w:rPr>
                <w:sz w:val="20"/>
                <w:szCs w:val="20"/>
                <w:color w:val="auto"/>
              </w:rPr>
            </w:pPr>
            <w:r>
              <w:rPr>
                <w:rFonts w:ascii="Times New Roman" w:cs="Times New Roman" w:eastAsia="Times New Roman" w:hAnsi="Times New Roman"/>
                <w:sz w:val="14"/>
                <w:szCs w:val="14"/>
                <w:color w:val="auto"/>
              </w:rPr>
              <w:t>Maryland</w:t>
            </w:r>
          </w:p>
        </w:tc>
        <w:tc>
          <w:tcPr>
            <w:tcW w:w="2000" w:type="dxa"/>
            <w:vAlign w:val="bottom"/>
            <w:tcBorders>
              <w:right w:val="single" w:sz="8" w:color="auto"/>
            </w:tcBorders>
            <w:shd w:val="clear" w:color="auto" w:fill="F0FFFF"/>
          </w:tcPr>
          <w:p>
            <w:pPr>
              <w:ind w:left="60"/>
              <w:spacing w:after="0"/>
              <w:rPr>
                <w:sz w:val="20"/>
                <w:szCs w:val="20"/>
                <w:color w:val="auto"/>
              </w:rPr>
            </w:pPr>
            <w:r>
              <w:rPr>
                <w:rFonts w:ascii="Times New Roman" w:cs="Times New Roman" w:eastAsia="Times New Roman" w:hAnsi="Times New Roman"/>
                <w:sz w:val="14"/>
                <w:szCs w:val="14"/>
                <w:color w:val="auto"/>
              </w:rPr>
              <w:t>Free Look</w:t>
            </w:r>
          </w:p>
        </w:tc>
        <w:tc>
          <w:tcPr>
            <w:tcW w:w="2300" w:type="dxa"/>
            <w:vAlign w:val="bottom"/>
            <w:tcBorders>
              <w:right w:val="single" w:sz="8" w:color="auto"/>
            </w:tcBorders>
            <w:shd w:val="clear" w:color="auto" w:fill="F0FFFF"/>
          </w:tcPr>
          <w:p>
            <w:pPr>
              <w:ind w:left="80"/>
              <w:spacing w:after="0"/>
              <w:rPr>
                <w:sz w:val="20"/>
                <w:szCs w:val="20"/>
                <w:color w:val="auto"/>
              </w:rPr>
            </w:pPr>
            <w:r>
              <w:rPr>
                <w:rFonts w:ascii="Times New Roman" w:cs="Times New Roman" w:eastAsia="Times New Roman" w:hAnsi="Times New Roman"/>
                <w:sz w:val="14"/>
                <w:szCs w:val="14"/>
                <w:color w:val="auto"/>
              </w:rPr>
              <w:t>For the replacement of an existing</w:t>
            </w:r>
          </w:p>
        </w:tc>
      </w:tr>
      <w:tr>
        <w:trPr>
          <w:trHeight w:val="165"/>
        </w:trPr>
        <w:tc>
          <w:tcPr>
            <w:tcW w:w="2000" w:type="dxa"/>
            <w:vAlign w:val="bottom"/>
            <w:tcBorders>
              <w:left w:val="single" w:sz="8" w:color="auto"/>
              <w:right w:val="single" w:sz="8" w:color="auto"/>
            </w:tcBorders>
            <w:shd w:val="clear" w:color="auto" w:fill="F0FFFF"/>
          </w:tcPr>
          <w:p>
            <w:pPr>
              <w:spacing w:after="0"/>
              <w:rPr>
                <w:sz w:val="14"/>
                <w:szCs w:val="14"/>
                <w:color w:val="auto"/>
              </w:rPr>
            </w:pPr>
          </w:p>
        </w:tc>
        <w:tc>
          <w:tcPr>
            <w:tcW w:w="2000" w:type="dxa"/>
            <w:vAlign w:val="bottom"/>
            <w:tcBorders>
              <w:right w:val="single" w:sz="8" w:color="auto"/>
            </w:tcBorders>
            <w:shd w:val="clear" w:color="auto" w:fill="F0FFFF"/>
          </w:tcPr>
          <w:p>
            <w:pPr>
              <w:spacing w:after="0"/>
              <w:rPr>
                <w:sz w:val="14"/>
                <w:szCs w:val="14"/>
                <w:color w:val="auto"/>
              </w:rPr>
            </w:pPr>
          </w:p>
        </w:tc>
        <w:tc>
          <w:tcPr>
            <w:tcW w:w="2300" w:type="dxa"/>
            <w:vAlign w:val="bottom"/>
            <w:tcBorders>
              <w:right w:val="single" w:sz="8" w:color="auto"/>
            </w:tcBorders>
            <w:shd w:val="clear" w:color="auto" w:fill="F0FFFF"/>
          </w:tcPr>
          <w:p>
            <w:pPr>
              <w:ind w:left="80"/>
              <w:spacing w:after="0"/>
              <w:rPr>
                <w:sz w:val="20"/>
                <w:szCs w:val="20"/>
                <w:color w:val="auto"/>
              </w:rPr>
            </w:pPr>
            <w:r>
              <w:rPr>
                <w:rFonts w:ascii="Times New Roman" w:cs="Times New Roman" w:eastAsia="Times New Roman" w:hAnsi="Times New Roman"/>
                <w:sz w:val="14"/>
                <w:szCs w:val="14"/>
                <w:color w:val="auto"/>
              </w:rPr>
              <w:t>policy, the Free Look period is</w:t>
            </w:r>
          </w:p>
        </w:tc>
      </w:tr>
      <w:tr>
        <w:trPr>
          <w:trHeight w:val="203"/>
        </w:trPr>
        <w:tc>
          <w:tcPr>
            <w:tcW w:w="2000" w:type="dxa"/>
            <w:vAlign w:val="bottom"/>
            <w:tcBorders>
              <w:left w:val="single" w:sz="8" w:color="auto"/>
              <w:bottom w:val="single" w:sz="8" w:color="F0FFFF"/>
              <w:right w:val="single" w:sz="8" w:color="auto"/>
            </w:tcBorders>
            <w:shd w:val="clear" w:color="auto" w:fill="F0FFFF"/>
          </w:tcPr>
          <w:p>
            <w:pPr>
              <w:spacing w:after="0"/>
              <w:rPr>
                <w:sz w:val="17"/>
                <w:szCs w:val="17"/>
                <w:color w:val="auto"/>
              </w:rPr>
            </w:pPr>
          </w:p>
        </w:tc>
        <w:tc>
          <w:tcPr>
            <w:tcW w:w="2000" w:type="dxa"/>
            <w:vAlign w:val="bottom"/>
            <w:tcBorders>
              <w:bottom w:val="single" w:sz="8" w:color="F0FFFF"/>
              <w:right w:val="single" w:sz="8" w:color="auto"/>
            </w:tcBorders>
            <w:shd w:val="clear" w:color="auto" w:fill="F0FFFF"/>
          </w:tcPr>
          <w:p>
            <w:pPr>
              <w:spacing w:after="0"/>
              <w:rPr>
                <w:sz w:val="17"/>
                <w:szCs w:val="17"/>
                <w:color w:val="auto"/>
              </w:rPr>
            </w:pPr>
          </w:p>
        </w:tc>
        <w:tc>
          <w:tcPr>
            <w:tcW w:w="2300" w:type="dxa"/>
            <w:vAlign w:val="bottom"/>
            <w:tcBorders>
              <w:bottom w:val="single" w:sz="8" w:color="F0FFFF"/>
              <w:right w:val="single" w:sz="8" w:color="auto"/>
            </w:tcBorders>
            <w:shd w:val="clear" w:color="auto" w:fill="F0FFFF"/>
          </w:tcPr>
          <w:p>
            <w:pPr>
              <w:ind w:left="80"/>
              <w:spacing w:after="0"/>
              <w:rPr>
                <w:sz w:val="20"/>
                <w:szCs w:val="20"/>
                <w:color w:val="auto"/>
              </w:rPr>
            </w:pPr>
            <w:r>
              <w:rPr>
                <w:rFonts w:ascii="Times New Roman" w:cs="Times New Roman" w:eastAsia="Times New Roman" w:hAnsi="Times New Roman"/>
                <w:sz w:val="14"/>
                <w:szCs w:val="14"/>
                <w:color w:val="auto"/>
              </w:rPr>
              <w:t>30 days.</w:t>
            </w:r>
          </w:p>
        </w:tc>
      </w:tr>
      <w:tr>
        <w:trPr>
          <w:trHeight w:val="163"/>
        </w:trPr>
        <w:tc>
          <w:tcPr>
            <w:tcW w:w="200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Minnesota</w:t>
            </w:r>
          </w:p>
        </w:tc>
        <w:tc>
          <w:tcPr>
            <w:tcW w:w="200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Free Look</w:t>
            </w:r>
          </w:p>
        </w:tc>
        <w:tc>
          <w:tcPr>
            <w:tcW w:w="230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For the replacement of an existing</w:t>
            </w:r>
          </w:p>
        </w:tc>
      </w:tr>
      <w:tr>
        <w:trPr>
          <w:trHeight w:val="165"/>
        </w:trPr>
        <w:tc>
          <w:tcPr>
            <w:tcW w:w="2000" w:type="dxa"/>
            <w:vAlign w:val="bottom"/>
            <w:tcBorders>
              <w:left w:val="single" w:sz="8" w:color="auto"/>
              <w:right w:val="single" w:sz="8" w:color="auto"/>
            </w:tcBorders>
          </w:tcPr>
          <w:p>
            <w:pPr>
              <w:spacing w:after="0"/>
              <w:rPr>
                <w:sz w:val="14"/>
                <w:szCs w:val="14"/>
                <w:color w:val="auto"/>
              </w:rPr>
            </w:pPr>
          </w:p>
        </w:tc>
        <w:tc>
          <w:tcPr>
            <w:tcW w:w="2000" w:type="dxa"/>
            <w:vAlign w:val="bottom"/>
            <w:tcBorders>
              <w:right w:val="single" w:sz="8" w:color="auto"/>
            </w:tcBorders>
          </w:tcPr>
          <w:p>
            <w:pPr>
              <w:spacing w:after="0"/>
              <w:rPr>
                <w:sz w:val="14"/>
                <w:szCs w:val="14"/>
                <w:color w:val="auto"/>
              </w:rPr>
            </w:pPr>
          </w:p>
        </w:tc>
        <w:tc>
          <w:tcPr>
            <w:tcW w:w="23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policy, the Free Look period is</w:t>
            </w:r>
          </w:p>
        </w:tc>
      </w:tr>
      <w:tr>
        <w:trPr>
          <w:trHeight w:val="176"/>
        </w:trPr>
        <w:tc>
          <w:tcPr>
            <w:tcW w:w="2000" w:type="dxa"/>
            <w:vAlign w:val="bottom"/>
            <w:tcBorders>
              <w:left w:val="single" w:sz="8" w:color="auto"/>
              <w:right w:val="single" w:sz="8" w:color="auto"/>
            </w:tcBorders>
          </w:tcPr>
          <w:p>
            <w:pPr>
              <w:spacing w:after="0"/>
              <w:rPr>
                <w:sz w:val="15"/>
                <w:szCs w:val="15"/>
                <w:color w:val="auto"/>
              </w:rPr>
            </w:pPr>
          </w:p>
        </w:tc>
        <w:tc>
          <w:tcPr>
            <w:tcW w:w="2000" w:type="dxa"/>
            <w:vAlign w:val="bottom"/>
            <w:tcBorders>
              <w:right w:val="single" w:sz="8" w:color="auto"/>
            </w:tcBorders>
          </w:tcPr>
          <w:p>
            <w:pPr>
              <w:spacing w:after="0"/>
              <w:rPr>
                <w:sz w:val="15"/>
                <w:szCs w:val="15"/>
                <w:color w:val="auto"/>
              </w:rPr>
            </w:pPr>
          </w:p>
        </w:tc>
        <w:tc>
          <w:tcPr>
            <w:tcW w:w="23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30 days.</w:t>
            </w:r>
          </w:p>
        </w:tc>
      </w:tr>
      <w:tr>
        <w:trPr>
          <w:trHeight w:val="22"/>
        </w:trPr>
        <w:tc>
          <w:tcPr>
            <w:tcW w:w="20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0" w:type="dxa"/>
            <w:vAlign w:val="bottom"/>
            <w:tcBorders>
              <w:bottom w:val="single" w:sz="8" w:color="auto"/>
              <w:right w:val="single" w:sz="8" w:color="auto"/>
            </w:tcBorders>
          </w:tcPr>
          <w:p>
            <w:pPr>
              <w:spacing w:after="0" w:line="20" w:lineRule="exact"/>
              <w:rPr>
                <w:sz w:val="1"/>
                <w:szCs w:val="1"/>
                <w:color w:val="auto"/>
              </w:rPr>
            </w:pPr>
          </w:p>
        </w:tc>
        <w:tc>
          <w:tcPr>
            <w:tcW w:w="2300" w:type="dxa"/>
            <w:vAlign w:val="bottom"/>
            <w:tcBorders>
              <w:bottom w:val="single" w:sz="8" w:color="auto"/>
              <w:right w:val="single" w:sz="8" w:color="auto"/>
            </w:tcBorders>
          </w:tcPr>
          <w:p>
            <w:pPr>
              <w:spacing w:after="0" w:line="20" w:lineRule="exact"/>
              <w:rPr>
                <w:sz w:val="1"/>
                <w:szCs w:val="1"/>
                <w:color w:val="auto"/>
              </w:rPr>
            </w:pPr>
          </w:p>
        </w:tc>
      </w:tr>
      <w:tr>
        <w:trPr>
          <w:trHeight w:val="163"/>
        </w:trPr>
        <w:tc>
          <w:tcPr>
            <w:tcW w:w="2000" w:type="dxa"/>
            <w:vAlign w:val="bottom"/>
            <w:tcBorders>
              <w:left w:val="single" w:sz="8" w:color="auto"/>
              <w:right w:val="single" w:sz="8" w:color="auto"/>
            </w:tcBorders>
            <w:shd w:val="clear" w:color="auto" w:fill="F0FFFF"/>
          </w:tcPr>
          <w:p>
            <w:pPr>
              <w:ind w:left="80"/>
              <w:spacing w:after="0"/>
              <w:rPr>
                <w:sz w:val="20"/>
                <w:szCs w:val="20"/>
                <w:color w:val="auto"/>
              </w:rPr>
            </w:pPr>
            <w:r>
              <w:rPr>
                <w:rFonts w:ascii="Times New Roman" w:cs="Times New Roman" w:eastAsia="Times New Roman" w:hAnsi="Times New Roman"/>
                <w:sz w:val="14"/>
                <w:szCs w:val="14"/>
                <w:color w:val="auto"/>
              </w:rPr>
              <w:t>Mississippi</w:t>
            </w:r>
          </w:p>
        </w:tc>
        <w:tc>
          <w:tcPr>
            <w:tcW w:w="2000" w:type="dxa"/>
            <w:vAlign w:val="bottom"/>
            <w:tcBorders>
              <w:right w:val="single" w:sz="8" w:color="auto"/>
            </w:tcBorders>
            <w:shd w:val="clear" w:color="auto" w:fill="F0FFFF"/>
          </w:tcPr>
          <w:p>
            <w:pPr>
              <w:ind w:left="60"/>
              <w:spacing w:after="0"/>
              <w:rPr>
                <w:sz w:val="20"/>
                <w:szCs w:val="20"/>
                <w:color w:val="auto"/>
              </w:rPr>
            </w:pPr>
            <w:r>
              <w:rPr>
                <w:rFonts w:ascii="Times New Roman" w:cs="Times New Roman" w:eastAsia="Times New Roman" w:hAnsi="Times New Roman"/>
                <w:sz w:val="14"/>
                <w:szCs w:val="14"/>
                <w:color w:val="auto"/>
              </w:rPr>
              <w:t>Free Look</w:t>
            </w:r>
          </w:p>
        </w:tc>
        <w:tc>
          <w:tcPr>
            <w:tcW w:w="2300" w:type="dxa"/>
            <w:vAlign w:val="bottom"/>
            <w:tcBorders>
              <w:right w:val="single" w:sz="8" w:color="auto"/>
            </w:tcBorders>
            <w:shd w:val="clear" w:color="auto" w:fill="F0FFFF"/>
          </w:tcPr>
          <w:p>
            <w:pPr>
              <w:ind w:left="80"/>
              <w:spacing w:after="0"/>
              <w:rPr>
                <w:sz w:val="20"/>
                <w:szCs w:val="20"/>
                <w:color w:val="auto"/>
              </w:rPr>
            </w:pPr>
            <w:r>
              <w:rPr>
                <w:rFonts w:ascii="Times New Roman" w:cs="Times New Roman" w:eastAsia="Times New Roman" w:hAnsi="Times New Roman"/>
                <w:sz w:val="14"/>
                <w:szCs w:val="14"/>
                <w:color w:val="auto"/>
              </w:rPr>
              <w:t>For the replacement of an existing</w:t>
            </w:r>
          </w:p>
        </w:tc>
      </w:tr>
      <w:tr>
        <w:trPr>
          <w:trHeight w:val="165"/>
        </w:trPr>
        <w:tc>
          <w:tcPr>
            <w:tcW w:w="2000" w:type="dxa"/>
            <w:vAlign w:val="bottom"/>
            <w:tcBorders>
              <w:left w:val="single" w:sz="8" w:color="auto"/>
              <w:right w:val="single" w:sz="8" w:color="auto"/>
            </w:tcBorders>
            <w:shd w:val="clear" w:color="auto" w:fill="F0FFFF"/>
          </w:tcPr>
          <w:p>
            <w:pPr>
              <w:spacing w:after="0"/>
              <w:rPr>
                <w:sz w:val="14"/>
                <w:szCs w:val="14"/>
                <w:color w:val="auto"/>
              </w:rPr>
            </w:pPr>
          </w:p>
        </w:tc>
        <w:tc>
          <w:tcPr>
            <w:tcW w:w="2000" w:type="dxa"/>
            <w:vAlign w:val="bottom"/>
            <w:tcBorders>
              <w:right w:val="single" w:sz="8" w:color="auto"/>
            </w:tcBorders>
            <w:shd w:val="clear" w:color="auto" w:fill="F0FFFF"/>
          </w:tcPr>
          <w:p>
            <w:pPr>
              <w:spacing w:after="0"/>
              <w:rPr>
                <w:sz w:val="14"/>
                <w:szCs w:val="14"/>
                <w:color w:val="auto"/>
              </w:rPr>
            </w:pPr>
          </w:p>
        </w:tc>
        <w:tc>
          <w:tcPr>
            <w:tcW w:w="2300" w:type="dxa"/>
            <w:vAlign w:val="bottom"/>
            <w:tcBorders>
              <w:right w:val="single" w:sz="8" w:color="auto"/>
            </w:tcBorders>
            <w:shd w:val="clear" w:color="auto" w:fill="F0FFFF"/>
          </w:tcPr>
          <w:p>
            <w:pPr>
              <w:ind w:left="80"/>
              <w:spacing w:after="0"/>
              <w:rPr>
                <w:sz w:val="20"/>
                <w:szCs w:val="20"/>
                <w:color w:val="auto"/>
              </w:rPr>
            </w:pPr>
            <w:r>
              <w:rPr>
                <w:rFonts w:ascii="Times New Roman" w:cs="Times New Roman" w:eastAsia="Times New Roman" w:hAnsi="Times New Roman"/>
                <w:sz w:val="14"/>
                <w:szCs w:val="14"/>
                <w:color w:val="auto"/>
              </w:rPr>
              <w:t>policy, the Free Look period is</w:t>
            </w:r>
          </w:p>
        </w:tc>
      </w:tr>
      <w:tr>
        <w:trPr>
          <w:trHeight w:val="203"/>
        </w:trPr>
        <w:tc>
          <w:tcPr>
            <w:tcW w:w="2000" w:type="dxa"/>
            <w:vAlign w:val="bottom"/>
            <w:tcBorders>
              <w:left w:val="single" w:sz="8" w:color="auto"/>
              <w:bottom w:val="single" w:sz="8" w:color="F0FFFF"/>
              <w:right w:val="single" w:sz="8" w:color="auto"/>
            </w:tcBorders>
            <w:shd w:val="clear" w:color="auto" w:fill="F0FFFF"/>
          </w:tcPr>
          <w:p>
            <w:pPr>
              <w:spacing w:after="0"/>
              <w:rPr>
                <w:sz w:val="17"/>
                <w:szCs w:val="17"/>
                <w:color w:val="auto"/>
              </w:rPr>
            </w:pPr>
          </w:p>
        </w:tc>
        <w:tc>
          <w:tcPr>
            <w:tcW w:w="2000" w:type="dxa"/>
            <w:vAlign w:val="bottom"/>
            <w:tcBorders>
              <w:bottom w:val="single" w:sz="8" w:color="F0FFFF"/>
              <w:right w:val="single" w:sz="8" w:color="auto"/>
            </w:tcBorders>
            <w:shd w:val="clear" w:color="auto" w:fill="F0FFFF"/>
          </w:tcPr>
          <w:p>
            <w:pPr>
              <w:spacing w:after="0"/>
              <w:rPr>
                <w:sz w:val="17"/>
                <w:szCs w:val="17"/>
                <w:color w:val="auto"/>
              </w:rPr>
            </w:pPr>
          </w:p>
        </w:tc>
        <w:tc>
          <w:tcPr>
            <w:tcW w:w="2300" w:type="dxa"/>
            <w:vAlign w:val="bottom"/>
            <w:tcBorders>
              <w:bottom w:val="single" w:sz="8" w:color="F0FFFF"/>
              <w:right w:val="single" w:sz="8" w:color="auto"/>
            </w:tcBorders>
            <w:shd w:val="clear" w:color="auto" w:fill="F0FFFF"/>
          </w:tcPr>
          <w:p>
            <w:pPr>
              <w:ind w:left="80"/>
              <w:spacing w:after="0"/>
              <w:rPr>
                <w:sz w:val="20"/>
                <w:szCs w:val="20"/>
                <w:color w:val="auto"/>
              </w:rPr>
            </w:pPr>
            <w:r>
              <w:rPr>
                <w:rFonts w:ascii="Times New Roman" w:cs="Times New Roman" w:eastAsia="Times New Roman" w:hAnsi="Times New Roman"/>
                <w:sz w:val="14"/>
                <w:szCs w:val="14"/>
                <w:color w:val="auto"/>
              </w:rPr>
              <w:t>30 days.</w:t>
            </w:r>
          </w:p>
        </w:tc>
      </w:tr>
      <w:tr>
        <w:trPr>
          <w:trHeight w:val="163"/>
        </w:trPr>
        <w:tc>
          <w:tcPr>
            <w:tcW w:w="200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Missouri</w:t>
            </w:r>
          </w:p>
        </w:tc>
        <w:tc>
          <w:tcPr>
            <w:tcW w:w="200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Free Look</w:t>
            </w:r>
          </w:p>
        </w:tc>
        <w:tc>
          <w:tcPr>
            <w:tcW w:w="230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For the replacement of an existing</w:t>
            </w:r>
          </w:p>
        </w:tc>
      </w:tr>
      <w:tr>
        <w:trPr>
          <w:trHeight w:val="165"/>
        </w:trPr>
        <w:tc>
          <w:tcPr>
            <w:tcW w:w="2000" w:type="dxa"/>
            <w:vAlign w:val="bottom"/>
            <w:tcBorders>
              <w:left w:val="single" w:sz="8" w:color="auto"/>
              <w:right w:val="single" w:sz="8" w:color="auto"/>
            </w:tcBorders>
          </w:tcPr>
          <w:p>
            <w:pPr>
              <w:spacing w:after="0"/>
              <w:rPr>
                <w:sz w:val="14"/>
                <w:szCs w:val="14"/>
                <w:color w:val="auto"/>
              </w:rPr>
            </w:pPr>
          </w:p>
        </w:tc>
        <w:tc>
          <w:tcPr>
            <w:tcW w:w="2000" w:type="dxa"/>
            <w:vAlign w:val="bottom"/>
            <w:tcBorders>
              <w:right w:val="single" w:sz="8" w:color="auto"/>
            </w:tcBorders>
          </w:tcPr>
          <w:p>
            <w:pPr>
              <w:spacing w:after="0"/>
              <w:rPr>
                <w:sz w:val="14"/>
                <w:szCs w:val="14"/>
                <w:color w:val="auto"/>
              </w:rPr>
            </w:pPr>
          </w:p>
        </w:tc>
        <w:tc>
          <w:tcPr>
            <w:tcW w:w="23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policy, the Free Look period is</w:t>
            </w:r>
          </w:p>
        </w:tc>
      </w:tr>
      <w:tr>
        <w:trPr>
          <w:trHeight w:val="176"/>
        </w:trPr>
        <w:tc>
          <w:tcPr>
            <w:tcW w:w="2000" w:type="dxa"/>
            <w:vAlign w:val="bottom"/>
            <w:tcBorders>
              <w:left w:val="single" w:sz="8" w:color="auto"/>
              <w:right w:val="single" w:sz="8" w:color="auto"/>
            </w:tcBorders>
          </w:tcPr>
          <w:p>
            <w:pPr>
              <w:spacing w:after="0"/>
              <w:rPr>
                <w:sz w:val="15"/>
                <w:szCs w:val="15"/>
                <w:color w:val="auto"/>
              </w:rPr>
            </w:pPr>
          </w:p>
        </w:tc>
        <w:tc>
          <w:tcPr>
            <w:tcW w:w="2000" w:type="dxa"/>
            <w:vAlign w:val="bottom"/>
            <w:tcBorders>
              <w:right w:val="single" w:sz="8" w:color="auto"/>
            </w:tcBorders>
          </w:tcPr>
          <w:p>
            <w:pPr>
              <w:spacing w:after="0"/>
              <w:rPr>
                <w:sz w:val="15"/>
                <w:szCs w:val="15"/>
                <w:color w:val="auto"/>
              </w:rPr>
            </w:pPr>
          </w:p>
        </w:tc>
        <w:tc>
          <w:tcPr>
            <w:tcW w:w="23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20 days.</w:t>
            </w:r>
          </w:p>
        </w:tc>
      </w:tr>
      <w:tr>
        <w:trPr>
          <w:trHeight w:val="22"/>
        </w:trPr>
        <w:tc>
          <w:tcPr>
            <w:tcW w:w="20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0" w:type="dxa"/>
            <w:vAlign w:val="bottom"/>
            <w:tcBorders>
              <w:bottom w:val="single" w:sz="8" w:color="auto"/>
              <w:right w:val="single" w:sz="8" w:color="auto"/>
            </w:tcBorders>
          </w:tcPr>
          <w:p>
            <w:pPr>
              <w:spacing w:after="0" w:line="20" w:lineRule="exact"/>
              <w:rPr>
                <w:sz w:val="1"/>
                <w:szCs w:val="1"/>
                <w:color w:val="auto"/>
              </w:rPr>
            </w:pPr>
          </w:p>
        </w:tc>
        <w:tc>
          <w:tcPr>
            <w:tcW w:w="2300" w:type="dxa"/>
            <w:vAlign w:val="bottom"/>
            <w:tcBorders>
              <w:bottom w:val="single" w:sz="8" w:color="auto"/>
              <w:right w:val="single" w:sz="8" w:color="auto"/>
            </w:tcBorders>
          </w:tcPr>
          <w:p>
            <w:pPr>
              <w:spacing w:after="0" w:line="20" w:lineRule="exact"/>
              <w:rPr>
                <w:sz w:val="1"/>
                <w:szCs w:val="1"/>
                <w:color w:val="auto"/>
              </w:rPr>
            </w:pPr>
          </w:p>
        </w:tc>
      </w:tr>
      <w:tr>
        <w:trPr>
          <w:trHeight w:val="163"/>
        </w:trPr>
        <w:tc>
          <w:tcPr>
            <w:tcW w:w="2000" w:type="dxa"/>
            <w:vAlign w:val="bottom"/>
            <w:tcBorders>
              <w:left w:val="single" w:sz="8" w:color="auto"/>
              <w:right w:val="single" w:sz="8" w:color="auto"/>
            </w:tcBorders>
            <w:shd w:val="clear" w:color="auto" w:fill="F0FFFF"/>
          </w:tcPr>
          <w:p>
            <w:pPr>
              <w:ind w:left="80"/>
              <w:spacing w:after="0"/>
              <w:rPr>
                <w:sz w:val="20"/>
                <w:szCs w:val="20"/>
                <w:color w:val="auto"/>
              </w:rPr>
            </w:pPr>
            <w:r>
              <w:rPr>
                <w:rFonts w:ascii="Times New Roman" w:cs="Times New Roman" w:eastAsia="Times New Roman" w:hAnsi="Times New Roman"/>
                <w:sz w:val="14"/>
                <w:szCs w:val="14"/>
                <w:color w:val="auto"/>
              </w:rPr>
              <w:t>Montana</w:t>
            </w:r>
          </w:p>
        </w:tc>
        <w:tc>
          <w:tcPr>
            <w:tcW w:w="2000" w:type="dxa"/>
            <w:vAlign w:val="bottom"/>
            <w:tcBorders>
              <w:right w:val="single" w:sz="8" w:color="auto"/>
            </w:tcBorders>
            <w:shd w:val="clear" w:color="auto" w:fill="F0FFFF"/>
          </w:tcPr>
          <w:p>
            <w:pPr>
              <w:ind w:left="60"/>
              <w:spacing w:after="0"/>
              <w:rPr>
                <w:sz w:val="20"/>
                <w:szCs w:val="20"/>
                <w:color w:val="auto"/>
              </w:rPr>
            </w:pPr>
            <w:r>
              <w:rPr>
                <w:rFonts w:ascii="Times New Roman" w:cs="Times New Roman" w:eastAsia="Times New Roman" w:hAnsi="Times New Roman"/>
                <w:sz w:val="14"/>
                <w:szCs w:val="14"/>
                <w:color w:val="auto"/>
              </w:rPr>
              <w:t>Free Look</w:t>
            </w:r>
          </w:p>
        </w:tc>
        <w:tc>
          <w:tcPr>
            <w:tcW w:w="2300" w:type="dxa"/>
            <w:vAlign w:val="bottom"/>
            <w:tcBorders>
              <w:right w:val="single" w:sz="8" w:color="auto"/>
            </w:tcBorders>
            <w:shd w:val="clear" w:color="auto" w:fill="F0FFFF"/>
          </w:tcPr>
          <w:p>
            <w:pPr>
              <w:ind w:left="80"/>
              <w:spacing w:after="0"/>
              <w:rPr>
                <w:sz w:val="20"/>
                <w:szCs w:val="20"/>
                <w:color w:val="auto"/>
              </w:rPr>
            </w:pPr>
            <w:r>
              <w:rPr>
                <w:rFonts w:ascii="Times New Roman" w:cs="Times New Roman" w:eastAsia="Times New Roman" w:hAnsi="Times New Roman"/>
                <w:sz w:val="14"/>
                <w:szCs w:val="14"/>
                <w:color w:val="auto"/>
              </w:rPr>
              <w:t>For the replacement of an existing</w:t>
            </w:r>
          </w:p>
        </w:tc>
      </w:tr>
      <w:tr>
        <w:trPr>
          <w:trHeight w:val="165"/>
        </w:trPr>
        <w:tc>
          <w:tcPr>
            <w:tcW w:w="2000" w:type="dxa"/>
            <w:vAlign w:val="bottom"/>
            <w:tcBorders>
              <w:left w:val="single" w:sz="8" w:color="auto"/>
              <w:right w:val="single" w:sz="8" w:color="auto"/>
            </w:tcBorders>
            <w:shd w:val="clear" w:color="auto" w:fill="F0FFFF"/>
          </w:tcPr>
          <w:p>
            <w:pPr>
              <w:spacing w:after="0"/>
              <w:rPr>
                <w:sz w:val="14"/>
                <w:szCs w:val="14"/>
                <w:color w:val="auto"/>
              </w:rPr>
            </w:pPr>
          </w:p>
        </w:tc>
        <w:tc>
          <w:tcPr>
            <w:tcW w:w="2000" w:type="dxa"/>
            <w:vAlign w:val="bottom"/>
            <w:tcBorders>
              <w:right w:val="single" w:sz="8" w:color="auto"/>
            </w:tcBorders>
            <w:shd w:val="clear" w:color="auto" w:fill="F0FFFF"/>
          </w:tcPr>
          <w:p>
            <w:pPr>
              <w:spacing w:after="0"/>
              <w:rPr>
                <w:sz w:val="14"/>
                <w:szCs w:val="14"/>
                <w:color w:val="auto"/>
              </w:rPr>
            </w:pPr>
          </w:p>
        </w:tc>
        <w:tc>
          <w:tcPr>
            <w:tcW w:w="2300" w:type="dxa"/>
            <w:vAlign w:val="bottom"/>
            <w:tcBorders>
              <w:right w:val="single" w:sz="8" w:color="auto"/>
            </w:tcBorders>
            <w:shd w:val="clear" w:color="auto" w:fill="F0FFFF"/>
          </w:tcPr>
          <w:p>
            <w:pPr>
              <w:ind w:left="80"/>
              <w:spacing w:after="0"/>
              <w:rPr>
                <w:sz w:val="20"/>
                <w:szCs w:val="20"/>
                <w:color w:val="auto"/>
              </w:rPr>
            </w:pPr>
            <w:r>
              <w:rPr>
                <w:rFonts w:ascii="Times New Roman" w:cs="Times New Roman" w:eastAsia="Times New Roman" w:hAnsi="Times New Roman"/>
                <w:sz w:val="14"/>
                <w:szCs w:val="14"/>
                <w:color w:val="auto"/>
              </w:rPr>
              <w:t>policy, the Free Look period is</w:t>
            </w:r>
          </w:p>
        </w:tc>
      </w:tr>
      <w:tr>
        <w:trPr>
          <w:trHeight w:val="203"/>
        </w:trPr>
        <w:tc>
          <w:tcPr>
            <w:tcW w:w="2000" w:type="dxa"/>
            <w:vAlign w:val="bottom"/>
            <w:tcBorders>
              <w:left w:val="single" w:sz="8" w:color="auto"/>
              <w:bottom w:val="single" w:sz="8" w:color="F0FFFF"/>
              <w:right w:val="single" w:sz="8" w:color="auto"/>
            </w:tcBorders>
            <w:shd w:val="clear" w:color="auto" w:fill="F0FFFF"/>
          </w:tcPr>
          <w:p>
            <w:pPr>
              <w:spacing w:after="0"/>
              <w:rPr>
                <w:sz w:val="17"/>
                <w:szCs w:val="17"/>
                <w:color w:val="auto"/>
              </w:rPr>
            </w:pPr>
          </w:p>
        </w:tc>
        <w:tc>
          <w:tcPr>
            <w:tcW w:w="2000" w:type="dxa"/>
            <w:vAlign w:val="bottom"/>
            <w:tcBorders>
              <w:bottom w:val="single" w:sz="8" w:color="F0FFFF"/>
              <w:right w:val="single" w:sz="8" w:color="auto"/>
            </w:tcBorders>
            <w:shd w:val="clear" w:color="auto" w:fill="F0FFFF"/>
          </w:tcPr>
          <w:p>
            <w:pPr>
              <w:spacing w:after="0"/>
              <w:rPr>
                <w:sz w:val="17"/>
                <w:szCs w:val="17"/>
                <w:color w:val="auto"/>
              </w:rPr>
            </w:pPr>
          </w:p>
        </w:tc>
        <w:tc>
          <w:tcPr>
            <w:tcW w:w="2300" w:type="dxa"/>
            <w:vAlign w:val="bottom"/>
            <w:tcBorders>
              <w:bottom w:val="single" w:sz="8" w:color="F0FFFF"/>
              <w:right w:val="single" w:sz="8" w:color="auto"/>
            </w:tcBorders>
            <w:shd w:val="clear" w:color="auto" w:fill="F0FFFF"/>
          </w:tcPr>
          <w:p>
            <w:pPr>
              <w:ind w:left="80"/>
              <w:spacing w:after="0"/>
              <w:rPr>
                <w:sz w:val="20"/>
                <w:szCs w:val="20"/>
                <w:color w:val="auto"/>
              </w:rPr>
            </w:pPr>
            <w:r>
              <w:rPr>
                <w:rFonts w:ascii="Times New Roman" w:cs="Times New Roman" w:eastAsia="Times New Roman" w:hAnsi="Times New Roman"/>
                <w:sz w:val="14"/>
                <w:szCs w:val="14"/>
                <w:color w:val="auto"/>
              </w:rPr>
              <w:t>30 days.</w:t>
            </w:r>
          </w:p>
        </w:tc>
      </w:tr>
      <w:tr>
        <w:trPr>
          <w:trHeight w:val="163"/>
        </w:trPr>
        <w:tc>
          <w:tcPr>
            <w:tcW w:w="200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Nebraska</w:t>
            </w:r>
          </w:p>
        </w:tc>
        <w:tc>
          <w:tcPr>
            <w:tcW w:w="200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Free Look</w:t>
            </w:r>
          </w:p>
        </w:tc>
        <w:tc>
          <w:tcPr>
            <w:tcW w:w="230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For the replacement of an existing</w:t>
            </w:r>
          </w:p>
        </w:tc>
      </w:tr>
      <w:tr>
        <w:trPr>
          <w:trHeight w:val="165"/>
        </w:trPr>
        <w:tc>
          <w:tcPr>
            <w:tcW w:w="2000" w:type="dxa"/>
            <w:vAlign w:val="bottom"/>
            <w:tcBorders>
              <w:left w:val="single" w:sz="8" w:color="auto"/>
              <w:right w:val="single" w:sz="8" w:color="auto"/>
            </w:tcBorders>
          </w:tcPr>
          <w:p>
            <w:pPr>
              <w:spacing w:after="0"/>
              <w:rPr>
                <w:sz w:val="14"/>
                <w:szCs w:val="14"/>
                <w:color w:val="auto"/>
              </w:rPr>
            </w:pPr>
          </w:p>
        </w:tc>
        <w:tc>
          <w:tcPr>
            <w:tcW w:w="2000" w:type="dxa"/>
            <w:vAlign w:val="bottom"/>
            <w:tcBorders>
              <w:right w:val="single" w:sz="8" w:color="auto"/>
            </w:tcBorders>
          </w:tcPr>
          <w:p>
            <w:pPr>
              <w:spacing w:after="0"/>
              <w:rPr>
                <w:sz w:val="14"/>
                <w:szCs w:val="14"/>
                <w:color w:val="auto"/>
              </w:rPr>
            </w:pPr>
          </w:p>
        </w:tc>
        <w:tc>
          <w:tcPr>
            <w:tcW w:w="23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policy, the Free Look period is</w:t>
            </w:r>
          </w:p>
        </w:tc>
      </w:tr>
      <w:tr>
        <w:trPr>
          <w:trHeight w:val="176"/>
        </w:trPr>
        <w:tc>
          <w:tcPr>
            <w:tcW w:w="2000" w:type="dxa"/>
            <w:vAlign w:val="bottom"/>
            <w:tcBorders>
              <w:left w:val="single" w:sz="8" w:color="auto"/>
              <w:right w:val="single" w:sz="8" w:color="auto"/>
            </w:tcBorders>
          </w:tcPr>
          <w:p>
            <w:pPr>
              <w:spacing w:after="0"/>
              <w:rPr>
                <w:sz w:val="15"/>
                <w:szCs w:val="15"/>
                <w:color w:val="auto"/>
              </w:rPr>
            </w:pPr>
          </w:p>
        </w:tc>
        <w:tc>
          <w:tcPr>
            <w:tcW w:w="2000" w:type="dxa"/>
            <w:vAlign w:val="bottom"/>
            <w:tcBorders>
              <w:right w:val="single" w:sz="8" w:color="auto"/>
            </w:tcBorders>
          </w:tcPr>
          <w:p>
            <w:pPr>
              <w:spacing w:after="0"/>
              <w:rPr>
                <w:sz w:val="15"/>
                <w:szCs w:val="15"/>
                <w:color w:val="auto"/>
              </w:rPr>
            </w:pPr>
          </w:p>
        </w:tc>
        <w:tc>
          <w:tcPr>
            <w:tcW w:w="23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30 days.</w:t>
            </w:r>
          </w:p>
        </w:tc>
      </w:tr>
      <w:tr>
        <w:trPr>
          <w:trHeight w:val="22"/>
        </w:trPr>
        <w:tc>
          <w:tcPr>
            <w:tcW w:w="20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0" w:type="dxa"/>
            <w:vAlign w:val="bottom"/>
            <w:tcBorders>
              <w:bottom w:val="single" w:sz="8" w:color="auto"/>
              <w:right w:val="single" w:sz="8" w:color="auto"/>
            </w:tcBorders>
          </w:tcPr>
          <w:p>
            <w:pPr>
              <w:spacing w:after="0" w:line="20" w:lineRule="exact"/>
              <w:rPr>
                <w:sz w:val="1"/>
                <w:szCs w:val="1"/>
                <w:color w:val="auto"/>
              </w:rPr>
            </w:pPr>
          </w:p>
        </w:tc>
        <w:tc>
          <w:tcPr>
            <w:tcW w:w="2300" w:type="dxa"/>
            <w:vAlign w:val="bottom"/>
            <w:tcBorders>
              <w:bottom w:val="single" w:sz="8" w:color="auto"/>
              <w:right w:val="single" w:sz="8" w:color="auto"/>
            </w:tcBorders>
          </w:tcPr>
          <w:p>
            <w:pPr>
              <w:spacing w:after="0" w:line="20" w:lineRule="exact"/>
              <w:rPr>
                <w:sz w:val="1"/>
                <w:szCs w:val="1"/>
                <w:color w:val="auto"/>
              </w:rPr>
            </w:pPr>
          </w:p>
        </w:tc>
      </w:tr>
      <w:tr>
        <w:trPr>
          <w:trHeight w:val="163"/>
        </w:trPr>
        <w:tc>
          <w:tcPr>
            <w:tcW w:w="2000" w:type="dxa"/>
            <w:vAlign w:val="bottom"/>
            <w:tcBorders>
              <w:left w:val="single" w:sz="8" w:color="auto"/>
              <w:right w:val="single" w:sz="8" w:color="auto"/>
            </w:tcBorders>
            <w:shd w:val="clear" w:color="auto" w:fill="F0FFFF"/>
          </w:tcPr>
          <w:p>
            <w:pPr>
              <w:ind w:left="80"/>
              <w:spacing w:after="0"/>
              <w:rPr>
                <w:sz w:val="20"/>
                <w:szCs w:val="20"/>
                <w:color w:val="auto"/>
              </w:rPr>
            </w:pPr>
            <w:r>
              <w:rPr>
                <w:rFonts w:ascii="Times New Roman" w:cs="Times New Roman" w:eastAsia="Times New Roman" w:hAnsi="Times New Roman"/>
                <w:sz w:val="14"/>
                <w:szCs w:val="14"/>
                <w:color w:val="auto"/>
              </w:rPr>
              <w:t>New Hampshire</w:t>
            </w:r>
          </w:p>
        </w:tc>
        <w:tc>
          <w:tcPr>
            <w:tcW w:w="2000" w:type="dxa"/>
            <w:vAlign w:val="bottom"/>
            <w:tcBorders>
              <w:right w:val="single" w:sz="8" w:color="auto"/>
            </w:tcBorders>
            <w:shd w:val="clear" w:color="auto" w:fill="F0FFFF"/>
          </w:tcPr>
          <w:p>
            <w:pPr>
              <w:ind w:left="60"/>
              <w:spacing w:after="0"/>
              <w:rPr>
                <w:sz w:val="20"/>
                <w:szCs w:val="20"/>
                <w:color w:val="auto"/>
              </w:rPr>
            </w:pPr>
            <w:r>
              <w:rPr>
                <w:rFonts w:ascii="Times New Roman" w:cs="Times New Roman" w:eastAsia="Times New Roman" w:hAnsi="Times New Roman"/>
                <w:sz w:val="14"/>
                <w:szCs w:val="14"/>
                <w:color w:val="auto"/>
              </w:rPr>
              <w:t>Free Look</w:t>
            </w:r>
          </w:p>
        </w:tc>
        <w:tc>
          <w:tcPr>
            <w:tcW w:w="2300" w:type="dxa"/>
            <w:vAlign w:val="bottom"/>
            <w:tcBorders>
              <w:right w:val="single" w:sz="8" w:color="auto"/>
            </w:tcBorders>
            <w:shd w:val="clear" w:color="auto" w:fill="F0FFFF"/>
          </w:tcPr>
          <w:p>
            <w:pPr>
              <w:ind w:left="80"/>
              <w:spacing w:after="0"/>
              <w:rPr>
                <w:sz w:val="20"/>
                <w:szCs w:val="20"/>
                <w:color w:val="auto"/>
              </w:rPr>
            </w:pPr>
            <w:r>
              <w:rPr>
                <w:rFonts w:ascii="Times New Roman" w:cs="Times New Roman" w:eastAsia="Times New Roman" w:hAnsi="Times New Roman"/>
                <w:sz w:val="14"/>
                <w:szCs w:val="14"/>
                <w:color w:val="auto"/>
              </w:rPr>
              <w:t>For the replacement of an existing</w:t>
            </w:r>
          </w:p>
        </w:tc>
      </w:tr>
      <w:tr>
        <w:trPr>
          <w:trHeight w:val="165"/>
        </w:trPr>
        <w:tc>
          <w:tcPr>
            <w:tcW w:w="2000" w:type="dxa"/>
            <w:vAlign w:val="bottom"/>
            <w:tcBorders>
              <w:left w:val="single" w:sz="8" w:color="auto"/>
              <w:right w:val="single" w:sz="8" w:color="auto"/>
            </w:tcBorders>
            <w:shd w:val="clear" w:color="auto" w:fill="F0FFFF"/>
          </w:tcPr>
          <w:p>
            <w:pPr>
              <w:spacing w:after="0"/>
              <w:rPr>
                <w:sz w:val="14"/>
                <w:szCs w:val="14"/>
                <w:color w:val="auto"/>
              </w:rPr>
            </w:pPr>
          </w:p>
        </w:tc>
        <w:tc>
          <w:tcPr>
            <w:tcW w:w="2000" w:type="dxa"/>
            <w:vAlign w:val="bottom"/>
            <w:tcBorders>
              <w:right w:val="single" w:sz="8" w:color="auto"/>
            </w:tcBorders>
            <w:shd w:val="clear" w:color="auto" w:fill="F0FFFF"/>
          </w:tcPr>
          <w:p>
            <w:pPr>
              <w:spacing w:after="0"/>
              <w:rPr>
                <w:sz w:val="14"/>
                <w:szCs w:val="14"/>
                <w:color w:val="auto"/>
              </w:rPr>
            </w:pPr>
          </w:p>
        </w:tc>
        <w:tc>
          <w:tcPr>
            <w:tcW w:w="2300" w:type="dxa"/>
            <w:vAlign w:val="bottom"/>
            <w:tcBorders>
              <w:right w:val="single" w:sz="8" w:color="auto"/>
            </w:tcBorders>
            <w:shd w:val="clear" w:color="auto" w:fill="F0FFFF"/>
          </w:tcPr>
          <w:p>
            <w:pPr>
              <w:ind w:left="80"/>
              <w:spacing w:after="0"/>
              <w:rPr>
                <w:sz w:val="20"/>
                <w:szCs w:val="20"/>
                <w:color w:val="auto"/>
              </w:rPr>
            </w:pPr>
            <w:r>
              <w:rPr>
                <w:rFonts w:ascii="Times New Roman" w:cs="Times New Roman" w:eastAsia="Times New Roman" w:hAnsi="Times New Roman"/>
                <w:sz w:val="14"/>
                <w:szCs w:val="14"/>
                <w:color w:val="auto"/>
              </w:rPr>
              <w:t>policy, the Free Look period is</w:t>
            </w:r>
          </w:p>
        </w:tc>
      </w:tr>
      <w:tr>
        <w:trPr>
          <w:trHeight w:val="203"/>
        </w:trPr>
        <w:tc>
          <w:tcPr>
            <w:tcW w:w="2000" w:type="dxa"/>
            <w:vAlign w:val="bottom"/>
            <w:tcBorders>
              <w:left w:val="single" w:sz="8" w:color="auto"/>
              <w:bottom w:val="single" w:sz="8" w:color="F0FFFF"/>
              <w:right w:val="single" w:sz="8" w:color="auto"/>
            </w:tcBorders>
            <w:shd w:val="clear" w:color="auto" w:fill="F0FFFF"/>
          </w:tcPr>
          <w:p>
            <w:pPr>
              <w:spacing w:after="0"/>
              <w:rPr>
                <w:sz w:val="17"/>
                <w:szCs w:val="17"/>
                <w:color w:val="auto"/>
              </w:rPr>
            </w:pPr>
          </w:p>
        </w:tc>
        <w:tc>
          <w:tcPr>
            <w:tcW w:w="2000" w:type="dxa"/>
            <w:vAlign w:val="bottom"/>
            <w:tcBorders>
              <w:bottom w:val="single" w:sz="8" w:color="F0FFFF"/>
              <w:right w:val="single" w:sz="8" w:color="auto"/>
            </w:tcBorders>
            <w:shd w:val="clear" w:color="auto" w:fill="F0FFFF"/>
          </w:tcPr>
          <w:p>
            <w:pPr>
              <w:spacing w:after="0"/>
              <w:rPr>
                <w:sz w:val="17"/>
                <w:szCs w:val="17"/>
                <w:color w:val="auto"/>
              </w:rPr>
            </w:pPr>
          </w:p>
        </w:tc>
        <w:tc>
          <w:tcPr>
            <w:tcW w:w="2300" w:type="dxa"/>
            <w:vAlign w:val="bottom"/>
            <w:tcBorders>
              <w:bottom w:val="single" w:sz="8" w:color="F0FFFF"/>
              <w:right w:val="single" w:sz="8" w:color="auto"/>
            </w:tcBorders>
            <w:shd w:val="clear" w:color="auto" w:fill="F0FFFF"/>
          </w:tcPr>
          <w:p>
            <w:pPr>
              <w:ind w:left="80"/>
              <w:spacing w:after="0"/>
              <w:rPr>
                <w:sz w:val="20"/>
                <w:szCs w:val="20"/>
                <w:color w:val="auto"/>
              </w:rPr>
            </w:pPr>
            <w:r>
              <w:rPr>
                <w:rFonts w:ascii="Times New Roman" w:cs="Times New Roman" w:eastAsia="Times New Roman" w:hAnsi="Times New Roman"/>
                <w:sz w:val="14"/>
                <w:szCs w:val="14"/>
                <w:color w:val="auto"/>
              </w:rPr>
              <w:t>30 days.</w:t>
            </w:r>
          </w:p>
        </w:tc>
      </w:tr>
      <w:tr>
        <w:trPr>
          <w:trHeight w:val="163"/>
        </w:trPr>
        <w:tc>
          <w:tcPr>
            <w:tcW w:w="200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New Mexico</w:t>
            </w:r>
          </w:p>
        </w:tc>
        <w:tc>
          <w:tcPr>
            <w:tcW w:w="200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Free Look</w:t>
            </w:r>
          </w:p>
        </w:tc>
        <w:tc>
          <w:tcPr>
            <w:tcW w:w="230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For the replacement of an existing</w:t>
            </w:r>
          </w:p>
        </w:tc>
      </w:tr>
      <w:tr>
        <w:trPr>
          <w:trHeight w:val="165"/>
        </w:trPr>
        <w:tc>
          <w:tcPr>
            <w:tcW w:w="2000" w:type="dxa"/>
            <w:vAlign w:val="bottom"/>
            <w:tcBorders>
              <w:left w:val="single" w:sz="8" w:color="auto"/>
              <w:right w:val="single" w:sz="8" w:color="auto"/>
            </w:tcBorders>
          </w:tcPr>
          <w:p>
            <w:pPr>
              <w:spacing w:after="0"/>
              <w:rPr>
                <w:sz w:val="14"/>
                <w:szCs w:val="14"/>
                <w:color w:val="auto"/>
              </w:rPr>
            </w:pPr>
          </w:p>
        </w:tc>
        <w:tc>
          <w:tcPr>
            <w:tcW w:w="2000" w:type="dxa"/>
            <w:vAlign w:val="bottom"/>
            <w:tcBorders>
              <w:right w:val="single" w:sz="8" w:color="auto"/>
            </w:tcBorders>
          </w:tcPr>
          <w:p>
            <w:pPr>
              <w:spacing w:after="0"/>
              <w:rPr>
                <w:sz w:val="14"/>
                <w:szCs w:val="14"/>
                <w:color w:val="auto"/>
              </w:rPr>
            </w:pPr>
          </w:p>
        </w:tc>
        <w:tc>
          <w:tcPr>
            <w:tcW w:w="23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policy, the Free Look period is</w:t>
            </w:r>
          </w:p>
        </w:tc>
      </w:tr>
      <w:tr>
        <w:trPr>
          <w:trHeight w:val="176"/>
        </w:trPr>
        <w:tc>
          <w:tcPr>
            <w:tcW w:w="2000" w:type="dxa"/>
            <w:vAlign w:val="bottom"/>
            <w:tcBorders>
              <w:left w:val="single" w:sz="8" w:color="auto"/>
              <w:right w:val="single" w:sz="8" w:color="auto"/>
            </w:tcBorders>
          </w:tcPr>
          <w:p>
            <w:pPr>
              <w:spacing w:after="0"/>
              <w:rPr>
                <w:sz w:val="15"/>
                <w:szCs w:val="15"/>
                <w:color w:val="auto"/>
              </w:rPr>
            </w:pPr>
          </w:p>
        </w:tc>
        <w:tc>
          <w:tcPr>
            <w:tcW w:w="2000" w:type="dxa"/>
            <w:vAlign w:val="bottom"/>
            <w:tcBorders>
              <w:right w:val="single" w:sz="8" w:color="auto"/>
            </w:tcBorders>
          </w:tcPr>
          <w:p>
            <w:pPr>
              <w:spacing w:after="0"/>
              <w:rPr>
                <w:sz w:val="15"/>
                <w:szCs w:val="15"/>
                <w:color w:val="auto"/>
              </w:rPr>
            </w:pPr>
          </w:p>
        </w:tc>
        <w:tc>
          <w:tcPr>
            <w:tcW w:w="23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30 days.</w:t>
            </w:r>
          </w:p>
        </w:tc>
      </w:tr>
      <w:tr>
        <w:trPr>
          <w:trHeight w:val="22"/>
        </w:trPr>
        <w:tc>
          <w:tcPr>
            <w:tcW w:w="20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0" w:type="dxa"/>
            <w:vAlign w:val="bottom"/>
            <w:tcBorders>
              <w:bottom w:val="single" w:sz="8" w:color="auto"/>
              <w:right w:val="single" w:sz="8" w:color="auto"/>
            </w:tcBorders>
          </w:tcPr>
          <w:p>
            <w:pPr>
              <w:spacing w:after="0" w:line="20" w:lineRule="exact"/>
              <w:rPr>
                <w:sz w:val="1"/>
                <w:szCs w:val="1"/>
                <w:color w:val="auto"/>
              </w:rPr>
            </w:pPr>
          </w:p>
        </w:tc>
        <w:tc>
          <w:tcPr>
            <w:tcW w:w="2300" w:type="dxa"/>
            <w:vAlign w:val="bottom"/>
            <w:tcBorders>
              <w:bottom w:val="single" w:sz="8" w:color="auto"/>
              <w:right w:val="single" w:sz="8" w:color="auto"/>
            </w:tcBorders>
          </w:tcPr>
          <w:p>
            <w:pPr>
              <w:spacing w:after="0" w:line="20" w:lineRule="exact"/>
              <w:rPr>
                <w:sz w:val="1"/>
                <w:szCs w:val="1"/>
                <w:color w:val="auto"/>
              </w:rPr>
            </w:pPr>
          </w:p>
        </w:tc>
      </w:tr>
      <w:tr>
        <w:trPr>
          <w:trHeight w:val="163"/>
        </w:trPr>
        <w:tc>
          <w:tcPr>
            <w:tcW w:w="2000" w:type="dxa"/>
            <w:vAlign w:val="bottom"/>
            <w:tcBorders>
              <w:left w:val="single" w:sz="8" w:color="auto"/>
              <w:right w:val="single" w:sz="8" w:color="auto"/>
            </w:tcBorders>
            <w:shd w:val="clear" w:color="auto" w:fill="F0FFFF"/>
          </w:tcPr>
          <w:p>
            <w:pPr>
              <w:ind w:left="80"/>
              <w:spacing w:after="0"/>
              <w:rPr>
                <w:sz w:val="20"/>
                <w:szCs w:val="20"/>
                <w:color w:val="auto"/>
              </w:rPr>
            </w:pPr>
            <w:r>
              <w:rPr>
                <w:rFonts w:ascii="Times New Roman" w:cs="Times New Roman" w:eastAsia="Times New Roman" w:hAnsi="Times New Roman"/>
                <w:sz w:val="14"/>
                <w:szCs w:val="14"/>
                <w:color w:val="auto"/>
              </w:rPr>
              <w:t>North Carolina</w:t>
            </w:r>
          </w:p>
        </w:tc>
        <w:tc>
          <w:tcPr>
            <w:tcW w:w="2000" w:type="dxa"/>
            <w:vAlign w:val="bottom"/>
            <w:tcBorders>
              <w:right w:val="single" w:sz="8" w:color="auto"/>
            </w:tcBorders>
            <w:shd w:val="clear" w:color="auto" w:fill="F0FFFF"/>
          </w:tcPr>
          <w:p>
            <w:pPr>
              <w:ind w:left="60"/>
              <w:spacing w:after="0"/>
              <w:rPr>
                <w:sz w:val="20"/>
                <w:szCs w:val="20"/>
                <w:color w:val="auto"/>
              </w:rPr>
            </w:pPr>
            <w:r>
              <w:rPr>
                <w:rFonts w:ascii="Times New Roman" w:cs="Times New Roman" w:eastAsia="Times New Roman" w:hAnsi="Times New Roman"/>
                <w:sz w:val="14"/>
                <w:szCs w:val="14"/>
                <w:color w:val="auto"/>
              </w:rPr>
              <w:t>Free Look</w:t>
            </w:r>
          </w:p>
        </w:tc>
        <w:tc>
          <w:tcPr>
            <w:tcW w:w="2300" w:type="dxa"/>
            <w:vAlign w:val="bottom"/>
            <w:tcBorders>
              <w:right w:val="single" w:sz="8" w:color="auto"/>
            </w:tcBorders>
            <w:shd w:val="clear" w:color="auto" w:fill="F0FFFF"/>
          </w:tcPr>
          <w:p>
            <w:pPr>
              <w:ind w:left="80"/>
              <w:spacing w:after="0"/>
              <w:rPr>
                <w:sz w:val="20"/>
                <w:szCs w:val="20"/>
                <w:color w:val="auto"/>
              </w:rPr>
            </w:pPr>
            <w:r>
              <w:rPr>
                <w:rFonts w:ascii="Times New Roman" w:cs="Times New Roman" w:eastAsia="Times New Roman" w:hAnsi="Times New Roman"/>
                <w:sz w:val="14"/>
                <w:szCs w:val="14"/>
                <w:color w:val="auto"/>
              </w:rPr>
              <w:t>For the replacement of an existing</w:t>
            </w:r>
          </w:p>
        </w:tc>
      </w:tr>
      <w:tr>
        <w:trPr>
          <w:trHeight w:val="165"/>
        </w:trPr>
        <w:tc>
          <w:tcPr>
            <w:tcW w:w="2000" w:type="dxa"/>
            <w:vAlign w:val="bottom"/>
            <w:tcBorders>
              <w:left w:val="single" w:sz="8" w:color="auto"/>
              <w:right w:val="single" w:sz="8" w:color="auto"/>
            </w:tcBorders>
            <w:shd w:val="clear" w:color="auto" w:fill="F0FFFF"/>
          </w:tcPr>
          <w:p>
            <w:pPr>
              <w:spacing w:after="0"/>
              <w:rPr>
                <w:sz w:val="14"/>
                <w:szCs w:val="14"/>
                <w:color w:val="auto"/>
              </w:rPr>
            </w:pPr>
          </w:p>
        </w:tc>
        <w:tc>
          <w:tcPr>
            <w:tcW w:w="2000" w:type="dxa"/>
            <w:vAlign w:val="bottom"/>
            <w:tcBorders>
              <w:right w:val="single" w:sz="8" w:color="auto"/>
            </w:tcBorders>
            <w:shd w:val="clear" w:color="auto" w:fill="F0FFFF"/>
          </w:tcPr>
          <w:p>
            <w:pPr>
              <w:spacing w:after="0"/>
              <w:rPr>
                <w:sz w:val="14"/>
                <w:szCs w:val="14"/>
                <w:color w:val="auto"/>
              </w:rPr>
            </w:pPr>
          </w:p>
        </w:tc>
        <w:tc>
          <w:tcPr>
            <w:tcW w:w="2300" w:type="dxa"/>
            <w:vAlign w:val="bottom"/>
            <w:tcBorders>
              <w:right w:val="single" w:sz="8" w:color="auto"/>
            </w:tcBorders>
            <w:shd w:val="clear" w:color="auto" w:fill="F0FFFF"/>
          </w:tcPr>
          <w:p>
            <w:pPr>
              <w:ind w:left="80"/>
              <w:spacing w:after="0"/>
              <w:rPr>
                <w:sz w:val="20"/>
                <w:szCs w:val="20"/>
                <w:color w:val="auto"/>
              </w:rPr>
            </w:pPr>
            <w:r>
              <w:rPr>
                <w:rFonts w:ascii="Times New Roman" w:cs="Times New Roman" w:eastAsia="Times New Roman" w:hAnsi="Times New Roman"/>
                <w:sz w:val="14"/>
                <w:szCs w:val="14"/>
                <w:color w:val="auto"/>
              </w:rPr>
              <w:t>policy, the Free Look period is</w:t>
            </w:r>
          </w:p>
        </w:tc>
      </w:tr>
      <w:tr>
        <w:trPr>
          <w:trHeight w:val="203"/>
        </w:trPr>
        <w:tc>
          <w:tcPr>
            <w:tcW w:w="2000" w:type="dxa"/>
            <w:vAlign w:val="bottom"/>
            <w:tcBorders>
              <w:left w:val="single" w:sz="8" w:color="auto"/>
              <w:bottom w:val="single" w:sz="8" w:color="F0FFFF"/>
              <w:right w:val="single" w:sz="8" w:color="auto"/>
            </w:tcBorders>
            <w:shd w:val="clear" w:color="auto" w:fill="F0FFFF"/>
          </w:tcPr>
          <w:p>
            <w:pPr>
              <w:spacing w:after="0"/>
              <w:rPr>
                <w:sz w:val="17"/>
                <w:szCs w:val="17"/>
                <w:color w:val="auto"/>
              </w:rPr>
            </w:pPr>
          </w:p>
        </w:tc>
        <w:tc>
          <w:tcPr>
            <w:tcW w:w="2000" w:type="dxa"/>
            <w:vAlign w:val="bottom"/>
            <w:tcBorders>
              <w:bottom w:val="single" w:sz="8" w:color="F0FFFF"/>
              <w:right w:val="single" w:sz="8" w:color="auto"/>
            </w:tcBorders>
            <w:shd w:val="clear" w:color="auto" w:fill="F0FFFF"/>
          </w:tcPr>
          <w:p>
            <w:pPr>
              <w:spacing w:after="0"/>
              <w:rPr>
                <w:sz w:val="17"/>
                <w:szCs w:val="17"/>
                <w:color w:val="auto"/>
              </w:rPr>
            </w:pPr>
          </w:p>
        </w:tc>
        <w:tc>
          <w:tcPr>
            <w:tcW w:w="2300" w:type="dxa"/>
            <w:vAlign w:val="bottom"/>
            <w:tcBorders>
              <w:bottom w:val="single" w:sz="8" w:color="F0FFFF"/>
              <w:right w:val="single" w:sz="8" w:color="auto"/>
            </w:tcBorders>
            <w:shd w:val="clear" w:color="auto" w:fill="F0FFFF"/>
          </w:tcPr>
          <w:p>
            <w:pPr>
              <w:ind w:left="80"/>
              <w:spacing w:after="0"/>
              <w:rPr>
                <w:sz w:val="20"/>
                <w:szCs w:val="20"/>
                <w:color w:val="auto"/>
              </w:rPr>
            </w:pPr>
            <w:r>
              <w:rPr>
                <w:rFonts w:ascii="Times New Roman" w:cs="Times New Roman" w:eastAsia="Times New Roman" w:hAnsi="Times New Roman"/>
                <w:sz w:val="14"/>
                <w:szCs w:val="14"/>
                <w:color w:val="auto"/>
              </w:rPr>
              <w:t>30 days.</w:t>
            </w:r>
          </w:p>
        </w:tc>
      </w:tr>
      <w:tr>
        <w:trPr>
          <w:trHeight w:val="174"/>
        </w:trPr>
        <w:tc>
          <w:tcPr>
            <w:tcW w:w="200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North Dakota</w:t>
            </w:r>
          </w:p>
        </w:tc>
        <w:tc>
          <w:tcPr>
            <w:tcW w:w="200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Free Look</w:t>
            </w:r>
          </w:p>
        </w:tc>
        <w:tc>
          <w:tcPr>
            <w:tcW w:w="230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The Free Look period is 20 days.</w:t>
            </w:r>
          </w:p>
        </w:tc>
      </w:tr>
      <w:tr>
        <w:trPr>
          <w:trHeight w:val="22"/>
        </w:trPr>
        <w:tc>
          <w:tcPr>
            <w:tcW w:w="20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0" w:type="dxa"/>
            <w:vAlign w:val="bottom"/>
            <w:tcBorders>
              <w:bottom w:val="single" w:sz="8" w:color="auto"/>
              <w:right w:val="single" w:sz="8" w:color="auto"/>
            </w:tcBorders>
          </w:tcPr>
          <w:p>
            <w:pPr>
              <w:spacing w:after="0" w:line="20" w:lineRule="exact"/>
              <w:rPr>
                <w:sz w:val="1"/>
                <w:szCs w:val="1"/>
                <w:color w:val="auto"/>
              </w:rPr>
            </w:pPr>
          </w:p>
        </w:tc>
        <w:tc>
          <w:tcPr>
            <w:tcW w:w="2300" w:type="dxa"/>
            <w:vAlign w:val="bottom"/>
            <w:tcBorders>
              <w:bottom w:val="single" w:sz="8" w:color="auto"/>
              <w:right w:val="single" w:sz="8" w:color="auto"/>
            </w:tcBorders>
          </w:tcPr>
          <w:p>
            <w:pPr>
              <w:spacing w:after="0" w:line="20" w:lineRule="exact"/>
              <w:rPr>
                <w:sz w:val="1"/>
                <w:szCs w:val="1"/>
                <w:color w:val="auto"/>
              </w:rPr>
            </w:pPr>
          </w:p>
        </w:tc>
      </w:tr>
      <w:tr>
        <w:trPr>
          <w:trHeight w:val="163"/>
        </w:trPr>
        <w:tc>
          <w:tcPr>
            <w:tcW w:w="2000" w:type="dxa"/>
            <w:vAlign w:val="bottom"/>
            <w:tcBorders>
              <w:left w:val="single" w:sz="8" w:color="auto"/>
              <w:right w:val="single" w:sz="8" w:color="auto"/>
            </w:tcBorders>
            <w:shd w:val="clear" w:color="auto" w:fill="F0FFFF"/>
          </w:tcPr>
          <w:p>
            <w:pPr>
              <w:ind w:left="80"/>
              <w:spacing w:after="0"/>
              <w:rPr>
                <w:sz w:val="20"/>
                <w:szCs w:val="20"/>
                <w:color w:val="auto"/>
              </w:rPr>
            </w:pPr>
            <w:r>
              <w:rPr>
                <w:rFonts w:ascii="Times New Roman" w:cs="Times New Roman" w:eastAsia="Times New Roman" w:hAnsi="Times New Roman"/>
                <w:sz w:val="14"/>
                <w:szCs w:val="14"/>
                <w:color w:val="auto"/>
              </w:rPr>
              <w:t>Ohio</w:t>
            </w:r>
          </w:p>
        </w:tc>
        <w:tc>
          <w:tcPr>
            <w:tcW w:w="2000" w:type="dxa"/>
            <w:vAlign w:val="bottom"/>
            <w:tcBorders>
              <w:right w:val="single" w:sz="8" w:color="auto"/>
            </w:tcBorders>
            <w:shd w:val="clear" w:color="auto" w:fill="F0FFFF"/>
          </w:tcPr>
          <w:p>
            <w:pPr>
              <w:ind w:left="60"/>
              <w:spacing w:after="0"/>
              <w:rPr>
                <w:sz w:val="20"/>
                <w:szCs w:val="20"/>
                <w:color w:val="auto"/>
              </w:rPr>
            </w:pPr>
            <w:r>
              <w:rPr>
                <w:rFonts w:ascii="Times New Roman" w:cs="Times New Roman" w:eastAsia="Times New Roman" w:hAnsi="Times New Roman"/>
                <w:sz w:val="14"/>
                <w:szCs w:val="14"/>
                <w:color w:val="auto"/>
              </w:rPr>
              <w:t>Free Look</w:t>
            </w:r>
          </w:p>
        </w:tc>
        <w:tc>
          <w:tcPr>
            <w:tcW w:w="2300" w:type="dxa"/>
            <w:vAlign w:val="bottom"/>
            <w:tcBorders>
              <w:right w:val="single" w:sz="8" w:color="auto"/>
            </w:tcBorders>
            <w:shd w:val="clear" w:color="auto" w:fill="F0FFFF"/>
          </w:tcPr>
          <w:p>
            <w:pPr>
              <w:ind w:left="80"/>
              <w:spacing w:after="0"/>
              <w:rPr>
                <w:sz w:val="20"/>
                <w:szCs w:val="20"/>
                <w:color w:val="auto"/>
              </w:rPr>
            </w:pPr>
            <w:r>
              <w:rPr>
                <w:rFonts w:ascii="Times New Roman" w:cs="Times New Roman" w:eastAsia="Times New Roman" w:hAnsi="Times New Roman"/>
                <w:sz w:val="14"/>
                <w:szCs w:val="14"/>
                <w:color w:val="auto"/>
              </w:rPr>
              <w:t>For the replacement of an existing</w:t>
            </w:r>
          </w:p>
        </w:tc>
      </w:tr>
      <w:tr>
        <w:trPr>
          <w:trHeight w:val="165"/>
        </w:trPr>
        <w:tc>
          <w:tcPr>
            <w:tcW w:w="2000" w:type="dxa"/>
            <w:vAlign w:val="bottom"/>
            <w:tcBorders>
              <w:left w:val="single" w:sz="8" w:color="auto"/>
              <w:right w:val="single" w:sz="8" w:color="auto"/>
            </w:tcBorders>
            <w:shd w:val="clear" w:color="auto" w:fill="F0FFFF"/>
          </w:tcPr>
          <w:p>
            <w:pPr>
              <w:spacing w:after="0"/>
              <w:rPr>
                <w:sz w:val="14"/>
                <w:szCs w:val="14"/>
                <w:color w:val="auto"/>
              </w:rPr>
            </w:pPr>
          </w:p>
        </w:tc>
        <w:tc>
          <w:tcPr>
            <w:tcW w:w="2000" w:type="dxa"/>
            <w:vAlign w:val="bottom"/>
            <w:tcBorders>
              <w:right w:val="single" w:sz="8" w:color="auto"/>
            </w:tcBorders>
            <w:shd w:val="clear" w:color="auto" w:fill="F0FFFF"/>
          </w:tcPr>
          <w:p>
            <w:pPr>
              <w:spacing w:after="0"/>
              <w:rPr>
                <w:sz w:val="14"/>
                <w:szCs w:val="14"/>
                <w:color w:val="auto"/>
              </w:rPr>
            </w:pPr>
          </w:p>
        </w:tc>
        <w:tc>
          <w:tcPr>
            <w:tcW w:w="2300" w:type="dxa"/>
            <w:vAlign w:val="bottom"/>
            <w:tcBorders>
              <w:right w:val="single" w:sz="8" w:color="auto"/>
            </w:tcBorders>
            <w:shd w:val="clear" w:color="auto" w:fill="F0FFFF"/>
          </w:tcPr>
          <w:p>
            <w:pPr>
              <w:ind w:left="80"/>
              <w:spacing w:after="0"/>
              <w:rPr>
                <w:sz w:val="20"/>
                <w:szCs w:val="20"/>
                <w:color w:val="auto"/>
              </w:rPr>
            </w:pPr>
            <w:r>
              <w:rPr>
                <w:rFonts w:ascii="Times New Roman" w:cs="Times New Roman" w:eastAsia="Times New Roman" w:hAnsi="Times New Roman"/>
                <w:sz w:val="14"/>
                <w:szCs w:val="14"/>
                <w:color w:val="auto"/>
              </w:rPr>
              <w:t>policy, the Free Look period is</w:t>
            </w:r>
          </w:p>
        </w:tc>
      </w:tr>
      <w:tr>
        <w:trPr>
          <w:trHeight w:val="203"/>
        </w:trPr>
        <w:tc>
          <w:tcPr>
            <w:tcW w:w="2000" w:type="dxa"/>
            <w:vAlign w:val="bottom"/>
            <w:tcBorders>
              <w:left w:val="single" w:sz="8" w:color="auto"/>
              <w:bottom w:val="single" w:sz="8" w:color="F0FFFF"/>
              <w:right w:val="single" w:sz="8" w:color="auto"/>
            </w:tcBorders>
            <w:shd w:val="clear" w:color="auto" w:fill="F0FFFF"/>
          </w:tcPr>
          <w:p>
            <w:pPr>
              <w:spacing w:after="0"/>
              <w:rPr>
                <w:sz w:val="17"/>
                <w:szCs w:val="17"/>
                <w:color w:val="auto"/>
              </w:rPr>
            </w:pPr>
          </w:p>
        </w:tc>
        <w:tc>
          <w:tcPr>
            <w:tcW w:w="2000" w:type="dxa"/>
            <w:vAlign w:val="bottom"/>
            <w:tcBorders>
              <w:bottom w:val="single" w:sz="8" w:color="F0FFFF"/>
              <w:right w:val="single" w:sz="8" w:color="auto"/>
            </w:tcBorders>
            <w:shd w:val="clear" w:color="auto" w:fill="F0FFFF"/>
          </w:tcPr>
          <w:p>
            <w:pPr>
              <w:spacing w:after="0"/>
              <w:rPr>
                <w:sz w:val="17"/>
                <w:szCs w:val="17"/>
                <w:color w:val="auto"/>
              </w:rPr>
            </w:pPr>
          </w:p>
        </w:tc>
        <w:tc>
          <w:tcPr>
            <w:tcW w:w="2300" w:type="dxa"/>
            <w:vAlign w:val="bottom"/>
            <w:tcBorders>
              <w:bottom w:val="single" w:sz="8" w:color="F0FFFF"/>
              <w:right w:val="single" w:sz="8" w:color="auto"/>
            </w:tcBorders>
            <w:shd w:val="clear" w:color="auto" w:fill="F0FFFF"/>
          </w:tcPr>
          <w:p>
            <w:pPr>
              <w:ind w:left="80"/>
              <w:spacing w:after="0"/>
              <w:rPr>
                <w:sz w:val="20"/>
                <w:szCs w:val="20"/>
                <w:color w:val="auto"/>
              </w:rPr>
            </w:pPr>
            <w:r>
              <w:rPr>
                <w:rFonts w:ascii="Times New Roman" w:cs="Times New Roman" w:eastAsia="Times New Roman" w:hAnsi="Times New Roman"/>
                <w:sz w:val="14"/>
                <w:szCs w:val="14"/>
                <w:color w:val="auto"/>
              </w:rPr>
              <w:t>30 days.</w:t>
            </w:r>
          </w:p>
        </w:tc>
      </w:tr>
      <w:tr>
        <w:trPr>
          <w:trHeight w:val="163"/>
        </w:trPr>
        <w:tc>
          <w:tcPr>
            <w:tcW w:w="200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Oklahoma</w:t>
            </w:r>
          </w:p>
        </w:tc>
        <w:tc>
          <w:tcPr>
            <w:tcW w:w="200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Free Look</w:t>
            </w:r>
          </w:p>
        </w:tc>
        <w:tc>
          <w:tcPr>
            <w:tcW w:w="230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For the replacement of an existing</w:t>
            </w:r>
          </w:p>
        </w:tc>
      </w:tr>
      <w:tr>
        <w:trPr>
          <w:trHeight w:val="165"/>
        </w:trPr>
        <w:tc>
          <w:tcPr>
            <w:tcW w:w="2000" w:type="dxa"/>
            <w:vAlign w:val="bottom"/>
            <w:tcBorders>
              <w:left w:val="single" w:sz="8" w:color="auto"/>
              <w:right w:val="single" w:sz="8" w:color="auto"/>
            </w:tcBorders>
          </w:tcPr>
          <w:p>
            <w:pPr>
              <w:spacing w:after="0"/>
              <w:rPr>
                <w:sz w:val="14"/>
                <w:szCs w:val="14"/>
                <w:color w:val="auto"/>
              </w:rPr>
            </w:pPr>
          </w:p>
        </w:tc>
        <w:tc>
          <w:tcPr>
            <w:tcW w:w="2000" w:type="dxa"/>
            <w:vAlign w:val="bottom"/>
            <w:tcBorders>
              <w:right w:val="single" w:sz="8" w:color="auto"/>
            </w:tcBorders>
          </w:tcPr>
          <w:p>
            <w:pPr>
              <w:spacing w:after="0"/>
              <w:rPr>
                <w:sz w:val="14"/>
                <w:szCs w:val="14"/>
                <w:color w:val="auto"/>
              </w:rPr>
            </w:pPr>
          </w:p>
        </w:tc>
        <w:tc>
          <w:tcPr>
            <w:tcW w:w="23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policy, the Free Look period is</w:t>
            </w:r>
          </w:p>
        </w:tc>
      </w:tr>
      <w:tr>
        <w:trPr>
          <w:trHeight w:val="176"/>
        </w:trPr>
        <w:tc>
          <w:tcPr>
            <w:tcW w:w="2000" w:type="dxa"/>
            <w:vAlign w:val="bottom"/>
            <w:tcBorders>
              <w:left w:val="single" w:sz="8" w:color="auto"/>
              <w:right w:val="single" w:sz="8" w:color="auto"/>
            </w:tcBorders>
          </w:tcPr>
          <w:p>
            <w:pPr>
              <w:spacing w:after="0"/>
              <w:rPr>
                <w:sz w:val="15"/>
                <w:szCs w:val="15"/>
                <w:color w:val="auto"/>
              </w:rPr>
            </w:pPr>
          </w:p>
        </w:tc>
        <w:tc>
          <w:tcPr>
            <w:tcW w:w="2000" w:type="dxa"/>
            <w:vAlign w:val="bottom"/>
            <w:tcBorders>
              <w:right w:val="single" w:sz="8" w:color="auto"/>
            </w:tcBorders>
          </w:tcPr>
          <w:p>
            <w:pPr>
              <w:spacing w:after="0"/>
              <w:rPr>
                <w:sz w:val="15"/>
                <w:szCs w:val="15"/>
                <w:color w:val="auto"/>
              </w:rPr>
            </w:pPr>
          </w:p>
        </w:tc>
        <w:tc>
          <w:tcPr>
            <w:tcW w:w="23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20 days.</w:t>
            </w:r>
          </w:p>
        </w:tc>
      </w:tr>
      <w:tr>
        <w:trPr>
          <w:trHeight w:val="22"/>
        </w:trPr>
        <w:tc>
          <w:tcPr>
            <w:tcW w:w="20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0" w:type="dxa"/>
            <w:vAlign w:val="bottom"/>
            <w:tcBorders>
              <w:bottom w:val="single" w:sz="8" w:color="auto"/>
              <w:right w:val="single" w:sz="8" w:color="auto"/>
            </w:tcBorders>
          </w:tcPr>
          <w:p>
            <w:pPr>
              <w:spacing w:after="0" w:line="20" w:lineRule="exact"/>
              <w:rPr>
                <w:sz w:val="1"/>
                <w:szCs w:val="1"/>
                <w:color w:val="auto"/>
              </w:rPr>
            </w:pPr>
          </w:p>
        </w:tc>
        <w:tc>
          <w:tcPr>
            <w:tcW w:w="2300" w:type="dxa"/>
            <w:vAlign w:val="bottom"/>
            <w:tcBorders>
              <w:bottom w:val="single" w:sz="8" w:color="auto"/>
              <w:right w:val="single" w:sz="8" w:color="auto"/>
            </w:tcBorders>
          </w:tcPr>
          <w:p>
            <w:pPr>
              <w:spacing w:after="0" w:line="20" w:lineRule="exact"/>
              <w:rPr>
                <w:sz w:val="1"/>
                <w:szCs w:val="1"/>
                <w:color w:val="auto"/>
              </w:rPr>
            </w:pPr>
          </w:p>
        </w:tc>
      </w:tr>
      <w:tr>
        <w:trPr>
          <w:trHeight w:val="163"/>
        </w:trPr>
        <w:tc>
          <w:tcPr>
            <w:tcW w:w="2000" w:type="dxa"/>
            <w:vAlign w:val="bottom"/>
            <w:tcBorders>
              <w:left w:val="single" w:sz="8" w:color="auto"/>
              <w:right w:val="single" w:sz="8" w:color="auto"/>
            </w:tcBorders>
            <w:shd w:val="clear" w:color="auto" w:fill="F0FFFF"/>
          </w:tcPr>
          <w:p>
            <w:pPr>
              <w:ind w:left="80"/>
              <w:spacing w:after="0"/>
              <w:rPr>
                <w:sz w:val="20"/>
                <w:szCs w:val="20"/>
                <w:color w:val="auto"/>
              </w:rPr>
            </w:pPr>
            <w:r>
              <w:rPr>
                <w:rFonts w:ascii="Times New Roman" w:cs="Times New Roman" w:eastAsia="Times New Roman" w:hAnsi="Times New Roman"/>
                <w:sz w:val="14"/>
                <w:szCs w:val="14"/>
                <w:color w:val="auto"/>
              </w:rPr>
              <w:t>Pennsylvania</w:t>
            </w:r>
          </w:p>
        </w:tc>
        <w:tc>
          <w:tcPr>
            <w:tcW w:w="2000" w:type="dxa"/>
            <w:vAlign w:val="bottom"/>
            <w:tcBorders>
              <w:right w:val="single" w:sz="8" w:color="auto"/>
            </w:tcBorders>
            <w:shd w:val="clear" w:color="auto" w:fill="F0FFFF"/>
          </w:tcPr>
          <w:p>
            <w:pPr>
              <w:ind w:left="60"/>
              <w:spacing w:after="0"/>
              <w:rPr>
                <w:sz w:val="20"/>
                <w:szCs w:val="20"/>
                <w:color w:val="auto"/>
              </w:rPr>
            </w:pPr>
            <w:r>
              <w:rPr>
                <w:rFonts w:ascii="Times New Roman" w:cs="Times New Roman" w:eastAsia="Times New Roman" w:hAnsi="Times New Roman"/>
                <w:sz w:val="14"/>
                <w:szCs w:val="14"/>
                <w:color w:val="auto"/>
              </w:rPr>
              <w:t>Free Look</w:t>
            </w:r>
          </w:p>
        </w:tc>
        <w:tc>
          <w:tcPr>
            <w:tcW w:w="2300" w:type="dxa"/>
            <w:vAlign w:val="bottom"/>
            <w:tcBorders>
              <w:right w:val="single" w:sz="8" w:color="auto"/>
            </w:tcBorders>
            <w:shd w:val="clear" w:color="auto" w:fill="F0FFFF"/>
          </w:tcPr>
          <w:p>
            <w:pPr>
              <w:ind w:left="80"/>
              <w:spacing w:after="0"/>
              <w:rPr>
                <w:sz w:val="20"/>
                <w:szCs w:val="20"/>
                <w:color w:val="auto"/>
              </w:rPr>
            </w:pPr>
            <w:r>
              <w:rPr>
                <w:rFonts w:ascii="Times New Roman" w:cs="Times New Roman" w:eastAsia="Times New Roman" w:hAnsi="Times New Roman"/>
                <w:sz w:val="14"/>
                <w:szCs w:val="14"/>
                <w:color w:val="auto"/>
              </w:rPr>
              <w:t>For the replacement of an existing</w:t>
            </w:r>
          </w:p>
        </w:tc>
      </w:tr>
      <w:tr>
        <w:trPr>
          <w:trHeight w:val="165"/>
        </w:trPr>
        <w:tc>
          <w:tcPr>
            <w:tcW w:w="2000" w:type="dxa"/>
            <w:vAlign w:val="bottom"/>
            <w:tcBorders>
              <w:left w:val="single" w:sz="8" w:color="auto"/>
              <w:right w:val="single" w:sz="8" w:color="auto"/>
            </w:tcBorders>
            <w:shd w:val="clear" w:color="auto" w:fill="F0FFFF"/>
          </w:tcPr>
          <w:p>
            <w:pPr>
              <w:spacing w:after="0"/>
              <w:rPr>
                <w:sz w:val="14"/>
                <w:szCs w:val="14"/>
                <w:color w:val="auto"/>
              </w:rPr>
            </w:pPr>
          </w:p>
        </w:tc>
        <w:tc>
          <w:tcPr>
            <w:tcW w:w="2000" w:type="dxa"/>
            <w:vAlign w:val="bottom"/>
            <w:tcBorders>
              <w:right w:val="single" w:sz="8" w:color="auto"/>
            </w:tcBorders>
            <w:shd w:val="clear" w:color="auto" w:fill="F0FFFF"/>
          </w:tcPr>
          <w:p>
            <w:pPr>
              <w:spacing w:after="0"/>
              <w:rPr>
                <w:sz w:val="14"/>
                <w:szCs w:val="14"/>
                <w:color w:val="auto"/>
              </w:rPr>
            </w:pPr>
          </w:p>
        </w:tc>
        <w:tc>
          <w:tcPr>
            <w:tcW w:w="2300" w:type="dxa"/>
            <w:vAlign w:val="bottom"/>
            <w:tcBorders>
              <w:right w:val="single" w:sz="8" w:color="auto"/>
            </w:tcBorders>
            <w:shd w:val="clear" w:color="auto" w:fill="F0FFFF"/>
          </w:tcPr>
          <w:p>
            <w:pPr>
              <w:ind w:left="80"/>
              <w:spacing w:after="0"/>
              <w:rPr>
                <w:sz w:val="20"/>
                <w:szCs w:val="20"/>
                <w:color w:val="auto"/>
              </w:rPr>
            </w:pPr>
            <w:r>
              <w:rPr>
                <w:rFonts w:ascii="Times New Roman" w:cs="Times New Roman" w:eastAsia="Times New Roman" w:hAnsi="Times New Roman"/>
                <w:sz w:val="14"/>
                <w:szCs w:val="14"/>
                <w:color w:val="auto"/>
              </w:rPr>
              <w:t>policy that was not issued to you by</w:t>
            </w:r>
          </w:p>
        </w:tc>
      </w:tr>
      <w:tr>
        <w:trPr>
          <w:trHeight w:val="165"/>
        </w:trPr>
        <w:tc>
          <w:tcPr>
            <w:tcW w:w="2000" w:type="dxa"/>
            <w:vAlign w:val="bottom"/>
            <w:tcBorders>
              <w:left w:val="single" w:sz="8" w:color="auto"/>
              <w:right w:val="single" w:sz="8" w:color="auto"/>
            </w:tcBorders>
            <w:shd w:val="clear" w:color="auto" w:fill="F0FFFF"/>
          </w:tcPr>
          <w:p>
            <w:pPr>
              <w:spacing w:after="0"/>
              <w:rPr>
                <w:sz w:val="14"/>
                <w:szCs w:val="14"/>
                <w:color w:val="auto"/>
              </w:rPr>
            </w:pPr>
          </w:p>
        </w:tc>
        <w:tc>
          <w:tcPr>
            <w:tcW w:w="2000" w:type="dxa"/>
            <w:vAlign w:val="bottom"/>
            <w:tcBorders>
              <w:right w:val="single" w:sz="8" w:color="auto"/>
            </w:tcBorders>
            <w:shd w:val="clear" w:color="auto" w:fill="F0FFFF"/>
          </w:tcPr>
          <w:p>
            <w:pPr>
              <w:spacing w:after="0"/>
              <w:rPr>
                <w:sz w:val="14"/>
                <w:szCs w:val="14"/>
                <w:color w:val="auto"/>
              </w:rPr>
            </w:pPr>
          </w:p>
        </w:tc>
        <w:tc>
          <w:tcPr>
            <w:tcW w:w="2300" w:type="dxa"/>
            <w:vAlign w:val="bottom"/>
            <w:tcBorders>
              <w:right w:val="single" w:sz="8" w:color="auto"/>
            </w:tcBorders>
            <w:shd w:val="clear" w:color="auto" w:fill="F0FFFF"/>
          </w:tcPr>
          <w:p>
            <w:pPr>
              <w:ind w:left="80"/>
              <w:spacing w:after="0"/>
              <w:rPr>
                <w:sz w:val="20"/>
                <w:szCs w:val="20"/>
                <w:color w:val="auto"/>
              </w:rPr>
            </w:pPr>
            <w:r>
              <w:rPr>
                <w:rFonts w:ascii="Times New Roman" w:cs="Times New Roman" w:eastAsia="Times New Roman" w:hAnsi="Times New Roman"/>
                <w:sz w:val="14"/>
                <w:szCs w:val="14"/>
                <w:color w:val="auto"/>
              </w:rPr>
              <w:t>BLIC, your right to cancel period is</w:t>
            </w:r>
          </w:p>
        </w:tc>
      </w:tr>
      <w:tr>
        <w:trPr>
          <w:trHeight w:val="165"/>
        </w:trPr>
        <w:tc>
          <w:tcPr>
            <w:tcW w:w="2000" w:type="dxa"/>
            <w:vAlign w:val="bottom"/>
            <w:tcBorders>
              <w:left w:val="single" w:sz="8" w:color="auto"/>
              <w:right w:val="single" w:sz="8" w:color="auto"/>
            </w:tcBorders>
            <w:shd w:val="clear" w:color="auto" w:fill="F0FFFF"/>
          </w:tcPr>
          <w:p>
            <w:pPr>
              <w:spacing w:after="0"/>
              <w:rPr>
                <w:sz w:val="14"/>
                <w:szCs w:val="14"/>
                <w:color w:val="auto"/>
              </w:rPr>
            </w:pPr>
          </w:p>
        </w:tc>
        <w:tc>
          <w:tcPr>
            <w:tcW w:w="2000" w:type="dxa"/>
            <w:vAlign w:val="bottom"/>
            <w:tcBorders>
              <w:right w:val="single" w:sz="8" w:color="auto"/>
            </w:tcBorders>
            <w:shd w:val="clear" w:color="auto" w:fill="F0FFFF"/>
          </w:tcPr>
          <w:p>
            <w:pPr>
              <w:spacing w:after="0"/>
              <w:rPr>
                <w:sz w:val="14"/>
                <w:szCs w:val="14"/>
                <w:color w:val="auto"/>
              </w:rPr>
            </w:pPr>
          </w:p>
        </w:tc>
        <w:tc>
          <w:tcPr>
            <w:tcW w:w="2300" w:type="dxa"/>
            <w:vAlign w:val="bottom"/>
            <w:tcBorders>
              <w:right w:val="single" w:sz="8" w:color="auto"/>
            </w:tcBorders>
            <w:shd w:val="clear" w:color="auto" w:fill="F0FFFF"/>
          </w:tcPr>
          <w:p>
            <w:pPr>
              <w:ind w:left="80"/>
              <w:spacing w:after="0"/>
              <w:rPr>
                <w:sz w:val="20"/>
                <w:szCs w:val="20"/>
                <w:color w:val="auto"/>
              </w:rPr>
            </w:pPr>
            <w:r>
              <w:rPr>
                <w:rFonts w:ascii="Times New Roman" w:cs="Times New Roman" w:eastAsia="Times New Roman" w:hAnsi="Times New Roman"/>
                <w:sz w:val="14"/>
                <w:szCs w:val="14"/>
                <w:color w:val="auto"/>
              </w:rPr>
              <w:t>20 days. For the replacement of an</w:t>
            </w:r>
          </w:p>
        </w:tc>
      </w:tr>
      <w:tr>
        <w:trPr>
          <w:trHeight w:val="165"/>
        </w:trPr>
        <w:tc>
          <w:tcPr>
            <w:tcW w:w="2000" w:type="dxa"/>
            <w:vAlign w:val="bottom"/>
            <w:tcBorders>
              <w:left w:val="single" w:sz="8" w:color="auto"/>
              <w:right w:val="single" w:sz="8" w:color="auto"/>
            </w:tcBorders>
            <w:shd w:val="clear" w:color="auto" w:fill="F0FFFF"/>
          </w:tcPr>
          <w:p>
            <w:pPr>
              <w:spacing w:after="0"/>
              <w:rPr>
                <w:sz w:val="14"/>
                <w:szCs w:val="14"/>
                <w:color w:val="auto"/>
              </w:rPr>
            </w:pPr>
          </w:p>
        </w:tc>
        <w:tc>
          <w:tcPr>
            <w:tcW w:w="2000" w:type="dxa"/>
            <w:vAlign w:val="bottom"/>
            <w:tcBorders>
              <w:right w:val="single" w:sz="8" w:color="auto"/>
            </w:tcBorders>
            <w:shd w:val="clear" w:color="auto" w:fill="F0FFFF"/>
          </w:tcPr>
          <w:p>
            <w:pPr>
              <w:spacing w:after="0"/>
              <w:rPr>
                <w:sz w:val="14"/>
                <w:szCs w:val="14"/>
                <w:color w:val="auto"/>
              </w:rPr>
            </w:pPr>
          </w:p>
        </w:tc>
        <w:tc>
          <w:tcPr>
            <w:tcW w:w="2300" w:type="dxa"/>
            <w:vAlign w:val="bottom"/>
            <w:tcBorders>
              <w:right w:val="single" w:sz="8" w:color="auto"/>
            </w:tcBorders>
            <w:shd w:val="clear" w:color="auto" w:fill="F0FFFF"/>
          </w:tcPr>
          <w:p>
            <w:pPr>
              <w:ind w:left="80"/>
              <w:spacing w:after="0"/>
              <w:rPr>
                <w:sz w:val="20"/>
                <w:szCs w:val="20"/>
                <w:color w:val="auto"/>
              </w:rPr>
            </w:pPr>
            <w:r>
              <w:rPr>
                <w:rFonts w:ascii="Times New Roman" w:cs="Times New Roman" w:eastAsia="Times New Roman" w:hAnsi="Times New Roman"/>
                <w:sz w:val="14"/>
                <w:szCs w:val="14"/>
                <w:color w:val="auto"/>
              </w:rPr>
              <w:t>existing policy that was issued to you</w:t>
            </w:r>
          </w:p>
        </w:tc>
      </w:tr>
      <w:tr>
        <w:trPr>
          <w:trHeight w:val="165"/>
        </w:trPr>
        <w:tc>
          <w:tcPr>
            <w:tcW w:w="2000" w:type="dxa"/>
            <w:vAlign w:val="bottom"/>
            <w:tcBorders>
              <w:left w:val="single" w:sz="8" w:color="auto"/>
              <w:right w:val="single" w:sz="8" w:color="auto"/>
            </w:tcBorders>
            <w:shd w:val="clear" w:color="auto" w:fill="F0FFFF"/>
          </w:tcPr>
          <w:p>
            <w:pPr>
              <w:spacing w:after="0"/>
              <w:rPr>
                <w:sz w:val="14"/>
                <w:szCs w:val="14"/>
                <w:color w:val="auto"/>
              </w:rPr>
            </w:pPr>
          </w:p>
        </w:tc>
        <w:tc>
          <w:tcPr>
            <w:tcW w:w="2000" w:type="dxa"/>
            <w:vAlign w:val="bottom"/>
            <w:tcBorders>
              <w:right w:val="single" w:sz="8" w:color="auto"/>
            </w:tcBorders>
            <w:shd w:val="clear" w:color="auto" w:fill="F0FFFF"/>
          </w:tcPr>
          <w:p>
            <w:pPr>
              <w:spacing w:after="0"/>
              <w:rPr>
                <w:sz w:val="14"/>
                <w:szCs w:val="14"/>
                <w:color w:val="auto"/>
              </w:rPr>
            </w:pPr>
          </w:p>
        </w:tc>
        <w:tc>
          <w:tcPr>
            <w:tcW w:w="2300" w:type="dxa"/>
            <w:vAlign w:val="bottom"/>
            <w:tcBorders>
              <w:right w:val="single" w:sz="8" w:color="auto"/>
            </w:tcBorders>
            <w:shd w:val="clear" w:color="auto" w:fill="F0FFFF"/>
          </w:tcPr>
          <w:p>
            <w:pPr>
              <w:ind w:left="80"/>
              <w:spacing w:after="0"/>
              <w:rPr>
                <w:sz w:val="20"/>
                <w:szCs w:val="20"/>
                <w:color w:val="auto"/>
              </w:rPr>
            </w:pPr>
            <w:r>
              <w:rPr>
                <w:rFonts w:ascii="Times New Roman" w:cs="Times New Roman" w:eastAsia="Times New Roman" w:hAnsi="Times New Roman"/>
                <w:sz w:val="14"/>
                <w:szCs w:val="14"/>
                <w:color w:val="auto"/>
              </w:rPr>
              <w:t>by BLIC, your right to cancel period is</w:t>
            </w:r>
          </w:p>
        </w:tc>
      </w:tr>
      <w:tr>
        <w:trPr>
          <w:trHeight w:val="203"/>
        </w:trPr>
        <w:tc>
          <w:tcPr>
            <w:tcW w:w="2000" w:type="dxa"/>
            <w:vAlign w:val="bottom"/>
            <w:tcBorders>
              <w:left w:val="single" w:sz="8" w:color="auto"/>
              <w:bottom w:val="single" w:sz="8" w:color="F0FFFF"/>
              <w:right w:val="single" w:sz="8" w:color="auto"/>
            </w:tcBorders>
            <w:shd w:val="clear" w:color="auto" w:fill="F0FFFF"/>
          </w:tcPr>
          <w:p>
            <w:pPr>
              <w:spacing w:after="0"/>
              <w:rPr>
                <w:sz w:val="17"/>
                <w:szCs w:val="17"/>
                <w:color w:val="auto"/>
              </w:rPr>
            </w:pPr>
          </w:p>
        </w:tc>
        <w:tc>
          <w:tcPr>
            <w:tcW w:w="2000" w:type="dxa"/>
            <w:vAlign w:val="bottom"/>
            <w:tcBorders>
              <w:bottom w:val="single" w:sz="8" w:color="F0FFFF"/>
              <w:right w:val="single" w:sz="8" w:color="auto"/>
            </w:tcBorders>
            <w:shd w:val="clear" w:color="auto" w:fill="F0FFFF"/>
          </w:tcPr>
          <w:p>
            <w:pPr>
              <w:spacing w:after="0"/>
              <w:rPr>
                <w:sz w:val="17"/>
                <w:szCs w:val="17"/>
                <w:color w:val="auto"/>
              </w:rPr>
            </w:pPr>
          </w:p>
        </w:tc>
        <w:tc>
          <w:tcPr>
            <w:tcW w:w="2300" w:type="dxa"/>
            <w:vAlign w:val="bottom"/>
            <w:tcBorders>
              <w:bottom w:val="single" w:sz="8" w:color="F0FFFF"/>
              <w:right w:val="single" w:sz="8" w:color="auto"/>
            </w:tcBorders>
            <w:shd w:val="clear" w:color="auto" w:fill="F0FFFF"/>
          </w:tcPr>
          <w:p>
            <w:pPr>
              <w:ind w:left="80"/>
              <w:spacing w:after="0"/>
              <w:rPr>
                <w:sz w:val="20"/>
                <w:szCs w:val="20"/>
                <w:color w:val="auto"/>
              </w:rPr>
            </w:pPr>
            <w:r>
              <w:rPr>
                <w:rFonts w:ascii="Times New Roman" w:cs="Times New Roman" w:eastAsia="Times New Roman" w:hAnsi="Times New Roman"/>
                <w:sz w:val="14"/>
                <w:szCs w:val="14"/>
                <w:color w:val="auto"/>
              </w:rPr>
              <w:t>45 days.</w:t>
            </w:r>
          </w:p>
        </w:tc>
      </w:tr>
      <w:tr>
        <w:trPr>
          <w:trHeight w:val="163"/>
        </w:trPr>
        <w:tc>
          <w:tcPr>
            <w:tcW w:w="200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Rhode Island</w:t>
            </w:r>
          </w:p>
        </w:tc>
        <w:tc>
          <w:tcPr>
            <w:tcW w:w="200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Free Look</w:t>
            </w:r>
          </w:p>
        </w:tc>
        <w:tc>
          <w:tcPr>
            <w:tcW w:w="230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The Free Look period is 20 days. For</w:t>
            </w:r>
          </w:p>
        </w:tc>
      </w:tr>
      <w:tr>
        <w:trPr>
          <w:trHeight w:val="165"/>
        </w:trPr>
        <w:tc>
          <w:tcPr>
            <w:tcW w:w="2000" w:type="dxa"/>
            <w:vAlign w:val="bottom"/>
            <w:tcBorders>
              <w:left w:val="single" w:sz="8" w:color="auto"/>
              <w:right w:val="single" w:sz="8" w:color="auto"/>
            </w:tcBorders>
          </w:tcPr>
          <w:p>
            <w:pPr>
              <w:spacing w:after="0"/>
              <w:rPr>
                <w:sz w:val="14"/>
                <w:szCs w:val="14"/>
                <w:color w:val="auto"/>
              </w:rPr>
            </w:pPr>
          </w:p>
        </w:tc>
        <w:tc>
          <w:tcPr>
            <w:tcW w:w="2000" w:type="dxa"/>
            <w:vAlign w:val="bottom"/>
            <w:tcBorders>
              <w:right w:val="single" w:sz="8" w:color="auto"/>
            </w:tcBorders>
          </w:tcPr>
          <w:p>
            <w:pPr>
              <w:spacing w:after="0"/>
              <w:rPr>
                <w:sz w:val="14"/>
                <w:szCs w:val="14"/>
                <w:color w:val="auto"/>
              </w:rPr>
            </w:pPr>
          </w:p>
        </w:tc>
        <w:tc>
          <w:tcPr>
            <w:tcW w:w="23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the replacement of an existing policy,</w:t>
            </w:r>
          </w:p>
        </w:tc>
      </w:tr>
      <w:tr>
        <w:trPr>
          <w:trHeight w:val="176"/>
        </w:trPr>
        <w:tc>
          <w:tcPr>
            <w:tcW w:w="2000" w:type="dxa"/>
            <w:vAlign w:val="bottom"/>
            <w:tcBorders>
              <w:left w:val="single" w:sz="8" w:color="auto"/>
              <w:right w:val="single" w:sz="8" w:color="auto"/>
            </w:tcBorders>
          </w:tcPr>
          <w:p>
            <w:pPr>
              <w:spacing w:after="0"/>
              <w:rPr>
                <w:sz w:val="15"/>
                <w:szCs w:val="15"/>
                <w:color w:val="auto"/>
              </w:rPr>
            </w:pPr>
          </w:p>
        </w:tc>
        <w:tc>
          <w:tcPr>
            <w:tcW w:w="2000" w:type="dxa"/>
            <w:vAlign w:val="bottom"/>
            <w:tcBorders>
              <w:right w:val="single" w:sz="8" w:color="auto"/>
            </w:tcBorders>
          </w:tcPr>
          <w:p>
            <w:pPr>
              <w:spacing w:after="0"/>
              <w:rPr>
                <w:sz w:val="15"/>
                <w:szCs w:val="15"/>
                <w:color w:val="auto"/>
              </w:rPr>
            </w:pPr>
          </w:p>
        </w:tc>
        <w:tc>
          <w:tcPr>
            <w:tcW w:w="23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the Free Look period is 30 days.</w:t>
            </w:r>
          </w:p>
        </w:tc>
      </w:tr>
      <w:tr>
        <w:trPr>
          <w:trHeight w:val="22"/>
        </w:trPr>
        <w:tc>
          <w:tcPr>
            <w:tcW w:w="20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0" w:type="dxa"/>
            <w:vAlign w:val="bottom"/>
            <w:tcBorders>
              <w:bottom w:val="single" w:sz="8" w:color="auto"/>
              <w:right w:val="single" w:sz="8" w:color="auto"/>
            </w:tcBorders>
          </w:tcPr>
          <w:p>
            <w:pPr>
              <w:spacing w:after="0" w:line="20" w:lineRule="exact"/>
              <w:rPr>
                <w:sz w:val="1"/>
                <w:szCs w:val="1"/>
                <w:color w:val="auto"/>
              </w:rPr>
            </w:pPr>
          </w:p>
        </w:tc>
        <w:tc>
          <w:tcPr>
            <w:tcW w:w="2300" w:type="dxa"/>
            <w:vAlign w:val="bottom"/>
            <w:tcBorders>
              <w:bottom w:val="single" w:sz="8" w:color="auto"/>
              <w:right w:val="single" w:sz="8" w:color="auto"/>
            </w:tcBorders>
          </w:tcPr>
          <w:p>
            <w:pPr>
              <w:spacing w:after="0" w:line="20" w:lineRule="exact"/>
              <w:rPr>
                <w:sz w:val="1"/>
                <w:szCs w:val="1"/>
                <w:color w:val="auto"/>
              </w:rPr>
            </w:pPr>
          </w:p>
        </w:tc>
      </w:tr>
      <w:tr>
        <w:trPr>
          <w:trHeight w:val="163"/>
        </w:trPr>
        <w:tc>
          <w:tcPr>
            <w:tcW w:w="2000" w:type="dxa"/>
            <w:vAlign w:val="bottom"/>
            <w:tcBorders>
              <w:left w:val="single" w:sz="8" w:color="auto"/>
              <w:right w:val="single" w:sz="8" w:color="auto"/>
            </w:tcBorders>
            <w:shd w:val="clear" w:color="auto" w:fill="F0FFFF"/>
          </w:tcPr>
          <w:p>
            <w:pPr>
              <w:ind w:left="80"/>
              <w:spacing w:after="0"/>
              <w:rPr>
                <w:sz w:val="20"/>
                <w:szCs w:val="20"/>
                <w:color w:val="auto"/>
              </w:rPr>
            </w:pPr>
            <w:r>
              <w:rPr>
                <w:rFonts w:ascii="Times New Roman" w:cs="Times New Roman" w:eastAsia="Times New Roman" w:hAnsi="Times New Roman"/>
                <w:sz w:val="14"/>
                <w:szCs w:val="14"/>
                <w:color w:val="auto"/>
              </w:rPr>
              <w:t>South Carolina</w:t>
            </w:r>
          </w:p>
        </w:tc>
        <w:tc>
          <w:tcPr>
            <w:tcW w:w="2000" w:type="dxa"/>
            <w:vAlign w:val="bottom"/>
            <w:tcBorders>
              <w:right w:val="single" w:sz="8" w:color="auto"/>
            </w:tcBorders>
            <w:shd w:val="clear" w:color="auto" w:fill="F0FFFF"/>
          </w:tcPr>
          <w:p>
            <w:pPr>
              <w:ind w:left="60"/>
              <w:spacing w:after="0"/>
              <w:rPr>
                <w:sz w:val="20"/>
                <w:szCs w:val="20"/>
                <w:color w:val="auto"/>
              </w:rPr>
            </w:pPr>
            <w:r>
              <w:rPr>
                <w:rFonts w:ascii="Times New Roman" w:cs="Times New Roman" w:eastAsia="Times New Roman" w:hAnsi="Times New Roman"/>
                <w:sz w:val="14"/>
                <w:szCs w:val="14"/>
                <w:color w:val="auto"/>
              </w:rPr>
              <w:t>Free Look</w:t>
            </w:r>
          </w:p>
        </w:tc>
        <w:tc>
          <w:tcPr>
            <w:tcW w:w="2300" w:type="dxa"/>
            <w:vAlign w:val="bottom"/>
            <w:tcBorders>
              <w:right w:val="single" w:sz="8" w:color="auto"/>
            </w:tcBorders>
            <w:shd w:val="clear" w:color="auto" w:fill="F0FFFF"/>
          </w:tcPr>
          <w:p>
            <w:pPr>
              <w:ind w:left="80"/>
              <w:spacing w:after="0"/>
              <w:rPr>
                <w:sz w:val="20"/>
                <w:szCs w:val="20"/>
                <w:color w:val="auto"/>
              </w:rPr>
            </w:pPr>
            <w:r>
              <w:rPr>
                <w:rFonts w:ascii="Times New Roman" w:cs="Times New Roman" w:eastAsia="Times New Roman" w:hAnsi="Times New Roman"/>
                <w:sz w:val="14"/>
                <w:szCs w:val="14"/>
                <w:color w:val="auto"/>
              </w:rPr>
              <w:t>For the replacement of an existing</w:t>
            </w:r>
          </w:p>
        </w:tc>
      </w:tr>
      <w:tr>
        <w:trPr>
          <w:trHeight w:val="165"/>
        </w:trPr>
        <w:tc>
          <w:tcPr>
            <w:tcW w:w="2000" w:type="dxa"/>
            <w:vAlign w:val="bottom"/>
            <w:tcBorders>
              <w:left w:val="single" w:sz="8" w:color="auto"/>
              <w:right w:val="single" w:sz="8" w:color="auto"/>
            </w:tcBorders>
            <w:shd w:val="clear" w:color="auto" w:fill="F0FFFF"/>
          </w:tcPr>
          <w:p>
            <w:pPr>
              <w:spacing w:after="0"/>
              <w:rPr>
                <w:sz w:val="14"/>
                <w:szCs w:val="14"/>
                <w:color w:val="auto"/>
              </w:rPr>
            </w:pPr>
          </w:p>
        </w:tc>
        <w:tc>
          <w:tcPr>
            <w:tcW w:w="2000" w:type="dxa"/>
            <w:vAlign w:val="bottom"/>
            <w:tcBorders>
              <w:right w:val="single" w:sz="8" w:color="auto"/>
            </w:tcBorders>
            <w:shd w:val="clear" w:color="auto" w:fill="F0FFFF"/>
          </w:tcPr>
          <w:p>
            <w:pPr>
              <w:spacing w:after="0"/>
              <w:rPr>
                <w:sz w:val="14"/>
                <w:szCs w:val="14"/>
                <w:color w:val="auto"/>
              </w:rPr>
            </w:pPr>
          </w:p>
        </w:tc>
        <w:tc>
          <w:tcPr>
            <w:tcW w:w="2300" w:type="dxa"/>
            <w:vAlign w:val="bottom"/>
            <w:tcBorders>
              <w:right w:val="single" w:sz="8" w:color="auto"/>
            </w:tcBorders>
            <w:shd w:val="clear" w:color="auto" w:fill="F0FFFF"/>
          </w:tcPr>
          <w:p>
            <w:pPr>
              <w:ind w:left="80"/>
              <w:spacing w:after="0"/>
              <w:rPr>
                <w:sz w:val="20"/>
                <w:szCs w:val="20"/>
                <w:color w:val="auto"/>
              </w:rPr>
            </w:pPr>
            <w:r>
              <w:rPr>
                <w:rFonts w:ascii="Times New Roman" w:cs="Times New Roman" w:eastAsia="Times New Roman" w:hAnsi="Times New Roman"/>
                <w:sz w:val="14"/>
                <w:szCs w:val="14"/>
                <w:color w:val="auto"/>
              </w:rPr>
              <w:t>policy, the Free Look period is</w:t>
            </w:r>
          </w:p>
        </w:tc>
      </w:tr>
      <w:tr>
        <w:trPr>
          <w:trHeight w:val="203"/>
        </w:trPr>
        <w:tc>
          <w:tcPr>
            <w:tcW w:w="2000" w:type="dxa"/>
            <w:vAlign w:val="bottom"/>
            <w:tcBorders>
              <w:left w:val="single" w:sz="8" w:color="auto"/>
              <w:bottom w:val="single" w:sz="8" w:color="F0FFFF"/>
              <w:right w:val="single" w:sz="8" w:color="auto"/>
            </w:tcBorders>
            <w:shd w:val="clear" w:color="auto" w:fill="F0FFFF"/>
          </w:tcPr>
          <w:p>
            <w:pPr>
              <w:spacing w:after="0"/>
              <w:rPr>
                <w:sz w:val="17"/>
                <w:szCs w:val="17"/>
                <w:color w:val="auto"/>
              </w:rPr>
            </w:pPr>
          </w:p>
        </w:tc>
        <w:tc>
          <w:tcPr>
            <w:tcW w:w="2000" w:type="dxa"/>
            <w:vAlign w:val="bottom"/>
            <w:tcBorders>
              <w:bottom w:val="single" w:sz="8" w:color="F0FFFF"/>
              <w:right w:val="single" w:sz="8" w:color="auto"/>
            </w:tcBorders>
            <w:shd w:val="clear" w:color="auto" w:fill="F0FFFF"/>
          </w:tcPr>
          <w:p>
            <w:pPr>
              <w:spacing w:after="0"/>
              <w:rPr>
                <w:sz w:val="17"/>
                <w:szCs w:val="17"/>
                <w:color w:val="auto"/>
              </w:rPr>
            </w:pPr>
          </w:p>
        </w:tc>
        <w:tc>
          <w:tcPr>
            <w:tcW w:w="2300" w:type="dxa"/>
            <w:vAlign w:val="bottom"/>
            <w:tcBorders>
              <w:bottom w:val="single" w:sz="8" w:color="F0FFFF"/>
              <w:right w:val="single" w:sz="8" w:color="auto"/>
            </w:tcBorders>
            <w:shd w:val="clear" w:color="auto" w:fill="F0FFFF"/>
          </w:tcPr>
          <w:p>
            <w:pPr>
              <w:ind w:left="80"/>
              <w:spacing w:after="0"/>
              <w:rPr>
                <w:sz w:val="20"/>
                <w:szCs w:val="20"/>
                <w:color w:val="auto"/>
              </w:rPr>
            </w:pPr>
            <w:r>
              <w:rPr>
                <w:rFonts w:ascii="Times New Roman" w:cs="Times New Roman" w:eastAsia="Times New Roman" w:hAnsi="Times New Roman"/>
                <w:sz w:val="14"/>
                <w:szCs w:val="14"/>
                <w:color w:val="auto"/>
              </w:rPr>
              <w:t>20 days.</w:t>
            </w:r>
          </w:p>
        </w:tc>
      </w:tr>
      <w:tr>
        <w:trPr>
          <w:trHeight w:val="163"/>
        </w:trPr>
        <w:tc>
          <w:tcPr>
            <w:tcW w:w="200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South Dakota</w:t>
            </w:r>
          </w:p>
        </w:tc>
        <w:tc>
          <w:tcPr>
            <w:tcW w:w="200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Free Look</w:t>
            </w:r>
          </w:p>
        </w:tc>
        <w:tc>
          <w:tcPr>
            <w:tcW w:w="230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For the replacement of an existing</w:t>
            </w:r>
          </w:p>
        </w:tc>
      </w:tr>
      <w:tr>
        <w:trPr>
          <w:trHeight w:val="165"/>
        </w:trPr>
        <w:tc>
          <w:tcPr>
            <w:tcW w:w="2000" w:type="dxa"/>
            <w:vAlign w:val="bottom"/>
            <w:tcBorders>
              <w:left w:val="single" w:sz="8" w:color="auto"/>
              <w:right w:val="single" w:sz="8" w:color="auto"/>
            </w:tcBorders>
          </w:tcPr>
          <w:p>
            <w:pPr>
              <w:spacing w:after="0"/>
              <w:rPr>
                <w:sz w:val="14"/>
                <w:szCs w:val="14"/>
                <w:color w:val="auto"/>
              </w:rPr>
            </w:pPr>
          </w:p>
        </w:tc>
        <w:tc>
          <w:tcPr>
            <w:tcW w:w="2000" w:type="dxa"/>
            <w:vAlign w:val="bottom"/>
            <w:tcBorders>
              <w:right w:val="single" w:sz="8" w:color="auto"/>
            </w:tcBorders>
          </w:tcPr>
          <w:p>
            <w:pPr>
              <w:spacing w:after="0"/>
              <w:rPr>
                <w:sz w:val="14"/>
                <w:szCs w:val="14"/>
                <w:color w:val="auto"/>
              </w:rPr>
            </w:pPr>
          </w:p>
        </w:tc>
        <w:tc>
          <w:tcPr>
            <w:tcW w:w="23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policy, the Free Look period is</w:t>
            </w:r>
          </w:p>
        </w:tc>
      </w:tr>
      <w:tr>
        <w:trPr>
          <w:trHeight w:val="176"/>
        </w:trPr>
        <w:tc>
          <w:tcPr>
            <w:tcW w:w="2000" w:type="dxa"/>
            <w:vAlign w:val="bottom"/>
            <w:tcBorders>
              <w:left w:val="single" w:sz="8" w:color="auto"/>
              <w:right w:val="single" w:sz="8" w:color="auto"/>
            </w:tcBorders>
          </w:tcPr>
          <w:p>
            <w:pPr>
              <w:spacing w:after="0"/>
              <w:rPr>
                <w:sz w:val="15"/>
                <w:szCs w:val="15"/>
                <w:color w:val="auto"/>
              </w:rPr>
            </w:pPr>
          </w:p>
        </w:tc>
        <w:tc>
          <w:tcPr>
            <w:tcW w:w="2000" w:type="dxa"/>
            <w:vAlign w:val="bottom"/>
            <w:tcBorders>
              <w:right w:val="single" w:sz="8" w:color="auto"/>
            </w:tcBorders>
          </w:tcPr>
          <w:p>
            <w:pPr>
              <w:spacing w:after="0"/>
              <w:rPr>
                <w:sz w:val="15"/>
                <w:szCs w:val="15"/>
                <w:color w:val="auto"/>
              </w:rPr>
            </w:pPr>
          </w:p>
        </w:tc>
        <w:tc>
          <w:tcPr>
            <w:tcW w:w="23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30 days.</w:t>
            </w:r>
          </w:p>
        </w:tc>
      </w:tr>
      <w:tr>
        <w:trPr>
          <w:trHeight w:val="22"/>
        </w:trPr>
        <w:tc>
          <w:tcPr>
            <w:tcW w:w="20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0" w:type="dxa"/>
            <w:vAlign w:val="bottom"/>
            <w:tcBorders>
              <w:bottom w:val="single" w:sz="8" w:color="auto"/>
              <w:right w:val="single" w:sz="8" w:color="auto"/>
            </w:tcBorders>
          </w:tcPr>
          <w:p>
            <w:pPr>
              <w:spacing w:after="0" w:line="20" w:lineRule="exact"/>
              <w:rPr>
                <w:sz w:val="1"/>
                <w:szCs w:val="1"/>
                <w:color w:val="auto"/>
              </w:rPr>
            </w:pPr>
          </w:p>
        </w:tc>
        <w:tc>
          <w:tcPr>
            <w:tcW w:w="2300" w:type="dxa"/>
            <w:vAlign w:val="bottom"/>
            <w:tcBorders>
              <w:bottom w:val="single" w:sz="8" w:color="auto"/>
              <w:right w:val="single" w:sz="8" w:color="auto"/>
            </w:tcBorders>
          </w:tcPr>
          <w:p>
            <w:pPr>
              <w:spacing w:after="0" w:line="20" w:lineRule="exact"/>
              <w:rPr>
                <w:sz w:val="1"/>
                <w:szCs w:val="1"/>
                <w:color w:val="auto"/>
              </w:rPr>
            </w:pPr>
          </w:p>
        </w:tc>
      </w:tr>
      <w:tr>
        <w:trPr>
          <w:trHeight w:val="142"/>
        </w:trPr>
        <w:tc>
          <w:tcPr>
            <w:tcW w:w="2000" w:type="dxa"/>
            <w:vAlign w:val="bottom"/>
            <w:tcBorders>
              <w:left w:val="single" w:sz="8" w:color="auto"/>
              <w:right w:val="single" w:sz="8" w:color="auto"/>
            </w:tcBorders>
            <w:shd w:val="clear" w:color="auto" w:fill="F0FFFF"/>
          </w:tcPr>
          <w:p>
            <w:pPr>
              <w:ind w:left="80"/>
              <w:spacing w:after="0" w:line="142" w:lineRule="exact"/>
              <w:rPr>
                <w:sz w:val="20"/>
                <w:szCs w:val="20"/>
                <w:color w:val="auto"/>
              </w:rPr>
            </w:pPr>
            <w:r>
              <w:rPr>
                <w:rFonts w:ascii="Times New Roman" w:cs="Times New Roman" w:eastAsia="Times New Roman" w:hAnsi="Times New Roman"/>
                <w:sz w:val="14"/>
                <w:szCs w:val="14"/>
                <w:color w:val="auto"/>
              </w:rPr>
              <w:t>Tennessee</w:t>
            </w:r>
          </w:p>
        </w:tc>
        <w:tc>
          <w:tcPr>
            <w:tcW w:w="2000" w:type="dxa"/>
            <w:vAlign w:val="bottom"/>
            <w:tcBorders>
              <w:right w:val="single" w:sz="8" w:color="auto"/>
            </w:tcBorders>
            <w:shd w:val="clear" w:color="auto" w:fill="F0FFFF"/>
          </w:tcPr>
          <w:p>
            <w:pPr>
              <w:ind w:left="60"/>
              <w:spacing w:after="0" w:line="142" w:lineRule="exact"/>
              <w:rPr>
                <w:sz w:val="20"/>
                <w:szCs w:val="20"/>
                <w:color w:val="auto"/>
              </w:rPr>
            </w:pPr>
            <w:r>
              <w:rPr>
                <w:rFonts w:ascii="Times New Roman" w:cs="Times New Roman" w:eastAsia="Times New Roman" w:hAnsi="Times New Roman"/>
                <w:sz w:val="14"/>
                <w:szCs w:val="14"/>
                <w:color w:val="auto"/>
              </w:rPr>
              <w:t>Free Look</w:t>
            </w:r>
          </w:p>
        </w:tc>
        <w:tc>
          <w:tcPr>
            <w:tcW w:w="2300" w:type="dxa"/>
            <w:vAlign w:val="bottom"/>
            <w:tcBorders>
              <w:right w:val="single" w:sz="8" w:color="auto"/>
            </w:tcBorders>
            <w:shd w:val="clear" w:color="auto" w:fill="F0FFFF"/>
          </w:tcPr>
          <w:p>
            <w:pPr>
              <w:ind w:left="80"/>
              <w:spacing w:after="0" w:line="142" w:lineRule="exact"/>
              <w:rPr>
                <w:sz w:val="20"/>
                <w:szCs w:val="20"/>
                <w:color w:val="auto"/>
              </w:rPr>
            </w:pPr>
            <w:r>
              <w:rPr>
                <w:rFonts w:ascii="Times New Roman" w:cs="Times New Roman" w:eastAsia="Times New Roman" w:hAnsi="Times New Roman"/>
                <w:sz w:val="14"/>
                <w:szCs w:val="14"/>
                <w:color w:val="auto"/>
              </w:rPr>
              <w:t>For the replacement of an existing</w:t>
            </w:r>
          </w:p>
        </w:tc>
      </w:tr>
      <w:tr>
        <w:trPr>
          <w:trHeight w:val="144"/>
        </w:trPr>
        <w:tc>
          <w:tcPr>
            <w:tcW w:w="2000" w:type="dxa"/>
            <w:vAlign w:val="bottom"/>
            <w:tcBorders>
              <w:left w:val="single" w:sz="8" w:color="auto"/>
              <w:right w:val="single" w:sz="8" w:color="auto"/>
            </w:tcBorders>
            <w:shd w:val="clear" w:color="auto" w:fill="F0FFFF"/>
          </w:tcPr>
          <w:p>
            <w:pPr>
              <w:spacing w:after="0"/>
              <w:rPr>
                <w:sz w:val="12"/>
                <w:szCs w:val="12"/>
                <w:color w:val="auto"/>
              </w:rPr>
            </w:pPr>
          </w:p>
        </w:tc>
        <w:tc>
          <w:tcPr>
            <w:tcW w:w="2000" w:type="dxa"/>
            <w:vAlign w:val="bottom"/>
            <w:tcBorders>
              <w:right w:val="single" w:sz="8" w:color="auto"/>
            </w:tcBorders>
            <w:shd w:val="clear" w:color="auto" w:fill="F0FFFF"/>
          </w:tcPr>
          <w:p>
            <w:pPr>
              <w:spacing w:after="0"/>
              <w:rPr>
                <w:sz w:val="12"/>
                <w:szCs w:val="12"/>
                <w:color w:val="auto"/>
              </w:rPr>
            </w:pPr>
          </w:p>
        </w:tc>
        <w:tc>
          <w:tcPr>
            <w:tcW w:w="2300" w:type="dxa"/>
            <w:vAlign w:val="bottom"/>
            <w:tcBorders>
              <w:right w:val="single" w:sz="8" w:color="auto"/>
            </w:tcBorders>
            <w:shd w:val="clear" w:color="auto" w:fill="F0FFFF"/>
          </w:tcPr>
          <w:p>
            <w:pPr>
              <w:ind w:left="80"/>
              <w:spacing w:after="0" w:line="144" w:lineRule="exact"/>
              <w:rPr>
                <w:sz w:val="20"/>
                <w:szCs w:val="20"/>
                <w:color w:val="auto"/>
              </w:rPr>
            </w:pPr>
            <w:r>
              <w:rPr>
                <w:rFonts w:ascii="Times New Roman" w:cs="Times New Roman" w:eastAsia="Times New Roman" w:hAnsi="Times New Roman"/>
                <w:sz w:val="14"/>
                <w:szCs w:val="14"/>
                <w:color w:val="auto"/>
              </w:rPr>
              <w:t>policy, the Free Look period is</w:t>
            </w:r>
          </w:p>
        </w:tc>
      </w:tr>
      <w:tr>
        <w:trPr>
          <w:trHeight w:val="203"/>
        </w:trPr>
        <w:tc>
          <w:tcPr>
            <w:tcW w:w="2000" w:type="dxa"/>
            <w:vAlign w:val="bottom"/>
            <w:tcBorders>
              <w:left w:val="single" w:sz="8" w:color="auto"/>
              <w:bottom w:val="single" w:sz="8" w:color="F0FFFF"/>
              <w:right w:val="single" w:sz="8" w:color="auto"/>
            </w:tcBorders>
            <w:shd w:val="clear" w:color="auto" w:fill="F0FFFF"/>
          </w:tcPr>
          <w:p>
            <w:pPr>
              <w:spacing w:after="0"/>
              <w:rPr>
                <w:sz w:val="17"/>
                <w:szCs w:val="17"/>
                <w:color w:val="auto"/>
              </w:rPr>
            </w:pPr>
          </w:p>
        </w:tc>
        <w:tc>
          <w:tcPr>
            <w:tcW w:w="2000" w:type="dxa"/>
            <w:vAlign w:val="bottom"/>
            <w:tcBorders>
              <w:bottom w:val="single" w:sz="8" w:color="F0FFFF"/>
              <w:right w:val="single" w:sz="8" w:color="auto"/>
            </w:tcBorders>
            <w:shd w:val="clear" w:color="auto" w:fill="F0FFFF"/>
          </w:tcPr>
          <w:p>
            <w:pPr>
              <w:spacing w:after="0"/>
              <w:rPr>
                <w:sz w:val="17"/>
                <w:szCs w:val="17"/>
                <w:color w:val="auto"/>
              </w:rPr>
            </w:pPr>
          </w:p>
        </w:tc>
        <w:tc>
          <w:tcPr>
            <w:tcW w:w="2300" w:type="dxa"/>
            <w:vAlign w:val="bottom"/>
            <w:tcBorders>
              <w:bottom w:val="single" w:sz="8" w:color="F0FFFF"/>
              <w:right w:val="single" w:sz="8" w:color="auto"/>
            </w:tcBorders>
            <w:shd w:val="clear" w:color="auto" w:fill="F0FFFF"/>
          </w:tcPr>
          <w:p>
            <w:pPr>
              <w:ind w:left="80"/>
              <w:spacing w:after="0"/>
              <w:rPr>
                <w:sz w:val="20"/>
                <w:szCs w:val="20"/>
                <w:color w:val="auto"/>
              </w:rPr>
            </w:pPr>
            <w:r>
              <w:rPr>
                <w:rFonts w:ascii="Times New Roman" w:cs="Times New Roman" w:eastAsia="Times New Roman" w:hAnsi="Times New Roman"/>
                <w:sz w:val="14"/>
                <w:szCs w:val="14"/>
                <w:color w:val="auto"/>
              </w:rPr>
              <w:t>20 days.</w:t>
            </w:r>
          </w:p>
        </w:tc>
      </w:tr>
      <w:tr>
        <w:trPr>
          <w:trHeight w:val="359"/>
        </w:trPr>
        <w:tc>
          <w:tcPr>
            <w:tcW w:w="2000" w:type="dxa"/>
            <w:vAlign w:val="bottom"/>
            <w:tcBorders>
              <w:top w:val="single" w:sz="8" w:color="auto"/>
            </w:tcBorders>
          </w:tcPr>
          <w:p>
            <w:pPr>
              <w:spacing w:after="0"/>
              <w:rPr>
                <w:sz w:val="24"/>
                <w:szCs w:val="24"/>
                <w:color w:val="auto"/>
              </w:rPr>
            </w:pPr>
          </w:p>
        </w:tc>
        <w:tc>
          <w:tcPr>
            <w:tcW w:w="2000" w:type="dxa"/>
            <w:vAlign w:val="bottom"/>
            <w:tcBorders>
              <w:top w:val="single" w:sz="8" w:color="auto"/>
            </w:tcBorders>
          </w:tcPr>
          <w:p>
            <w:pPr>
              <w:ind w:left="1040"/>
              <w:spacing w:after="0"/>
              <w:rPr>
                <w:sz w:val="20"/>
                <w:szCs w:val="20"/>
                <w:color w:val="auto"/>
              </w:rPr>
            </w:pPr>
            <w:r>
              <w:rPr>
                <w:rFonts w:ascii="Times New Roman" w:cs="Times New Roman" w:eastAsia="Times New Roman" w:hAnsi="Times New Roman"/>
                <w:sz w:val="14"/>
                <w:szCs w:val="14"/>
                <w:color w:val="auto"/>
              </w:rPr>
              <w:t>F-2</w:t>
            </w:r>
          </w:p>
        </w:tc>
        <w:tc>
          <w:tcPr>
            <w:tcW w:w="2300" w:type="dxa"/>
            <w:vAlign w:val="bottom"/>
            <w:tcBorders>
              <w:top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179070</wp:posOffset>
            </wp:positionH>
            <wp:positionV relativeFrom="page">
              <wp:posOffset>422275</wp:posOffset>
            </wp:positionV>
            <wp:extent cx="719010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8">
                      <a:extLst>
                        <a:ext uri="{28A0092B-C50C-407E-A947-70E740481C1C}"/>
                      </a:extLst>
                    </a:blip>
                    <a:srcRect/>
                    <a:stretch>
                      <a:fillRect/>
                    </a:stretch>
                  </pic:blipFill>
                  <pic:spPr bwMode="auto">
                    <a:xfrm>
                      <a:off x="0" y="0"/>
                      <a:ext cx="7190105" cy="3873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-6419215</wp:posOffset>
            </wp:positionV>
            <wp:extent cx="3983990" cy="11747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9">
                      <a:extLst>
                        <a:ext uri="{28A0092B-C50C-407E-A947-70E740481C1C}"/>
                      </a:extLst>
                    </a:blip>
                    <a:srcRect/>
                    <a:stretch>
                      <a:fillRect/>
                    </a:stretch>
                  </pic:blipFill>
                  <pic:spPr bwMode="auto">
                    <a:xfrm>
                      <a:off x="0" y="0"/>
                      <a:ext cx="3983990" cy="11747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-5955030</wp:posOffset>
            </wp:positionV>
            <wp:extent cx="3983990" cy="34607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0">
                      <a:extLst>
                        <a:ext uri="{28A0092B-C50C-407E-A947-70E740481C1C}"/>
                      </a:extLst>
                    </a:blip>
                    <a:srcRect/>
                    <a:stretch>
                      <a:fillRect/>
                    </a:stretch>
                  </pic:blipFill>
                  <pic:spPr bwMode="auto">
                    <a:xfrm>
                      <a:off x="0" y="0"/>
                      <a:ext cx="3983990" cy="34607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-5262880</wp:posOffset>
            </wp:positionV>
            <wp:extent cx="3983990" cy="34607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1">
                      <a:extLst>
                        <a:ext uri="{28A0092B-C50C-407E-A947-70E740481C1C}"/>
                      </a:extLst>
                    </a:blip>
                    <a:srcRect/>
                    <a:stretch>
                      <a:fillRect/>
                    </a:stretch>
                  </pic:blipFill>
                  <pic:spPr bwMode="auto">
                    <a:xfrm>
                      <a:off x="0" y="0"/>
                      <a:ext cx="3983990" cy="34607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-4570730</wp:posOffset>
            </wp:positionV>
            <wp:extent cx="3983990" cy="34607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2">
                      <a:extLst>
                        <a:ext uri="{28A0092B-C50C-407E-A947-70E740481C1C}"/>
                      </a:extLst>
                    </a:blip>
                    <a:srcRect/>
                    <a:stretch>
                      <a:fillRect/>
                    </a:stretch>
                  </pic:blipFill>
                  <pic:spPr bwMode="auto">
                    <a:xfrm>
                      <a:off x="0" y="0"/>
                      <a:ext cx="3983990" cy="34607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-3878580</wp:posOffset>
            </wp:positionV>
            <wp:extent cx="3983990" cy="34607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3">
                      <a:extLst>
                        <a:ext uri="{28A0092B-C50C-407E-A947-70E740481C1C}"/>
                      </a:extLst>
                    </a:blip>
                    <a:srcRect/>
                    <a:stretch>
                      <a:fillRect/>
                    </a:stretch>
                  </pic:blipFill>
                  <pic:spPr bwMode="auto">
                    <a:xfrm>
                      <a:off x="0" y="0"/>
                      <a:ext cx="3983990" cy="34607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-3185795</wp:posOffset>
            </wp:positionV>
            <wp:extent cx="3983990" cy="13716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4">
                      <a:extLst>
                        <a:ext uri="{28A0092B-C50C-407E-A947-70E740481C1C}"/>
                      </a:extLst>
                    </a:blip>
                    <a:srcRect/>
                    <a:stretch>
                      <a:fillRect/>
                    </a:stretch>
                  </pic:blipFill>
                  <pic:spPr bwMode="auto">
                    <a:xfrm>
                      <a:off x="0" y="0"/>
                      <a:ext cx="3983990" cy="13716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-2702560</wp:posOffset>
            </wp:positionV>
            <wp:extent cx="3983990" cy="34607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5">
                      <a:extLst>
                        <a:ext uri="{28A0092B-C50C-407E-A947-70E740481C1C}"/>
                      </a:extLst>
                    </a:blip>
                    <a:srcRect/>
                    <a:stretch>
                      <a:fillRect/>
                    </a:stretch>
                  </pic:blipFill>
                  <pic:spPr bwMode="auto">
                    <a:xfrm>
                      <a:off x="0" y="0"/>
                      <a:ext cx="3983990" cy="34607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-1592580</wp:posOffset>
            </wp:positionV>
            <wp:extent cx="3983990" cy="34607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6">
                      <a:extLst>
                        <a:ext uri="{28A0092B-C50C-407E-A947-70E740481C1C}"/>
                      </a:extLst>
                    </a:blip>
                    <a:srcRect/>
                    <a:stretch>
                      <a:fillRect/>
                    </a:stretch>
                  </pic:blipFill>
                  <pic:spPr bwMode="auto">
                    <a:xfrm>
                      <a:off x="0" y="0"/>
                      <a:ext cx="3983990" cy="34607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-899795</wp:posOffset>
            </wp:positionV>
            <wp:extent cx="3983990" cy="34607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7">
                      <a:extLst>
                        <a:ext uri="{28A0092B-C50C-407E-A947-70E740481C1C}"/>
                      </a:extLst>
                    </a:blip>
                    <a:srcRect/>
                    <a:stretch>
                      <a:fillRect/>
                    </a:stretch>
                  </pic:blipFill>
                  <pic:spPr bwMode="auto">
                    <a:xfrm>
                      <a:off x="0" y="0"/>
                      <a:ext cx="3983990" cy="346075"/>
                    </a:xfrm>
                    <a:prstGeom prst="rect">
                      <a:avLst/>
                    </a:prstGeom>
                    <a:noFill/>
                  </pic:spPr>
                </pic:pic>
              </a:graphicData>
            </a:graphic>
          </wp:anchor>
        </w:drawing>
      </w:r>
    </w:p>
    <w:p>
      <w:pPr>
        <w:sectPr>
          <w:pgSz w:w="11900" w:h="16838" w:orient="portrait"/>
          <w:cols w:equalWidth="0" w:num="1">
            <w:col w:w="9219"/>
          </w:cols>
          <w:pgMar w:left="1240" w:top="1071" w:right="1440" w:bottom="1440" w:gutter="0" w:footer="0" w:header="0"/>
        </w:sectPr>
      </w:pPr>
    </w:p>
    <w:bookmarkStart w:id="93" w:name="page94"/>
    <w:bookmarkEnd w:id="93"/>
    <w:tbl>
      <w:tblPr>
        <w:tblLayout w:type="fixed"/>
        <w:tblInd w:w="10" w:type="dxa"/>
        <w:tblCellMar>
          <w:top w:w="0" w:type="dxa"/>
          <w:left w:w="0" w:type="dxa"/>
          <w:bottom w:w="0" w:type="dxa"/>
          <w:right w:w="0" w:type="dxa"/>
        </w:tblCellMar>
      </w:tblPr>
      <w:tr>
        <w:trPr>
          <w:trHeight w:val="180"/>
        </w:trPr>
        <w:tc>
          <w:tcPr>
            <w:tcW w:w="210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1"/>
                <w:szCs w:val="11"/>
                <w:b w:val="1"/>
                <w:bCs w:val="1"/>
                <w:color w:val="auto"/>
              </w:rPr>
              <w:t>State</w:t>
            </w:r>
          </w:p>
        </w:tc>
        <w:tc>
          <w:tcPr>
            <w:tcW w:w="2100" w:type="dxa"/>
            <w:vAlign w:val="bottom"/>
            <w:tcBorders>
              <w:top w:val="single" w:sz="8" w:color="auto"/>
              <w:bottom w:val="single" w:sz="8" w:color="auto"/>
              <w:right w:val="single" w:sz="8" w:color="auto"/>
            </w:tcBorders>
          </w:tcPr>
          <w:p>
            <w:pPr>
              <w:ind w:left="580"/>
              <w:spacing w:after="0"/>
              <w:rPr>
                <w:sz w:val="20"/>
                <w:szCs w:val="20"/>
                <w:color w:val="auto"/>
              </w:rPr>
            </w:pPr>
            <w:r>
              <w:rPr>
                <w:rFonts w:ascii="Times New Roman" w:cs="Times New Roman" w:eastAsia="Times New Roman" w:hAnsi="Times New Roman"/>
                <w:sz w:val="11"/>
                <w:szCs w:val="11"/>
                <w:b w:val="1"/>
                <w:bCs w:val="1"/>
                <w:color w:val="auto"/>
              </w:rPr>
              <w:t>Features or Benefit</w:t>
            </w:r>
          </w:p>
        </w:tc>
        <w:tc>
          <w:tcPr>
            <w:tcW w:w="2100" w:type="dxa"/>
            <w:vAlign w:val="bottom"/>
            <w:tcBorders>
              <w:top w:val="single" w:sz="8" w:color="auto"/>
              <w:bottom w:val="single" w:sz="8" w:color="auto"/>
              <w:right w:val="single" w:sz="8" w:color="auto"/>
            </w:tcBorders>
          </w:tcPr>
          <w:p>
            <w:pPr>
              <w:ind w:left="820"/>
              <w:spacing w:after="0"/>
              <w:rPr>
                <w:sz w:val="20"/>
                <w:szCs w:val="20"/>
                <w:color w:val="auto"/>
              </w:rPr>
            </w:pPr>
            <w:r>
              <w:rPr>
                <w:rFonts w:ascii="Times New Roman" w:cs="Times New Roman" w:eastAsia="Times New Roman" w:hAnsi="Times New Roman"/>
                <w:sz w:val="11"/>
                <w:szCs w:val="11"/>
                <w:b w:val="1"/>
                <w:bCs w:val="1"/>
                <w:color w:val="auto"/>
              </w:rPr>
              <w:t>Variation</w:t>
            </w:r>
          </w:p>
        </w:tc>
      </w:tr>
      <w:tr>
        <w:trPr>
          <w:trHeight w:val="172"/>
        </w:trPr>
        <w:tc>
          <w:tcPr>
            <w:tcW w:w="2100" w:type="dxa"/>
            <w:vAlign w:val="bottom"/>
            <w:tcBorders>
              <w:left w:val="single" w:sz="8" w:color="auto"/>
              <w:right w:val="single" w:sz="8" w:color="auto"/>
            </w:tcBorders>
            <w:shd w:val="clear" w:color="auto" w:fill="F0FFFF"/>
          </w:tcPr>
          <w:p>
            <w:pPr>
              <w:ind w:left="80"/>
              <w:spacing w:after="0"/>
              <w:rPr>
                <w:sz w:val="20"/>
                <w:szCs w:val="20"/>
                <w:color w:val="auto"/>
              </w:rPr>
            </w:pPr>
            <w:r>
              <w:rPr>
                <w:rFonts w:ascii="Times New Roman" w:cs="Times New Roman" w:eastAsia="Times New Roman" w:hAnsi="Times New Roman"/>
                <w:sz w:val="14"/>
                <w:szCs w:val="14"/>
                <w:color w:val="auto"/>
              </w:rPr>
              <w:t>Texas</w:t>
            </w:r>
          </w:p>
        </w:tc>
        <w:tc>
          <w:tcPr>
            <w:tcW w:w="2100" w:type="dxa"/>
            <w:vAlign w:val="bottom"/>
            <w:tcBorders>
              <w:right w:val="single" w:sz="8" w:color="auto"/>
            </w:tcBorders>
            <w:shd w:val="clear" w:color="auto" w:fill="F0FFFF"/>
          </w:tcPr>
          <w:p>
            <w:pPr>
              <w:ind w:left="60"/>
              <w:spacing w:after="0"/>
              <w:rPr>
                <w:sz w:val="20"/>
                <w:szCs w:val="20"/>
                <w:color w:val="auto"/>
              </w:rPr>
            </w:pPr>
            <w:r>
              <w:rPr>
                <w:rFonts w:ascii="Times New Roman" w:cs="Times New Roman" w:eastAsia="Times New Roman" w:hAnsi="Times New Roman"/>
                <w:sz w:val="14"/>
                <w:szCs w:val="14"/>
                <w:color w:val="auto"/>
              </w:rPr>
              <w:t>Free Look</w:t>
            </w:r>
          </w:p>
        </w:tc>
        <w:tc>
          <w:tcPr>
            <w:tcW w:w="2100" w:type="dxa"/>
            <w:vAlign w:val="bottom"/>
            <w:tcBorders>
              <w:right w:val="single" w:sz="8" w:color="auto"/>
            </w:tcBorders>
            <w:shd w:val="clear" w:color="auto" w:fill="F0FFFF"/>
          </w:tcPr>
          <w:p>
            <w:pPr>
              <w:ind w:left="80"/>
              <w:spacing w:after="0"/>
              <w:rPr>
                <w:sz w:val="20"/>
                <w:szCs w:val="20"/>
                <w:color w:val="auto"/>
              </w:rPr>
            </w:pPr>
            <w:r>
              <w:rPr>
                <w:rFonts w:ascii="Times New Roman" w:cs="Times New Roman" w:eastAsia="Times New Roman" w:hAnsi="Times New Roman"/>
                <w:sz w:val="14"/>
                <w:szCs w:val="14"/>
                <w:color w:val="auto"/>
              </w:rPr>
              <w:t>For the replacement of an existing</w:t>
            </w:r>
          </w:p>
        </w:tc>
      </w:tr>
      <w:tr>
        <w:trPr>
          <w:trHeight w:val="165"/>
        </w:trPr>
        <w:tc>
          <w:tcPr>
            <w:tcW w:w="2100" w:type="dxa"/>
            <w:vAlign w:val="bottom"/>
            <w:tcBorders>
              <w:left w:val="single" w:sz="8" w:color="auto"/>
              <w:right w:val="single" w:sz="8" w:color="auto"/>
            </w:tcBorders>
            <w:shd w:val="clear" w:color="auto" w:fill="F0FFFF"/>
          </w:tcPr>
          <w:p>
            <w:pPr>
              <w:spacing w:after="0"/>
              <w:rPr>
                <w:sz w:val="14"/>
                <w:szCs w:val="14"/>
                <w:color w:val="auto"/>
              </w:rPr>
            </w:pPr>
          </w:p>
        </w:tc>
        <w:tc>
          <w:tcPr>
            <w:tcW w:w="2100" w:type="dxa"/>
            <w:vAlign w:val="bottom"/>
            <w:tcBorders>
              <w:right w:val="single" w:sz="8" w:color="auto"/>
            </w:tcBorders>
            <w:shd w:val="clear" w:color="auto" w:fill="F0FFFF"/>
          </w:tcPr>
          <w:p>
            <w:pPr>
              <w:spacing w:after="0"/>
              <w:rPr>
                <w:sz w:val="14"/>
                <w:szCs w:val="14"/>
                <w:color w:val="auto"/>
              </w:rPr>
            </w:pPr>
          </w:p>
        </w:tc>
        <w:tc>
          <w:tcPr>
            <w:tcW w:w="2100" w:type="dxa"/>
            <w:vAlign w:val="bottom"/>
            <w:tcBorders>
              <w:right w:val="single" w:sz="8" w:color="auto"/>
            </w:tcBorders>
            <w:shd w:val="clear" w:color="auto" w:fill="F0FFFF"/>
          </w:tcPr>
          <w:p>
            <w:pPr>
              <w:ind w:left="80"/>
              <w:spacing w:after="0"/>
              <w:rPr>
                <w:sz w:val="20"/>
                <w:szCs w:val="20"/>
                <w:color w:val="auto"/>
              </w:rPr>
            </w:pPr>
            <w:r>
              <w:rPr>
                <w:rFonts w:ascii="Times New Roman" w:cs="Times New Roman" w:eastAsia="Times New Roman" w:hAnsi="Times New Roman"/>
                <w:sz w:val="14"/>
                <w:szCs w:val="14"/>
                <w:color w:val="auto"/>
              </w:rPr>
              <w:t>policy, the Free Look period is</w:t>
            </w:r>
          </w:p>
        </w:tc>
      </w:tr>
      <w:tr>
        <w:trPr>
          <w:trHeight w:val="203"/>
        </w:trPr>
        <w:tc>
          <w:tcPr>
            <w:tcW w:w="2100" w:type="dxa"/>
            <w:vAlign w:val="bottom"/>
            <w:tcBorders>
              <w:left w:val="single" w:sz="8" w:color="auto"/>
              <w:bottom w:val="single" w:sz="8" w:color="F0FFFF"/>
              <w:right w:val="single" w:sz="8" w:color="auto"/>
            </w:tcBorders>
            <w:shd w:val="clear" w:color="auto" w:fill="F0FFFF"/>
          </w:tcPr>
          <w:p>
            <w:pPr>
              <w:spacing w:after="0"/>
              <w:rPr>
                <w:sz w:val="17"/>
                <w:szCs w:val="17"/>
                <w:color w:val="auto"/>
              </w:rPr>
            </w:pPr>
          </w:p>
        </w:tc>
        <w:tc>
          <w:tcPr>
            <w:tcW w:w="2100" w:type="dxa"/>
            <w:vAlign w:val="bottom"/>
            <w:tcBorders>
              <w:bottom w:val="single" w:sz="8" w:color="F0FFFF"/>
              <w:right w:val="single" w:sz="8" w:color="auto"/>
            </w:tcBorders>
            <w:shd w:val="clear" w:color="auto" w:fill="F0FFFF"/>
          </w:tcPr>
          <w:p>
            <w:pPr>
              <w:spacing w:after="0"/>
              <w:rPr>
                <w:sz w:val="17"/>
                <w:szCs w:val="17"/>
                <w:color w:val="auto"/>
              </w:rPr>
            </w:pPr>
          </w:p>
        </w:tc>
        <w:tc>
          <w:tcPr>
            <w:tcW w:w="2100" w:type="dxa"/>
            <w:vAlign w:val="bottom"/>
            <w:tcBorders>
              <w:bottom w:val="single" w:sz="8" w:color="F0FFFF"/>
              <w:right w:val="single" w:sz="8" w:color="auto"/>
            </w:tcBorders>
            <w:shd w:val="clear" w:color="auto" w:fill="F0FFFF"/>
          </w:tcPr>
          <w:p>
            <w:pPr>
              <w:ind w:left="80"/>
              <w:spacing w:after="0"/>
              <w:rPr>
                <w:sz w:val="20"/>
                <w:szCs w:val="20"/>
                <w:color w:val="auto"/>
              </w:rPr>
            </w:pPr>
            <w:r>
              <w:rPr>
                <w:rFonts w:ascii="Times New Roman" w:cs="Times New Roman" w:eastAsia="Times New Roman" w:hAnsi="Times New Roman"/>
                <w:sz w:val="14"/>
                <w:szCs w:val="14"/>
                <w:color w:val="auto"/>
              </w:rPr>
              <w:t>30 days.</w:t>
            </w:r>
          </w:p>
        </w:tc>
      </w:tr>
      <w:tr>
        <w:trPr>
          <w:trHeight w:val="163"/>
        </w:trPr>
        <w:tc>
          <w:tcPr>
            <w:tcW w:w="210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Utah</w:t>
            </w:r>
          </w:p>
        </w:tc>
        <w:tc>
          <w:tcPr>
            <w:tcW w:w="210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Free Look</w:t>
            </w:r>
          </w:p>
        </w:tc>
        <w:tc>
          <w:tcPr>
            <w:tcW w:w="210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For the replacement of an existing</w:t>
            </w:r>
          </w:p>
        </w:tc>
      </w:tr>
      <w:tr>
        <w:trPr>
          <w:trHeight w:val="165"/>
        </w:trPr>
        <w:tc>
          <w:tcPr>
            <w:tcW w:w="2100" w:type="dxa"/>
            <w:vAlign w:val="bottom"/>
            <w:tcBorders>
              <w:left w:val="single" w:sz="8" w:color="auto"/>
              <w:right w:val="single" w:sz="8" w:color="auto"/>
            </w:tcBorders>
          </w:tcPr>
          <w:p>
            <w:pPr>
              <w:spacing w:after="0"/>
              <w:rPr>
                <w:sz w:val="14"/>
                <w:szCs w:val="14"/>
                <w:color w:val="auto"/>
              </w:rPr>
            </w:pPr>
          </w:p>
        </w:tc>
        <w:tc>
          <w:tcPr>
            <w:tcW w:w="2100" w:type="dxa"/>
            <w:vAlign w:val="bottom"/>
            <w:tcBorders>
              <w:right w:val="single" w:sz="8" w:color="auto"/>
            </w:tcBorders>
          </w:tcPr>
          <w:p>
            <w:pPr>
              <w:spacing w:after="0"/>
              <w:rPr>
                <w:sz w:val="14"/>
                <w:szCs w:val="14"/>
                <w:color w:val="auto"/>
              </w:rPr>
            </w:pPr>
          </w:p>
        </w:tc>
        <w:tc>
          <w:tcPr>
            <w:tcW w:w="21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policy, the Free Look period is</w:t>
            </w:r>
          </w:p>
        </w:tc>
      </w:tr>
      <w:tr>
        <w:trPr>
          <w:trHeight w:val="176"/>
        </w:trPr>
        <w:tc>
          <w:tcPr>
            <w:tcW w:w="2100" w:type="dxa"/>
            <w:vAlign w:val="bottom"/>
            <w:tcBorders>
              <w:left w:val="single" w:sz="8" w:color="auto"/>
              <w:right w:val="single" w:sz="8" w:color="auto"/>
            </w:tcBorders>
          </w:tcPr>
          <w:p>
            <w:pPr>
              <w:spacing w:after="0"/>
              <w:rPr>
                <w:sz w:val="15"/>
                <w:szCs w:val="15"/>
                <w:color w:val="auto"/>
              </w:rPr>
            </w:pPr>
          </w:p>
        </w:tc>
        <w:tc>
          <w:tcPr>
            <w:tcW w:w="2100" w:type="dxa"/>
            <w:vAlign w:val="bottom"/>
            <w:tcBorders>
              <w:right w:val="single" w:sz="8" w:color="auto"/>
            </w:tcBorders>
          </w:tcPr>
          <w:p>
            <w:pPr>
              <w:spacing w:after="0"/>
              <w:rPr>
                <w:sz w:val="15"/>
                <w:szCs w:val="15"/>
                <w:color w:val="auto"/>
              </w:rPr>
            </w:pPr>
          </w:p>
        </w:tc>
        <w:tc>
          <w:tcPr>
            <w:tcW w:w="21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30 days.</w:t>
            </w:r>
          </w:p>
        </w:tc>
      </w:tr>
      <w:tr>
        <w:trPr>
          <w:trHeight w:val="22"/>
        </w:trPr>
        <w:tc>
          <w:tcPr>
            <w:tcW w:w="21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100" w:type="dxa"/>
            <w:vAlign w:val="bottom"/>
            <w:tcBorders>
              <w:bottom w:val="single" w:sz="8" w:color="auto"/>
              <w:right w:val="single" w:sz="8" w:color="auto"/>
            </w:tcBorders>
          </w:tcPr>
          <w:p>
            <w:pPr>
              <w:spacing w:after="0" w:line="20" w:lineRule="exact"/>
              <w:rPr>
                <w:sz w:val="1"/>
                <w:szCs w:val="1"/>
                <w:color w:val="auto"/>
              </w:rPr>
            </w:pPr>
          </w:p>
        </w:tc>
        <w:tc>
          <w:tcPr>
            <w:tcW w:w="2100" w:type="dxa"/>
            <w:vAlign w:val="bottom"/>
            <w:tcBorders>
              <w:bottom w:val="single" w:sz="8" w:color="auto"/>
              <w:right w:val="single" w:sz="8" w:color="auto"/>
            </w:tcBorders>
          </w:tcPr>
          <w:p>
            <w:pPr>
              <w:spacing w:after="0" w:line="20" w:lineRule="exact"/>
              <w:rPr>
                <w:sz w:val="1"/>
                <w:szCs w:val="1"/>
                <w:color w:val="auto"/>
              </w:rPr>
            </w:pPr>
          </w:p>
        </w:tc>
      </w:tr>
      <w:tr>
        <w:trPr>
          <w:trHeight w:val="163"/>
        </w:trPr>
        <w:tc>
          <w:tcPr>
            <w:tcW w:w="2100" w:type="dxa"/>
            <w:vAlign w:val="bottom"/>
            <w:tcBorders>
              <w:left w:val="single" w:sz="8" w:color="auto"/>
              <w:right w:val="single" w:sz="8" w:color="auto"/>
            </w:tcBorders>
            <w:shd w:val="clear" w:color="auto" w:fill="F0FFFF"/>
          </w:tcPr>
          <w:p>
            <w:pPr>
              <w:ind w:left="80"/>
              <w:spacing w:after="0"/>
              <w:rPr>
                <w:sz w:val="20"/>
                <w:szCs w:val="20"/>
                <w:color w:val="auto"/>
              </w:rPr>
            </w:pPr>
            <w:r>
              <w:rPr>
                <w:rFonts w:ascii="Times New Roman" w:cs="Times New Roman" w:eastAsia="Times New Roman" w:hAnsi="Times New Roman"/>
                <w:sz w:val="14"/>
                <w:szCs w:val="14"/>
                <w:color w:val="auto"/>
              </w:rPr>
              <w:t>Vermont</w:t>
            </w:r>
          </w:p>
        </w:tc>
        <w:tc>
          <w:tcPr>
            <w:tcW w:w="2100" w:type="dxa"/>
            <w:vAlign w:val="bottom"/>
            <w:tcBorders>
              <w:right w:val="single" w:sz="8" w:color="auto"/>
            </w:tcBorders>
            <w:shd w:val="clear" w:color="auto" w:fill="F0FFFF"/>
          </w:tcPr>
          <w:p>
            <w:pPr>
              <w:ind w:left="60"/>
              <w:spacing w:after="0"/>
              <w:rPr>
                <w:sz w:val="20"/>
                <w:szCs w:val="20"/>
                <w:color w:val="auto"/>
              </w:rPr>
            </w:pPr>
            <w:r>
              <w:rPr>
                <w:rFonts w:ascii="Times New Roman" w:cs="Times New Roman" w:eastAsia="Times New Roman" w:hAnsi="Times New Roman"/>
                <w:sz w:val="14"/>
                <w:szCs w:val="14"/>
                <w:color w:val="auto"/>
              </w:rPr>
              <w:t>Free Look</w:t>
            </w:r>
          </w:p>
        </w:tc>
        <w:tc>
          <w:tcPr>
            <w:tcW w:w="2100" w:type="dxa"/>
            <w:vAlign w:val="bottom"/>
            <w:tcBorders>
              <w:right w:val="single" w:sz="8" w:color="auto"/>
            </w:tcBorders>
            <w:shd w:val="clear" w:color="auto" w:fill="F0FFFF"/>
          </w:tcPr>
          <w:p>
            <w:pPr>
              <w:ind w:left="80"/>
              <w:spacing w:after="0"/>
              <w:rPr>
                <w:sz w:val="20"/>
                <w:szCs w:val="20"/>
                <w:color w:val="auto"/>
              </w:rPr>
            </w:pPr>
            <w:r>
              <w:rPr>
                <w:rFonts w:ascii="Times New Roman" w:cs="Times New Roman" w:eastAsia="Times New Roman" w:hAnsi="Times New Roman"/>
                <w:sz w:val="14"/>
                <w:szCs w:val="14"/>
                <w:color w:val="auto"/>
              </w:rPr>
              <w:t>For the replacement of an existing</w:t>
            </w:r>
          </w:p>
        </w:tc>
      </w:tr>
      <w:tr>
        <w:trPr>
          <w:trHeight w:val="165"/>
        </w:trPr>
        <w:tc>
          <w:tcPr>
            <w:tcW w:w="2100" w:type="dxa"/>
            <w:vAlign w:val="bottom"/>
            <w:tcBorders>
              <w:left w:val="single" w:sz="8" w:color="auto"/>
              <w:right w:val="single" w:sz="8" w:color="auto"/>
            </w:tcBorders>
            <w:shd w:val="clear" w:color="auto" w:fill="F0FFFF"/>
          </w:tcPr>
          <w:p>
            <w:pPr>
              <w:spacing w:after="0"/>
              <w:rPr>
                <w:sz w:val="14"/>
                <w:szCs w:val="14"/>
                <w:color w:val="auto"/>
              </w:rPr>
            </w:pPr>
          </w:p>
        </w:tc>
        <w:tc>
          <w:tcPr>
            <w:tcW w:w="2100" w:type="dxa"/>
            <w:vAlign w:val="bottom"/>
            <w:tcBorders>
              <w:right w:val="single" w:sz="8" w:color="auto"/>
            </w:tcBorders>
            <w:shd w:val="clear" w:color="auto" w:fill="F0FFFF"/>
          </w:tcPr>
          <w:p>
            <w:pPr>
              <w:spacing w:after="0"/>
              <w:rPr>
                <w:sz w:val="14"/>
                <w:szCs w:val="14"/>
                <w:color w:val="auto"/>
              </w:rPr>
            </w:pPr>
          </w:p>
        </w:tc>
        <w:tc>
          <w:tcPr>
            <w:tcW w:w="2100" w:type="dxa"/>
            <w:vAlign w:val="bottom"/>
            <w:tcBorders>
              <w:right w:val="single" w:sz="8" w:color="auto"/>
            </w:tcBorders>
            <w:shd w:val="clear" w:color="auto" w:fill="F0FFFF"/>
          </w:tcPr>
          <w:p>
            <w:pPr>
              <w:ind w:left="80"/>
              <w:spacing w:after="0"/>
              <w:rPr>
                <w:sz w:val="20"/>
                <w:szCs w:val="20"/>
                <w:color w:val="auto"/>
              </w:rPr>
            </w:pPr>
            <w:r>
              <w:rPr>
                <w:rFonts w:ascii="Times New Roman" w:cs="Times New Roman" w:eastAsia="Times New Roman" w:hAnsi="Times New Roman"/>
                <w:sz w:val="14"/>
                <w:szCs w:val="14"/>
                <w:color w:val="auto"/>
              </w:rPr>
              <w:t>policy, the Free Look period is</w:t>
            </w:r>
          </w:p>
        </w:tc>
      </w:tr>
      <w:tr>
        <w:trPr>
          <w:trHeight w:val="203"/>
        </w:trPr>
        <w:tc>
          <w:tcPr>
            <w:tcW w:w="2100" w:type="dxa"/>
            <w:vAlign w:val="bottom"/>
            <w:tcBorders>
              <w:left w:val="single" w:sz="8" w:color="auto"/>
              <w:bottom w:val="single" w:sz="8" w:color="F0FFFF"/>
              <w:right w:val="single" w:sz="8" w:color="auto"/>
            </w:tcBorders>
            <w:shd w:val="clear" w:color="auto" w:fill="F0FFFF"/>
          </w:tcPr>
          <w:p>
            <w:pPr>
              <w:spacing w:after="0"/>
              <w:rPr>
                <w:sz w:val="17"/>
                <w:szCs w:val="17"/>
                <w:color w:val="auto"/>
              </w:rPr>
            </w:pPr>
          </w:p>
        </w:tc>
        <w:tc>
          <w:tcPr>
            <w:tcW w:w="2100" w:type="dxa"/>
            <w:vAlign w:val="bottom"/>
            <w:tcBorders>
              <w:bottom w:val="single" w:sz="8" w:color="F0FFFF"/>
              <w:right w:val="single" w:sz="8" w:color="auto"/>
            </w:tcBorders>
            <w:shd w:val="clear" w:color="auto" w:fill="F0FFFF"/>
          </w:tcPr>
          <w:p>
            <w:pPr>
              <w:spacing w:after="0"/>
              <w:rPr>
                <w:sz w:val="17"/>
                <w:szCs w:val="17"/>
                <w:color w:val="auto"/>
              </w:rPr>
            </w:pPr>
          </w:p>
        </w:tc>
        <w:tc>
          <w:tcPr>
            <w:tcW w:w="2100" w:type="dxa"/>
            <w:vAlign w:val="bottom"/>
            <w:tcBorders>
              <w:bottom w:val="single" w:sz="8" w:color="F0FFFF"/>
              <w:right w:val="single" w:sz="8" w:color="auto"/>
            </w:tcBorders>
            <w:shd w:val="clear" w:color="auto" w:fill="F0FFFF"/>
          </w:tcPr>
          <w:p>
            <w:pPr>
              <w:ind w:left="80"/>
              <w:spacing w:after="0"/>
              <w:rPr>
                <w:sz w:val="20"/>
                <w:szCs w:val="20"/>
                <w:color w:val="auto"/>
              </w:rPr>
            </w:pPr>
            <w:r>
              <w:rPr>
                <w:rFonts w:ascii="Times New Roman" w:cs="Times New Roman" w:eastAsia="Times New Roman" w:hAnsi="Times New Roman"/>
                <w:sz w:val="14"/>
                <w:szCs w:val="14"/>
                <w:color w:val="auto"/>
              </w:rPr>
              <w:t>30 days.</w:t>
            </w:r>
          </w:p>
        </w:tc>
      </w:tr>
      <w:tr>
        <w:trPr>
          <w:trHeight w:val="163"/>
        </w:trPr>
        <w:tc>
          <w:tcPr>
            <w:tcW w:w="210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Virginia</w:t>
            </w:r>
          </w:p>
        </w:tc>
        <w:tc>
          <w:tcPr>
            <w:tcW w:w="210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Free Look</w:t>
            </w:r>
          </w:p>
        </w:tc>
        <w:tc>
          <w:tcPr>
            <w:tcW w:w="210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For the replacement of an existing</w:t>
            </w:r>
          </w:p>
        </w:tc>
      </w:tr>
      <w:tr>
        <w:trPr>
          <w:trHeight w:val="165"/>
        </w:trPr>
        <w:tc>
          <w:tcPr>
            <w:tcW w:w="2100" w:type="dxa"/>
            <w:vAlign w:val="bottom"/>
            <w:tcBorders>
              <w:left w:val="single" w:sz="8" w:color="auto"/>
              <w:right w:val="single" w:sz="8" w:color="auto"/>
            </w:tcBorders>
          </w:tcPr>
          <w:p>
            <w:pPr>
              <w:spacing w:after="0"/>
              <w:rPr>
                <w:sz w:val="14"/>
                <w:szCs w:val="14"/>
                <w:color w:val="auto"/>
              </w:rPr>
            </w:pPr>
          </w:p>
        </w:tc>
        <w:tc>
          <w:tcPr>
            <w:tcW w:w="2100" w:type="dxa"/>
            <w:vAlign w:val="bottom"/>
            <w:tcBorders>
              <w:right w:val="single" w:sz="8" w:color="auto"/>
            </w:tcBorders>
          </w:tcPr>
          <w:p>
            <w:pPr>
              <w:spacing w:after="0"/>
              <w:rPr>
                <w:sz w:val="14"/>
                <w:szCs w:val="14"/>
                <w:color w:val="auto"/>
              </w:rPr>
            </w:pPr>
          </w:p>
        </w:tc>
        <w:tc>
          <w:tcPr>
            <w:tcW w:w="21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policy, the Free Look period is</w:t>
            </w:r>
          </w:p>
        </w:tc>
      </w:tr>
      <w:tr>
        <w:trPr>
          <w:trHeight w:val="176"/>
        </w:trPr>
        <w:tc>
          <w:tcPr>
            <w:tcW w:w="2100" w:type="dxa"/>
            <w:vAlign w:val="bottom"/>
            <w:tcBorders>
              <w:left w:val="single" w:sz="8" w:color="auto"/>
              <w:right w:val="single" w:sz="8" w:color="auto"/>
            </w:tcBorders>
          </w:tcPr>
          <w:p>
            <w:pPr>
              <w:spacing w:after="0"/>
              <w:rPr>
                <w:sz w:val="15"/>
                <w:szCs w:val="15"/>
                <w:color w:val="auto"/>
              </w:rPr>
            </w:pPr>
          </w:p>
        </w:tc>
        <w:tc>
          <w:tcPr>
            <w:tcW w:w="2100" w:type="dxa"/>
            <w:vAlign w:val="bottom"/>
            <w:tcBorders>
              <w:right w:val="single" w:sz="8" w:color="auto"/>
            </w:tcBorders>
          </w:tcPr>
          <w:p>
            <w:pPr>
              <w:spacing w:after="0"/>
              <w:rPr>
                <w:sz w:val="15"/>
                <w:szCs w:val="15"/>
                <w:color w:val="auto"/>
              </w:rPr>
            </w:pPr>
          </w:p>
        </w:tc>
        <w:tc>
          <w:tcPr>
            <w:tcW w:w="21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30 days.</w:t>
            </w:r>
          </w:p>
        </w:tc>
      </w:tr>
      <w:tr>
        <w:trPr>
          <w:trHeight w:val="22"/>
        </w:trPr>
        <w:tc>
          <w:tcPr>
            <w:tcW w:w="21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100" w:type="dxa"/>
            <w:vAlign w:val="bottom"/>
            <w:tcBorders>
              <w:bottom w:val="single" w:sz="8" w:color="auto"/>
              <w:right w:val="single" w:sz="8" w:color="auto"/>
            </w:tcBorders>
          </w:tcPr>
          <w:p>
            <w:pPr>
              <w:spacing w:after="0" w:line="20" w:lineRule="exact"/>
              <w:rPr>
                <w:sz w:val="1"/>
                <w:szCs w:val="1"/>
                <w:color w:val="auto"/>
              </w:rPr>
            </w:pPr>
          </w:p>
        </w:tc>
        <w:tc>
          <w:tcPr>
            <w:tcW w:w="2100" w:type="dxa"/>
            <w:vAlign w:val="bottom"/>
            <w:tcBorders>
              <w:bottom w:val="single" w:sz="8" w:color="auto"/>
              <w:right w:val="single" w:sz="8" w:color="auto"/>
            </w:tcBorders>
          </w:tcPr>
          <w:p>
            <w:pPr>
              <w:spacing w:after="0" w:line="20" w:lineRule="exact"/>
              <w:rPr>
                <w:sz w:val="1"/>
                <w:szCs w:val="1"/>
                <w:color w:val="auto"/>
              </w:rPr>
            </w:pPr>
          </w:p>
        </w:tc>
      </w:tr>
      <w:tr>
        <w:trPr>
          <w:trHeight w:val="163"/>
        </w:trPr>
        <w:tc>
          <w:tcPr>
            <w:tcW w:w="2100" w:type="dxa"/>
            <w:vAlign w:val="bottom"/>
            <w:tcBorders>
              <w:left w:val="single" w:sz="8" w:color="auto"/>
              <w:right w:val="single" w:sz="8" w:color="auto"/>
            </w:tcBorders>
            <w:shd w:val="clear" w:color="auto" w:fill="F0FFFF"/>
          </w:tcPr>
          <w:p>
            <w:pPr>
              <w:ind w:left="80"/>
              <w:spacing w:after="0"/>
              <w:rPr>
                <w:sz w:val="20"/>
                <w:szCs w:val="20"/>
                <w:color w:val="auto"/>
              </w:rPr>
            </w:pPr>
            <w:r>
              <w:rPr>
                <w:rFonts w:ascii="Times New Roman" w:cs="Times New Roman" w:eastAsia="Times New Roman" w:hAnsi="Times New Roman"/>
                <w:sz w:val="14"/>
                <w:szCs w:val="14"/>
                <w:color w:val="auto"/>
              </w:rPr>
              <w:t>Washington</w:t>
            </w:r>
          </w:p>
        </w:tc>
        <w:tc>
          <w:tcPr>
            <w:tcW w:w="2100" w:type="dxa"/>
            <w:vAlign w:val="bottom"/>
            <w:tcBorders>
              <w:right w:val="single" w:sz="8" w:color="auto"/>
            </w:tcBorders>
            <w:shd w:val="clear" w:color="auto" w:fill="F0FFFF"/>
          </w:tcPr>
          <w:p>
            <w:pPr>
              <w:ind w:left="60"/>
              <w:spacing w:after="0"/>
              <w:rPr>
                <w:sz w:val="20"/>
                <w:szCs w:val="20"/>
                <w:color w:val="auto"/>
              </w:rPr>
            </w:pPr>
            <w:r>
              <w:rPr>
                <w:rFonts w:ascii="Times New Roman" w:cs="Times New Roman" w:eastAsia="Times New Roman" w:hAnsi="Times New Roman"/>
                <w:sz w:val="14"/>
                <w:szCs w:val="14"/>
                <w:color w:val="auto"/>
              </w:rPr>
              <w:t>Free Look</w:t>
            </w:r>
          </w:p>
        </w:tc>
        <w:tc>
          <w:tcPr>
            <w:tcW w:w="2100" w:type="dxa"/>
            <w:vAlign w:val="bottom"/>
            <w:tcBorders>
              <w:right w:val="single" w:sz="8" w:color="auto"/>
            </w:tcBorders>
            <w:shd w:val="clear" w:color="auto" w:fill="F0FFFF"/>
          </w:tcPr>
          <w:p>
            <w:pPr>
              <w:ind w:left="80"/>
              <w:spacing w:after="0"/>
              <w:rPr>
                <w:sz w:val="20"/>
                <w:szCs w:val="20"/>
                <w:color w:val="auto"/>
              </w:rPr>
            </w:pPr>
            <w:r>
              <w:rPr>
                <w:rFonts w:ascii="Times New Roman" w:cs="Times New Roman" w:eastAsia="Times New Roman" w:hAnsi="Times New Roman"/>
                <w:sz w:val="14"/>
                <w:szCs w:val="14"/>
                <w:color w:val="auto"/>
              </w:rPr>
              <w:t>For the replacement of an existing</w:t>
            </w:r>
          </w:p>
        </w:tc>
      </w:tr>
      <w:tr>
        <w:trPr>
          <w:trHeight w:val="165"/>
        </w:trPr>
        <w:tc>
          <w:tcPr>
            <w:tcW w:w="2100" w:type="dxa"/>
            <w:vAlign w:val="bottom"/>
            <w:tcBorders>
              <w:left w:val="single" w:sz="8" w:color="auto"/>
              <w:right w:val="single" w:sz="8" w:color="auto"/>
            </w:tcBorders>
            <w:shd w:val="clear" w:color="auto" w:fill="F0FFFF"/>
          </w:tcPr>
          <w:p>
            <w:pPr>
              <w:spacing w:after="0"/>
              <w:rPr>
                <w:sz w:val="14"/>
                <w:szCs w:val="14"/>
                <w:color w:val="auto"/>
              </w:rPr>
            </w:pPr>
          </w:p>
        </w:tc>
        <w:tc>
          <w:tcPr>
            <w:tcW w:w="2100" w:type="dxa"/>
            <w:vAlign w:val="bottom"/>
            <w:tcBorders>
              <w:right w:val="single" w:sz="8" w:color="auto"/>
            </w:tcBorders>
            <w:shd w:val="clear" w:color="auto" w:fill="F0FFFF"/>
          </w:tcPr>
          <w:p>
            <w:pPr>
              <w:spacing w:after="0"/>
              <w:rPr>
                <w:sz w:val="14"/>
                <w:szCs w:val="14"/>
                <w:color w:val="auto"/>
              </w:rPr>
            </w:pPr>
          </w:p>
        </w:tc>
        <w:tc>
          <w:tcPr>
            <w:tcW w:w="2100" w:type="dxa"/>
            <w:vAlign w:val="bottom"/>
            <w:tcBorders>
              <w:right w:val="single" w:sz="8" w:color="auto"/>
            </w:tcBorders>
            <w:shd w:val="clear" w:color="auto" w:fill="F0FFFF"/>
          </w:tcPr>
          <w:p>
            <w:pPr>
              <w:ind w:left="80"/>
              <w:spacing w:after="0"/>
              <w:rPr>
                <w:sz w:val="20"/>
                <w:szCs w:val="20"/>
                <w:color w:val="auto"/>
              </w:rPr>
            </w:pPr>
            <w:r>
              <w:rPr>
                <w:rFonts w:ascii="Times New Roman" w:cs="Times New Roman" w:eastAsia="Times New Roman" w:hAnsi="Times New Roman"/>
                <w:sz w:val="14"/>
                <w:szCs w:val="14"/>
                <w:color w:val="auto"/>
              </w:rPr>
              <w:t>policy, the Free Look period is</w:t>
            </w:r>
          </w:p>
        </w:tc>
      </w:tr>
      <w:tr>
        <w:trPr>
          <w:trHeight w:val="203"/>
        </w:trPr>
        <w:tc>
          <w:tcPr>
            <w:tcW w:w="2100" w:type="dxa"/>
            <w:vAlign w:val="bottom"/>
            <w:tcBorders>
              <w:left w:val="single" w:sz="8" w:color="auto"/>
              <w:bottom w:val="single" w:sz="8" w:color="F0FFFF"/>
              <w:right w:val="single" w:sz="8" w:color="auto"/>
            </w:tcBorders>
            <w:shd w:val="clear" w:color="auto" w:fill="F0FFFF"/>
          </w:tcPr>
          <w:p>
            <w:pPr>
              <w:spacing w:after="0"/>
              <w:rPr>
                <w:sz w:val="17"/>
                <w:szCs w:val="17"/>
                <w:color w:val="auto"/>
              </w:rPr>
            </w:pPr>
          </w:p>
        </w:tc>
        <w:tc>
          <w:tcPr>
            <w:tcW w:w="2100" w:type="dxa"/>
            <w:vAlign w:val="bottom"/>
            <w:tcBorders>
              <w:bottom w:val="single" w:sz="8" w:color="F0FFFF"/>
              <w:right w:val="single" w:sz="8" w:color="auto"/>
            </w:tcBorders>
            <w:shd w:val="clear" w:color="auto" w:fill="F0FFFF"/>
          </w:tcPr>
          <w:p>
            <w:pPr>
              <w:spacing w:after="0"/>
              <w:rPr>
                <w:sz w:val="17"/>
                <w:szCs w:val="17"/>
                <w:color w:val="auto"/>
              </w:rPr>
            </w:pPr>
          </w:p>
        </w:tc>
        <w:tc>
          <w:tcPr>
            <w:tcW w:w="2100" w:type="dxa"/>
            <w:vAlign w:val="bottom"/>
            <w:tcBorders>
              <w:bottom w:val="single" w:sz="8" w:color="F0FFFF"/>
              <w:right w:val="single" w:sz="8" w:color="auto"/>
            </w:tcBorders>
            <w:shd w:val="clear" w:color="auto" w:fill="F0FFFF"/>
          </w:tcPr>
          <w:p>
            <w:pPr>
              <w:ind w:left="80"/>
              <w:spacing w:after="0"/>
              <w:rPr>
                <w:sz w:val="20"/>
                <w:szCs w:val="20"/>
                <w:color w:val="auto"/>
              </w:rPr>
            </w:pPr>
            <w:r>
              <w:rPr>
                <w:rFonts w:ascii="Times New Roman" w:cs="Times New Roman" w:eastAsia="Times New Roman" w:hAnsi="Times New Roman"/>
                <w:sz w:val="14"/>
                <w:szCs w:val="14"/>
                <w:color w:val="auto"/>
              </w:rPr>
              <w:t>30 days.</w:t>
            </w:r>
          </w:p>
        </w:tc>
      </w:tr>
      <w:tr>
        <w:trPr>
          <w:trHeight w:val="163"/>
        </w:trPr>
        <w:tc>
          <w:tcPr>
            <w:tcW w:w="210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West Virginia</w:t>
            </w:r>
          </w:p>
        </w:tc>
        <w:tc>
          <w:tcPr>
            <w:tcW w:w="210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Free Look</w:t>
            </w:r>
          </w:p>
        </w:tc>
        <w:tc>
          <w:tcPr>
            <w:tcW w:w="210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For the replacement of an existing</w:t>
            </w:r>
          </w:p>
        </w:tc>
      </w:tr>
      <w:tr>
        <w:trPr>
          <w:trHeight w:val="165"/>
        </w:trPr>
        <w:tc>
          <w:tcPr>
            <w:tcW w:w="2100" w:type="dxa"/>
            <w:vAlign w:val="bottom"/>
            <w:tcBorders>
              <w:left w:val="single" w:sz="8" w:color="auto"/>
              <w:right w:val="single" w:sz="8" w:color="auto"/>
            </w:tcBorders>
          </w:tcPr>
          <w:p>
            <w:pPr>
              <w:spacing w:after="0"/>
              <w:rPr>
                <w:sz w:val="14"/>
                <w:szCs w:val="14"/>
                <w:color w:val="auto"/>
              </w:rPr>
            </w:pPr>
          </w:p>
        </w:tc>
        <w:tc>
          <w:tcPr>
            <w:tcW w:w="2100" w:type="dxa"/>
            <w:vAlign w:val="bottom"/>
            <w:tcBorders>
              <w:right w:val="single" w:sz="8" w:color="auto"/>
            </w:tcBorders>
          </w:tcPr>
          <w:p>
            <w:pPr>
              <w:spacing w:after="0"/>
              <w:rPr>
                <w:sz w:val="14"/>
                <w:szCs w:val="14"/>
                <w:color w:val="auto"/>
              </w:rPr>
            </w:pPr>
          </w:p>
        </w:tc>
        <w:tc>
          <w:tcPr>
            <w:tcW w:w="21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policy, the Free Look period is</w:t>
            </w:r>
          </w:p>
        </w:tc>
      </w:tr>
      <w:tr>
        <w:trPr>
          <w:trHeight w:val="176"/>
        </w:trPr>
        <w:tc>
          <w:tcPr>
            <w:tcW w:w="2100" w:type="dxa"/>
            <w:vAlign w:val="bottom"/>
            <w:tcBorders>
              <w:left w:val="single" w:sz="8" w:color="auto"/>
              <w:right w:val="single" w:sz="8" w:color="auto"/>
            </w:tcBorders>
          </w:tcPr>
          <w:p>
            <w:pPr>
              <w:spacing w:after="0"/>
              <w:rPr>
                <w:sz w:val="15"/>
                <w:szCs w:val="15"/>
                <w:color w:val="auto"/>
              </w:rPr>
            </w:pPr>
          </w:p>
        </w:tc>
        <w:tc>
          <w:tcPr>
            <w:tcW w:w="2100" w:type="dxa"/>
            <w:vAlign w:val="bottom"/>
            <w:tcBorders>
              <w:right w:val="single" w:sz="8" w:color="auto"/>
            </w:tcBorders>
          </w:tcPr>
          <w:p>
            <w:pPr>
              <w:spacing w:after="0"/>
              <w:rPr>
                <w:sz w:val="15"/>
                <w:szCs w:val="15"/>
                <w:color w:val="auto"/>
              </w:rPr>
            </w:pPr>
          </w:p>
        </w:tc>
        <w:tc>
          <w:tcPr>
            <w:tcW w:w="21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30 days.</w:t>
            </w:r>
          </w:p>
        </w:tc>
      </w:tr>
      <w:tr>
        <w:trPr>
          <w:trHeight w:val="22"/>
        </w:trPr>
        <w:tc>
          <w:tcPr>
            <w:tcW w:w="21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100" w:type="dxa"/>
            <w:vAlign w:val="bottom"/>
            <w:tcBorders>
              <w:bottom w:val="single" w:sz="8" w:color="auto"/>
              <w:right w:val="single" w:sz="8" w:color="auto"/>
            </w:tcBorders>
          </w:tcPr>
          <w:p>
            <w:pPr>
              <w:spacing w:after="0" w:line="20" w:lineRule="exact"/>
              <w:rPr>
                <w:sz w:val="1"/>
                <w:szCs w:val="1"/>
                <w:color w:val="auto"/>
              </w:rPr>
            </w:pPr>
          </w:p>
        </w:tc>
        <w:tc>
          <w:tcPr>
            <w:tcW w:w="2100" w:type="dxa"/>
            <w:vAlign w:val="bottom"/>
            <w:tcBorders>
              <w:bottom w:val="single" w:sz="8" w:color="auto"/>
              <w:right w:val="single" w:sz="8" w:color="auto"/>
            </w:tcBorders>
          </w:tcPr>
          <w:p>
            <w:pPr>
              <w:spacing w:after="0" w:line="20" w:lineRule="exact"/>
              <w:rPr>
                <w:sz w:val="1"/>
                <w:szCs w:val="1"/>
                <w:color w:val="auto"/>
              </w:rPr>
            </w:pPr>
          </w:p>
        </w:tc>
      </w:tr>
      <w:tr>
        <w:trPr>
          <w:trHeight w:val="163"/>
        </w:trPr>
        <w:tc>
          <w:tcPr>
            <w:tcW w:w="2100" w:type="dxa"/>
            <w:vAlign w:val="bottom"/>
            <w:tcBorders>
              <w:left w:val="single" w:sz="8" w:color="auto"/>
              <w:right w:val="single" w:sz="8" w:color="auto"/>
            </w:tcBorders>
            <w:shd w:val="clear" w:color="auto" w:fill="F0FFFF"/>
          </w:tcPr>
          <w:p>
            <w:pPr>
              <w:ind w:left="80"/>
              <w:spacing w:after="0"/>
              <w:rPr>
                <w:sz w:val="20"/>
                <w:szCs w:val="20"/>
                <w:color w:val="auto"/>
              </w:rPr>
            </w:pPr>
            <w:r>
              <w:rPr>
                <w:rFonts w:ascii="Times New Roman" w:cs="Times New Roman" w:eastAsia="Times New Roman" w:hAnsi="Times New Roman"/>
                <w:sz w:val="14"/>
                <w:szCs w:val="14"/>
                <w:color w:val="auto"/>
              </w:rPr>
              <w:t>Wisconsin</w:t>
            </w:r>
          </w:p>
        </w:tc>
        <w:tc>
          <w:tcPr>
            <w:tcW w:w="2100" w:type="dxa"/>
            <w:vAlign w:val="bottom"/>
            <w:tcBorders>
              <w:right w:val="single" w:sz="8" w:color="auto"/>
            </w:tcBorders>
            <w:shd w:val="clear" w:color="auto" w:fill="F0FFFF"/>
          </w:tcPr>
          <w:p>
            <w:pPr>
              <w:ind w:left="60"/>
              <w:spacing w:after="0"/>
              <w:rPr>
                <w:sz w:val="20"/>
                <w:szCs w:val="20"/>
                <w:color w:val="auto"/>
              </w:rPr>
            </w:pPr>
            <w:r>
              <w:rPr>
                <w:rFonts w:ascii="Times New Roman" w:cs="Times New Roman" w:eastAsia="Times New Roman" w:hAnsi="Times New Roman"/>
                <w:sz w:val="14"/>
                <w:szCs w:val="14"/>
                <w:color w:val="auto"/>
              </w:rPr>
              <w:t>Free Look</w:t>
            </w:r>
          </w:p>
        </w:tc>
        <w:tc>
          <w:tcPr>
            <w:tcW w:w="2100" w:type="dxa"/>
            <w:vAlign w:val="bottom"/>
            <w:tcBorders>
              <w:right w:val="single" w:sz="8" w:color="auto"/>
            </w:tcBorders>
            <w:shd w:val="clear" w:color="auto" w:fill="F0FFFF"/>
          </w:tcPr>
          <w:p>
            <w:pPr>
              <w:ind w:left="80"/>
              <w:spacing w:after="0"/>
              <w:rPr>
                <w:sz w:val="20"/>
                <w:szCs w:val="20"/>
                <w:color w:val="auto"/>
              </w:rPr>
            </w:pPr>
            <w:r>
              <w:rPr>
                <w:rFonts w:ascii="Times New Roman" w:cs="Times New Roman" w:eastAsia="Times New Roman" w:hAnsi="Times New Roman"/>
                <w:sz w:val="14"/>
                <w:szCs w:val="14"/>
                <w:color w:val="auto"/>
              </w:rPr>
              <w:t>For the replacement of an existing</w:t>
            </w:r>
          </w:p>
        </w:tc>
      </w:tr>
      <w:tr>
        <w:trPr>
          <w:trHeight w:val="165"/>
        </w:trPr>
        <w:tc>
          <w:tcPr>
            <w:tcW w:w="2100" w:type="dxa"/>
            <w:vAlign w:val="bottom"/>
            <w:tcBorders>
              <w:left w:val="single" w:sz="8" w:color="auto"/>
              <w:right w:val="single" w:sz="8" w:color="auto"/>
            </w:tcBorders>
            <w:shd w:val="clear" w:color="auto" w:fill="F0FFFF"/>
          </w:tcPr>
          <w:p>
            <w:pPr>
              <w:spacing w:after="0"/>
              <w:rPr>
                <w:sz w:val="14"/>
                <w:szCs w:val="14"/>
                <w:color w:val="auto"/>
              </w:rPr>
            </w:pPr>
          </w:p>
        </w:tc>
        <w:tc>
          <w:tcPr>
            <w:tcW w:w="2100" w:type="dxa"/>
            <w:vAlign w:val="bottom"/>
            <w:tcBorders>
              <w:right w:val="single" w:sz="8" w:color="auto"/>
            </w:tcBorders>
            <w:shd w:val="clear" w:color="auto" w:fill="F0FFFF"/>
          </w:tcPr>
          <w:p>
            <w:pPr>
              <w:spacing w:after="0"/>
              <w:rPr>
                <w:sz w:val="14"/>
                <w:szCs w:val="14"/>
                <w:color w:val="auto"/>
              </w:rPr>
            </w:pPr>
          </w:p>
        </w:tc>
        <w:tc>
          <w:tcPr>
            <w:tcW w:w="2100" w:type="dxa"/>
            <w:vAlign w:val="bottom"/>
            <w:tcBorders>
              <w:right w:val="single" w:sz="8" w:color="auto"/>
            </w:tcBorders>
            <w:shd w:val="clear" w:color="auto" w:fill="F0FFFF"/>
          </w:tcPr>
          <w:p>
            <w:pPr>
              <w:ind w:left="80"/>
              <w:spacing w:after="0"/>
              <w:rPr>
                <w:sz w:val="20"/>
                <w:szCs w:val="20"/>
                <w:color w:val="auto"/>
              </w:rPr>
            </w:pPr>
            <w:r>
              <w:rPr>
                <w:rFonts w:ascii="Times New Roman" w:cs="Times New Roman" w:eastAsia="Times New Roman" w:hAnsi="Times New Roman"/>
                <w:sz w:val="14"/>
                <w:szCs w:val="14"/>
                <w:color w:val="auto"/>
              </w:rPr>
              <w:t>policy, the Free Look period is</w:t>
            </w:r>
          </w:p>
        </w:tc>
      </w:tr>
      <w:tr>
        <w:trPr>
          <w:trHeight w:val="203"/>
        </w:trPr>
        <w:tc>
          <w:tcPr>
            <w:tcW w:w="2100" w:type="dxa"/>
            <w:vAlign w:val="bottom"/>
            <w:tcBorders>
              <w:left w:val="single" w:sz="8" w:color="auto"/>
              <w:bottom w:val="single" w:sz="8" w:color="F0FFFF"/>
              <w:right w:val="single" w:sz="8" w:color="auto"/>
            </w:tcBorders>
            <w:shd w:val="clear" w:color="auto" w:fill="F0FFFF"/>
          </w:tcPr>
          <w:p>
            <w:pPr>
              <w:spacing w:after="0"/>
              <w:rPr>
                <w:sz w:val="17"/>
                <w:szCs w:val="17"/>
                <w:color w:val="auto"/>
              </w:rPr>
            </w:pPr>
          </w:p>
        </w:tc>
        <w:tc>
          <w:tcPr>
            <w:tcW w:w="2100" w:type="dxa"/>
            <w:vAlign w:val="bottom"/>
            <w:tcBorders>
              <w:bottom w:val="single" w:sz="8" w:color="F0FFFF"/>
              <w:right w:val="single" w:sz="8" w:color="auto"/>
            </w:tcBorders>
            <w:shd w:val="clear" w:color="auto" w:fill="F0FFFF"/>
          </w:tcPr>
          <w:p>
            <w:pPr>
              <w:spacing w:after="0"/>
              <w:rPr>
                <w:sz w:val="17"/>
                <w:szCs w:val="17"/>
                <w:color w:val="auto"/>
              </w:rPr>
            </w:pPr>
          </w:p>
        </w:tc>
        <w:tc>
          <w:tcPr>
            <w:tcW w:w="2100" w:type="dxa"/>
            <w:vAlign w:val="bottom"/>
            <w:tcBorders>
              <w:bottom w:val="single" w:sz="8" w:color="F0FFFF"/>
              <w:right w:val="single" w:sz="8" w:color="auto"/>
            </w:tcBorders>
            <w:shd w:val="clear" w:color="auto" w:fill="F0FFFF"/>
          </w:tcPr>
          <w:p>
            <w:pPr>
              <w:ind w:left="80"/>
              <w:spacing w:after="0"/>
              <w:rPr>
                <w:sz w:val="20"/>
                <w:szCs w:val="20"/>
                <w:color w:val="auto"/>
              </w:rPr>
            </w:pPr>
            <w:r>
              <w:rPr>
                <w:rFonts w:ascii="Times New Roman" w:cs="Times New Roman" w:eastAsia="Times New Roman" w:hAnsi="Times New Roman"/>
                <w:sz w:val="14"/>
                <w:szCs w:val="14"/>
                <w:color w:val="auto"/>
              </w:rPr>
              <w:t>30 days.</w:t>
            </w:r>
          </w:p>
        </w:tc>
      </w:tr>
      <w:tr>
        <w:trPr>
          <w:trHeight w:val="142"/>
        </w:trPr>
        <w:tc>
          <w:tcPr>
            <w:tcW w:w="2100" w:type="dxa"/>
            <w:vAlign w:val="bottom"/>
            <w:tcBorders>
              <w:top w:val="single" w:sz="8" w:color="auto"/>
              <w:left w:val="single" w:sz="8" w:color="auto"/>
              <w:right w:val="single" w:sz="8" w:color="auto"/>
            </w:tcBorders>
          </w:tcPr>
          <w:p>
            <w:pPr>
              <w:ind w:left="80"/>
              <w:spacing w:after="0" w:line="142" w:lineRule="exact"/>
              <w:rPr>
                <w:sz w:val="20"/>
                <w:szCs w:val="20"/>
                <w:color w:val="auto"/>
              </w:rPr>
            </w:pPr>
            <w:r>
              <w:rPr>
                <w:rFonts w:ascii="Times New Roman" w:cs="Times New Roman" w:eastAsia="Times New Roman" w:hAnsi="Times New Roman"/>
                <w:sz w:val="14"/>
                <w:szCs w:val="14"/>
                <w:color w:val="auto"/>
              </w:rPr>
              <w:t>Wyoming</w:t>
            </w:r>
          </w:p>
        </w:tc>
        <w:tc>
          <w:tcPr>
            <w:tcW w:w="2100" w:type="dxa"/>
            <w:vAlign w:val="bottom"/>
            <w:tcBorders>
              <w:top w:val="single" w:sz="8" w:color="auto"/>
              <w:right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color w:val="auto"/>
              </w:rPr>
              <w:t>Free Look</w:t>
            </w:r>
          </w:p>
        </w:tc>
        <w:tc>
          <w:tcPr>
            <w:tcW w:w="2100" w:type="dxa"/>
            <w:vAlign w:val="bottom"/>
            <w:tcBorders>
              <w:top w:val="single" w:sz="8" w:color="auto"/>
              <w:right w:val="single" w:sz="8" w:color="auto"/>
            </w:tcBorders>
          </w:tcPr>
          <w:p>
            <w:pPr>
              <w:ind w:left="80"/>
              <w:spacing w:after="0" w:line="142" w:lineRule="exact"/>
              <w:rPr>
                <w:sz w:val="20"/>
                <w:szCs w:val="20"/>
                <w:color w:val="auto"/>
              </w:rPr>
            </w:pPr>
            <w:r>
              <w:rPr>
                <w:rFonts w:ascii="Times New Roman" w:cs="Times New Roman" w:eastAsia="Times New Roman" w:hAnsi="Times New Roman"/>
                <w:sz w:val="14"/>
                <w:szCs w:val="14"/>
                <w:color w:val="auto"/>
              </w:rPr>
              <w:t>For the replacement of an existing</w:t>
            </w:r>
          </w:p>
        </w:tc>
      </w:tr>
      <w:tr>
        <w:trPr>
          <w:trHeight w:val="144"/>
        </w:trPr>
        <w:tc>
          <w:tcPr>
            <w:tcW w:w="2100" w:type="dxa"/>
            <w:vAlign w:val="bottom"/>
            <w:tcBorders>
              <w:left w:val="single" w:sz="8" w:color="auto"/>
              <w:right w:val="single" w:sz="8" w:color="auto"/>
            </w:tcBorders>
          </w:tcPr>
          <w:p>
            <w:pPr>
              <w:spacing w:after="0"/>
              <w:rPr>
                <w:sz w:val="12"/>
                <w:szCs w:val="12"/>
                <w:color w:val="auto"/>
              </w:rPr>
            </w:pPr>
          </w:p>
        </w:tc>
        <w:tc>
          <w:tcPr>
            <w:tcW w:w="2100" w:type="dxa"/>
            <w:vAlign w:val="bottom"/>
            <w:tcBorders>
              <w:right w:val="single" w:sz="8" w:color="auto"/>
            </w:tcBorders>
          </w:tcPr>
          <w:p>
            <w:pPr>
              <w:spacing w:after="0"/>
              <w:rPr>
                <w:sz w:val="12"/>
                <w:szCs w:val="12"/>
                <w:color w:val="auto"/>
              </w:rPr>
            </w:pPr>
          </w:p>
        </w:tc>
        <w:tc>
          <w:tcPr>
            <w:tcW w:w="2100" w:type="dxa"/>
            <w:vAlign w:val="bottom"/>
            <w:tcBorders>
              <w:right w:val="single" w:sz="8" w:color="auto"/>
            </w:tcBorders>
          </w:tcPr>
          <w:p>
            <w:pPr>
              <w:ind w:left="80"/>
              <w:spacing w:after="0" w:line="144" w:lineRule="exact"/>
              <w:rPr>
                <w:sz w:val="20"/>
                <w:szCs w:val="20"/>
                <w:color w:val="auto"/>
              </w:rPr>
            </w:pPr>
            <w:r>
              <w:rPr>
                <w:rFonts w:ascii="Times New Roman" w:cs="Times New Roman" w:eastAsia="Times New Roman" w:hAnsi="Times New Roman"/>
                <w:sz w:val="14"/>
                <w:szCs w:val="14"/>
                <w:color w:val="auto"/>
              </w:rPr>
              <w:t>policy, the Free Look period is</w:t>
            </w:r>
          </w:p>
        </w:tc>
      </w:tr>
      <w:tr>
        <w:trPr>
          <w:trHeight w:val="193"/>
        </w:trPr>
        <w:tc>
          <w:tcPr>
            <w:tcW w:w="2100" w:type="dxa"/>
            <w:vAlign w:val="bottom"/>
            <w:tcBorders>
              <w:left w:val="single" w:sz="8" w:color="auto"/>
              <w:bottom w:val="single" w:sz="8" w:color="auto"/>
              <w:right w:val="single" w:sz="8" w:color="auto"/>
            </w:tcBorders>
          </w:tcPr>
          <w:p>
            <w:pPr>
              <w:spacing w:after="0"/>
              <w:rPr>
                <w:sz w:val="16"/>
                <w:szCs w:val="16"/>
                <w:color w:val="auto"/>
              </w:rPr>
            </w:pPr>
          </w:p>
        </w:tc>
        <w:tc>
          <w:tcPr>
            <w:tcW w:w="2100" w:type="dxa"/>
            <w:vAlign w:val="bottom"/>
            <w:tcBorders>
              <w:bottom w:val="single" w:sz="8" w:color="auto"/>
              <w:right w:val="single" w:sz="8" w:color="auto"/>
            </w:tcBorders>
          </w:tcPr>
          <w:p>
            <w:pPr>
              <w:spacing w:after="0"/>
              <w:rPr>
                <w:sz w:val="16"/>
                <w:szCs w:val="16"/>
                <w:color w:val="auto"/>
              </w:rPr>
            </w:pPr>
          </w:p>
        </w:tc>
        <w:tc>
          <w:tcPr>
            <w:tcW w:w="21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30 days.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179070</wp:posOffset>
            </wp:positionH>
            <wp:positionV relativeFrom="page">
              <wp:posOffset>422275</wp:posOffset>
            </wp:positionV>
            <wp:extent cx="719010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8">
                      <a:extLst>
                        <a:ext uri="{28A0092B-C50C-407E-A947-70E740481C1C}"/>
                      </a:extLst>
                    </a:blip>
                    <a:srcRect/>
                    <a:stretch>
                      <a:fillRect/>
                    </a:stretch>
                  </pic:blipFill>
                  <pic:spPr bwMode="auto">
                    <a:xfrm>
                      <a:off x="0" y="0"/>
                      <a:ext cx="7190105" cy="3873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-2863215</wp:posOffset>
            </wp:positionV>
            <wp:extent cx="3983990" cy="11747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9">
                      <a:extLst>
                        <a:ext uri="{28A0092B-C50C-407E-A947-70E740481C1C}"/>
                      </a:extLst>
                    </a:blip>
                    <a:srcRect/>
                    <a:stretch>
                      <a:fillRect/>
                    </a:stretch>
                  </pic:blipFill>
                  <pic:spPr bwMode="auto">
                    <a:xfrm>
                      <a:off x="0" y="0"/>
                      <a:ext cx="3983990" cy="11747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-2399665</wp:posOffset>
            </wp:positionV>
            <wp:extent cx="3983990" cy="34607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0">
                      <a:extLst>
                        <a:ext uri="{28A0092B-C50C-407E-A947-70E740481C1C}"/>
                      </a:extLst>
                    </a:blip>
                    <a:srcRect/>
                    <a:stretch>
                      <a:fillRect/>
                    </a:stretch>
                  </pic:blipFill>
                  <pic:spPr bwMode="auto">
                    <a:xfrm>
                      <a:off x="0" y="0"/>
                      <a:ext cx="3983990" cy="34607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-1706880</wp:posOffset>
            </wp:positionV>
            <wp:extent cx="3983990" cy="34607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1">
                      <a:extLst>
                        <a:ext uri="{28A0092B-C50C-407E-A947-70E740481C1C}"/>
                      </a:extLst>
                    </a:blip>
                    <a:srcRect/>
                    <a:stretch>
                      <a:fillRect/>
                    </a:stretch>
                  </pic:blipFill>
                  <pic:spPr bwMode="auto">
                    <a:xfrm>
                      <a:off x="0" y="0"/>
                      <a:ext cx="3983990" cy="34607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-1014730</wp:posOffset>
            </wp:positionV>
            <wp:extent cx="3983990" cy="34607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2">
                      <a:extLst>
                        <a:ext uri="{28A0092B-C50C-407E-A947-70E740481C1C}"/>
                      </a:extLst>
                    </a:blip>
                    <a:srcRect/>
                    <a:stretch>
                      <a:fillRect/>
                    </a:stretch>
                  </pic:blipFill>
                  <pic:spPr bwMode="auto">
                    <a:xfrm>
                      <a:off x="0" y="0"/>
                      <a:ext cx="3983990" cy="34607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-322580</wp:posOffset>
            </wp:positionV>
            <wp:extent cx="3983990" cy="3136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3">
                      <a:extLst>
                        <a:ext uri="{28A0092B-C50C-407E-A947-70E740481C1C}"/>
                      </a:extLst>
                    </a:blip>
                    <a:srcRect/>
                    <a:stretch>
                      <a:fillRect/>
                    </a:stretch>
                  </pic:blipFill>
                  <pic:spPr bwMode="auto">
                    <a:xfrm>
                      <a:off x="0" y="0"/>
                      <a:ext cx="3983990" cy="313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4"/>
          <w:szCs w:val="14"/>
          <w:color w:val="auto"/>
        </w:rPr>
        <w:t>F-3</w:t>
      </w:r>
    </w:p>
    <w:p>
      <w:pPr>
        <w:sectPr>
          <w:pgSz w:w="11900" w:h="16838" w:orient="portrait"/>
          <w:cols w:equalWidth="0" w:num="1">
            <w:col w:w="9219"/>
          </w:cols>
          <w:pgMar w:left="1240" w:top="1071" w:right="1440" w:bottom="1440" w:gutter="0" w:footer="0" w:header="0"/>
        </w:sectPr>
      </w:pPr>
    </w:p>
    <w:bookmarkStart w:id="94" w:name="page95"/>
    <w:bookmarkEnd w:id="9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179070</wp:posOffset>
            </wp:positionH>
            <wp:positionV relativeFrom="page">
              <wp:posOffset>422275</wp:posOffset>
            </wp:positionV>
            <wp:extent cx="719010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4">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jc w:val="center"/>
        <w:ind w:right="2577"/>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5">
                      <a:extLst>
                        <a:ext uri="{28A0092B-C50C-407E-A947-70E740481C1C}"/>
                      </a:extLst>
                    </a:blip>
                    <a:srcRect/>
                    <a:stretch>
                      <a:fillRect/>
                    </a:stretch>
                  </pic:blipFill>
                  <pic:spPr bwMode="auto">
                    <a:xfrm>
                      <a:off x="0" y="0"/>
                      <a:ext cx="7203440" cy="32385"/>
                    </a:xfrm>
                    <a:prstGeom prst="rect">
                      <a:avLst/>
                    </a:prstGeom>
                    <a:noFill/>
                  </pic:spPr>
                </pic:pic>
              </a:graphicData>
            </a:graphic>
          </wp:anchor>
        </w:drawing>
        <w:t>Part II</w:t>
      </w:r>
    </w:p>
    <w:p>
      <w:pPr>
        <w:spacing w:after="0" w:line="117" w:lineRule="exact"/>
        <w:rPr>
          <w:sz w:val="20"/>
          <w:szCs w:val="20"/>
          <w:color w:val="auto"/>
        </w:rPr>
      </w:pPr>
    </w:p>
    <w:p>
      <w:pPr>
        <w:jc w:val="center"/>
        <w:ind w:right="2577"/>
        <w:spacing w:after="0"/>
        <w:rPr>
          <w:sz w:val="20"/>
          <w:szCs w:val="20"/>
          <w:color w:val="auto"/>
        </w:rPr>
      </w:pPr>
      <w:r>
        <w:rPr>
          <w:rFonts w:ascii="Arial" w:cs="Arial" w:eastAsia="Arial" w:hAnsi="Arial"/>
          <w:sz w:val="14"/>
          <w:szCs w:val="14"/>
          <w:b w:val="1"/>
          <w:bCs w:val="1"/>
          <w:color w:val="auto"/>
        </w:rPr>
        <w:t>INFORMATION NOT REQUIRED IN PROSPECTUS</w:t>
      </w:r>
    </w:p>
    <w:p>
      <w:pPr>
        <w:spacing w:after="0" w:line="158" w:lineRule="exact"/>
        <w:rPr>
          <w:sz w:val="20"/>
          <w:szCs w:val="20"/>
          <w:color w:val="auto"/>
        </w:rPr>
      </w:pPr>
    </w:p>
    <w:p>
      <w:pPr>
        <w:ind w:left="2"/>
        <w:spacing w:after="0"/>
        <w:rPr>
          <w:sz w:val="20"/>
          <w:szCs w:val="20"/>
          <w:color w:val="auto"/>
        </w:rPr>
      </w:pPr>
      <w:r>
        <w:rPr>
          <w:rFonts w:ascii="Arial" w:cs="Arial" w:eastAsia="Arial" w:hAnsi="Arial"/>
          <w:sz w:val="14"/>
          <w:szCs w:val="14"/>
          <w:b w:val="1"/>
          <w:bCs w:val="1"/>
          <w:color w:val="auto"/>
        </w:rPr>
        <w:t>Item 14. Other Expenses of Issuance and Distribution</w:t>
      </w:r>
    </w:p>
    <w:p>
      <w:pPr>
        <w:spacing w:after="0" w:line="88" w:lineRule="exact"/>
        <w:rPr>
          <w:sz w:val="20"/>
          <w:szCs w:val="20"/>
          <w:color w:val="auto"/>
        </w:rPr>
      </w:pPr>
    </w:p>
    <w:p>
      <w:pPr>
        <w:ind w:left="2"/>
        <w:spacing w:after="0"/>
        <w:rPr>
          <w:sz w:val="20"/>
          <w:szCs w:val="20"/>
          <w:color w:val="auto"/>
        </w:rPr>
      </w:pPr>
      <w:r>
        <w:rPr>
          <w:rFonts w:ascii="Arial" w:cs="Arial" w:eastAsia="Arial" w:hAnsi="Arial"/>
          <w:sz w:val="13"/>
          <w:szCs w:val="13"/>
          <w:color w:val="auto"/>
        </w:rPr>
        <w:t>The following is an itemized list of the fees and expenses incurred in connection with the securities being offered.</w:t>
      </w:r>
    </w:p>
    <w:p>
      <w:pPr>
        <w:spacing w:after="0" w:line="27" w:lineRule="exact"/>
        <w:rPr>
          <w:sz w:val="20"/>
          <w:szCs w:val="20"/>
          <w:color w:val="auto"/>
        </w:rPr>
      </w:pPr>
    </w:p>
    <w:p>
      <w:pPr>
        <w:ind w:left="2"/>
        <w:spacing w:after="0"/>
        <w:rPr>
          <w:sz w:val="20"/>
          <w:szCs w:val="20"/>
          <w:color w:val="auto"/>
        </w:rPr>
      </w:pPr>
      <w:r>
        <w:rPr>
          <w:rFonts w:ascii="Arial" w:cs="Arial" w:eastAsia="Arial" w:hAnsi="Arial"/>
          <w:sz w:val="14"/>
          <w:szCs w:val="14"/>
          <w:color w:val="auto"/>
        </w:rPr>
        <w:t>All of such fees and expenses, except for the Registration Fee, are estimated.</w:t>
      </w:r>
    </w:p>
    <w:p>
      <w:pPr>
        <w:spacing w:after="0" w:line="84" w:lineRule="exact"/>
        <w:rPr>
          <w:sz w:val="20"/>
          <w:szCs w:val="20"/>
          <w:color w:val="auto"/>
        </w:rPr>
      </w:pPr>
    </w:p>
    <w:p>
      <w:pPr>
        <w:ind w:left="2"/>
        <w:spacing w:after="0"/>
        <w:rPr>
          <w:sz w:val="20"/>
          <w:szCs w:val="20"/>
          <w:color w:val="auto"/>
        </w:rPr>
      </w:pPr>
      <w:r>
        <w:rPr>
          <w:rFonts w:ascii="Arial" w:cs="Arial" w:eastAsia="Arial" w:hAnsi="Arial"/>
          <w:sz w:val="14"/>
          <w:szCs w:val="14"/>
          <w:color w:val="auto"/>
        </w:rPr>
        <w:t>Accountant’s Fees and Expenses: $7,950</w:t>
      </w:r>
    </w:p>
    <w:p>
      <w:pPr>
        <w:spacing w:after="0" w:line="96" w:lineRule="exact"/>
        <w:rPr>
          <w:sz w:val="20"/>
          <w:szCs w:val="20"/>
          <w:color w:val="auto"/>
        </w:rPr>
      </w:pPr>
    </w:p>
    <w:p>
      <w:pPr>
        <w:ind w:left="2"/>
        <w:spacing w:after="0"/>
        <w:rPr>
          <w:sz w:val="20"/>
          <w:szCs w:val="20"/>
          <w:color w:val="auto"/>
        </w:rPr>
      </w:pPr>
      <w:r>
        <w:rPr>
          <w:rFonts w:ascii="Arial" w:cs="Arial" w:eastAsia="Arial" w:hAnsi="Arial"/>
          <w:sz w:val="14"/>
          <w:szCs w:val="14"/>
          <w:color w:val="auto"/>
        </w:rPr>
        <w:t>Legal Fees and Expenses: $9,000</w:t>
      </w:r>
    </w:p>
    <w:p>
      <w:pPr>
        <w:spacing w:after="0" w:line="86" w:lineRule="exact"/>
        <w:rPr>
          <w:sz w:val="20"/>
          <w:szCs w:val="20"/>
          <w:color w:val="auto"/>
        </w:rPr>
      </w:pPr>
    </w:p>
    <w:p>
      <w:pPr>
        <w:ind w:left="2"/>
        <w:spacing w:after="0"/>
        <w:rPr>
          <w:sz w:val="20"/>
          <w:szCs w:val="20"/>
          <w:color w:val="auto"/>
        </w:rPr>
      </w:pPr>
      <w:r>
        <w:rPr>
          <w:rFonts w:ascii="Arial" w:cs="Arial" w:eastAsia="Arial" w:hAnsi="Arial"/>
          <w:sz w:val="14"/>
          <w:szCs w:val="14"/>
          <w:color w:val="auto"/>
        </w:rPr>
        <w:t>Printing Expenses: $5,764</w:t>
      </w:r>
    </w:p>
    <w:p>
      <w:pPr>
        <w:spacing w:after="0" w:line="96" w:lineRule="exact"/>
        <w:rPr>
          <w:sz w:val="20"/>
          <w:szCs w:val="20"/>
          <w:color w:val="auto"/>
        </w:rPr>
      </w:pPr>
    </w:p>
    <w:p>
      <w:pPr>
        <w:ind w:left="2"/>
        <w:spacing w:after="0"/>
        <w:rPr>
          <w:sz w:val="20"/>
          <w:szCs w:val="20"/>
          <w:color w:val="auto"/>
        </w:rPr>
      </w:pPr>
      <w:r>
        <w:rPr>
          <w:rFonts w:ascii="Arial" w:cs="Arial" w:eastAsia="Arial" w:hAnsi="Arial"/>
          <w:sz w:val="14"/>
          <w:szCs w:val="14"/>
          <w:color w:val="auto"/>
        </w:rPr>
        <w:t>Registration Fee: $0</w:t>
      </w:r>
    </w:p>
    <w:p>
      <w:pPr>
        <w:spacing w:after="0" w:line="176" w:lineRule="exact"/>
        <w:rPr>
          <w:sz w:val="20"/>
          <w:szCs w:val="20"/>
          <w:color w:val="auto"/>
        </w:rPr>
      </w:pPr>
    </w:p>
    <w:p>
      <w:pPr>
        <w:ind w:left="2"/>
        <w:spacing w:after="0"/>
        <w:rPr>
          <w:sz w:val="20"/>
          <w:szCs w:val="20"/>
          <w:color w:val="auto"/>
        </w:rPr>
      </w:pPr>
      <w:r>
        <w:rPr>
          <w:rFonts w:ascii="Arial" w:cs="Arial" w:eastAsia="Arial" w:hAnsi="Arial"/>
          <w:sz w:val="14"/>
          <w:szCs w:val="14"/>
          <w:b w:val="1"/>
          <w:bCs w:val="1"/>
          <w:color w:val="auto"/>
        </w:rPr>
        <w:t>Item 15. Indemnification of Directors and Officers</w:t>
      </w:r>
    </w:p>
    <w:p>
      <w:pPr>
        <w:spacing w:after="0" w:line="88" w:lineRule="exact"/>
        <w:rPr>
          <w:sz w:val="20"/>
          <w:szCs w:val="20"/>
          <w:color w:val="auto"/>
        </w:rPr>
      </w:pPr>
    </w:p>
    <w:p>
      <w:pPr>
        <w:ind w:left="2" w:right="2799"/>
        <w:spacing w:after="0" w:line="249" w:lineRule="auto"/>
        <w:rPr>
          <w:sz w:val="20"/>
          <w:szCs w:val="20"/>
          <w:color w:val="auto"/>
        </w:rPr>
      </w:pPr>
      <w:r>
        <w:rPr>
          <w:rFonts w:ascii="Arial" w:cs="Arial" w:eastAsia="Arial" w:hAnsi="Arial"/>
          <w:sz w:val="14"/>
          <w:szCs w:val="14"/>
          <w:color w:val="auto"/>
        </w:rPr>
        <w:t>Pursuant to applicable provisions of the Registrant’s by-laws or internal corporate policies adopted by the Registrant or BHF, the directors, officers and other controlling persons of the Registrant who are made or threatened to be made a party to an action or proceeding, may be eligible to obtain indemnification against judgments, fines, amounts paid in settlement and reasonable expenses, including attorneys’ fees, incurred as a result of such action or proceeding. Under the principal underwriting agreement between the Registrant and the Underwriter, the parties have agreed to indemnify each other against certain liabilities and expenses from legal proceedings arising out of the Underwriter’s distribution of the Contracts. BLIC also maintains insurance policies insuring its directors and officers against certain liabilities they may incur in their capacity as such.</w:t>
      </w:r>
    </w:p>
    <w:p>
      <w:pPr>
        <w:spacing w:after="0" w:line="143" w:lineRule="exact"/>
        <w:rPr>
          <w:sz w:val="20"/>
          <w:szCs w:val="20"/>
          <w:color w:val="auto"/>
        </w:rPr>
      </w:pPr>
    </w:p>
    <w:p>
      <w:pPr>
        <w:ind w:left="2"/>
        <w:spacing w:after="0"/>
        <w:rPr>
          <w:sz w:val="20"/>
          <w:szCs w:val="20"/>
          <w:color w:val="auto"/>
        </w:rPr>
      </w:pPr>
      <w:r>
        <w:rPr>
          <w:rFonts w:ascii="Arial" w:cs="Arial" w:eastAsia="Arial" w:hAnsi="Arial"/>
          <w:sz w:val="14"/>
          <w:szCs w:val="14"/>
          <w:b w:val="1"/>
          <w:bCs w:val="1"/>
          <w:color w:val="auto"/>
        </w:rPr>
        <w:t>Item 16. Exhibits</w:t>
      </w:r>
    </w:p>
    <w:p>
      <w:pPr>
        <w:sectPr>
          <w:pgSz w:w="11900" w:h="16838" w:orient="portrait"/>
          <w:cols w:equalWidth="0" w:num="1">
            <w:col w:w="9581"/>
          </w:cols>
          <w:pgMar w:left="878" w:top="742" w:right="1440" w:bottom="1440" w:gutter="0" w:footer="0" w:header="0"/>
        </w:sectPr>
      </w:pPr>
    </w:p>
    <w:p>
      <w:pPr>
        <w:spacing w:after="0" w:line="146" w:lineRule="exact"/>
        <w:rPr>
          <w:sz w:val="20"/>
          <w:szCs w:val="20"/>
          <w:color w:val="auto"/>
        </w:rPr>
      </w:pPr>
    </w:p>
    <w:p>
      <w:pPr>
        <w:ind w:left="2"/>
        <w:spacing w:after="0"/>
        <w:rPr>
          <w:sz w:val="20"/>
          <w:szCs w:val="20"/>
          <w:color w:val="auto"/>
        </w:rPr>
      </w:pPr>
      <w:r>
        <w:rPr>
          <w:rFonts w:ascii="Arial" w:cs="Arial" w:eastAsia="Arial" w:hAnsi="Arial"/>
          <w:sz w:val="11"/>
          <w:szCs w:val="11"/>
          <w:b w:val="1"/>
          <w:bCs w:val="1"/>
          <w:color w:val="auto"/>
        </w:rPr>
        <w:t>Exhibit</w:t>
      </w:r>
    </w:p>
    <w:p>
      <w:pPr>
        <w:spacing w:after="0" w:line="17" w:lineRule="exact"/>
        <w:rPr>
          <w:sz w:val="20"/>
          <w:szCs w:val="20"/>
          <w:color w:val="auto"/>
        </w:rPr>
      </w:pPr>
    </w:p>
    <w:p>
      <w:pPr>
        <w:ind w:left="2"/>
        <w:spacing w:after="0"/>
        <w:rPr>
          <w:sz w:val="20"/>
          <w:szCs w:val="20"/>
          <w:color w:val="auto"/>
        </w:rPr>
      </w:pPr>
      <w:r>
        <w:rPr>
          <w:rFonts w:ascii="Arial" w:cs="Arial" w:eastAsia="Arial" w:hAnsi="Arial"/>
          <w:sz w:val="11"/>
          <w:szCs w:val="11"/>
          <w:b w:val="1"/>
          <w:bCs w:val="1"/>
          <w:u w:val="single" w:color="auto"/>
          <w:color w:val="auto"/>
        </w:rPr>
        <w:t>Number</w:t>
      </w:r>
    </w:p>
    <w:p>
      <w:pPr>
        <w:spacing w:after="0" w:line="104" w:lineRule="exact"/>
        <w:rPr>
          <w:sz w:val="20"/>
          <w:szCs w:val="20"/>
          <w:color w:val="auto"/>
        </w:rPr>
      </w:pPr>
    </w:p>
    <w:p>
      <w:pPr>
        <w:ind w:left="2"/>
        <w:spacing w:after="0"/>
        <w:rPr>
          <w:sz w:val="20"/>
          <w:szCs w:val="20"/>
          <w:color w:val="auto"/>
        </w:rPr>
      </w:pPr>
      <w:r>
        <w:rPr>
          <w:rFonts w:ascii="Arial" w:cs="Arial" w:eastAsia="Arial" w:hAnsi="Arial"/>
          <w:sz w:val="14"/>
          <w:szCs w:val="14"/>
          <w:color w:val="auto"/>
        </w:rPr>
        <w:t>1(a).</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
        <w:spacing w:after="0"/>
        <w:rPr>
          <w:sz w:val="20"/>
          <w:szCs w:val="20"/>
          <w:color w:val="auto"/>
        </w:rPr>
      </w:pPr>
      <w:r>
        <w:rPr>
          <w:rFonts w:ascii="Arial" w:cs="Arial" w:eastAsia="Arial" w:hAnsi="Arial"/>
          <w:sz w:val="14"/>
          <w:szCs w:val="14"/>
          <w:color w:val="auto"/>
        </w:rPr>
        <w:t>1(b).</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ind w:left="20"/>
        <w:spacing w:after="0"/>
        <w:rPr>
          <w:sz w:val="20"/>
          <w:szCs w:val="20"/>
          <w:color w:val="auto"/>
        </w:rPr>
      </w:pPr>
      <w:r>
        <w:rPr>
          <w:rFonts w:ascii="Arial" w:cs="Arial" w:eastAsia="Arial" w:hAnsi="Arial"/>
          <w:sz w:val="11"/>
          <w:szCs w:val="11"/>
          <w:b w:val="1"/>
          <w:bCs w:val="1"/>
          <w:u w:val="single" w:color="auto"/>
          <w:color w:val="auto"/>
        </w:rPr>
        <w:t>Description</w:t>
      </w:r>
    </w:p>
    <w:p>
      <w:pPr>
        <w:spacing w:after="0" w:line="268" w:lineRule="exact"/>
        <w:rPr>
          <w:sz w:val="20"/>
          <w:szCs w:val="20"/>
          <w:color w:val="auto"/>
        </w:rPr>
      </w:pPr>
    </w:p>
    <w:p>
      <w:pPr>
        <w:ind w:right="2839"/>
        <w:spacing w:after="0" w:line="254" w:lineRule="auto"/>
        <w:rPr>
          <w:rFonts w:ascii="Arial" w:cs="Arial" w:eastAsia="Arial" w:hAnsi="Arial"/>
          <w:sz w:val="14"/>
          <w:szCs w:val="14"/>
          <w:u w:val="single" w:color="auto"/>
          <w:color w:val="0000EE"/>
        </w:rPr>
      </w:pPr>
      <w:hyperlink r:id="rId216">
        <w:r>
          <w:rPr>
            <w:rFonts w:ascii="Arial" w:cs="Arial" w:eastAsia="Arial" w:hAnsi="Arial"/>
            <w:sz w:val="14"/>
            <w:szCs w:val="14"/>
            <w:u w:val="single" w:color="auto"/>
            <w:color w:val="0000EE"/>
          </w:rPr>
          <w:t>Principal Underwriting and Distribution Agreement between Brighthouse Life Insurance</w:t>
        </w:r>
      </w:hyperlink>
      <w:r>
        <w:rPr>
          <w:rFonts w:ascii="Arial" w:cs="Arial" w:eastAsia="Arial" w:hAnsi="Arial"/>
          <w:sz w:val="14"/>
          <w:szCs w:val="14"/>
          <w:u w:val="single" w:color="auto"/>
          <w:color w:val="0000EE"/>
        </w:rPr>
        <w:t xml:space="preserve"> </w:t>
      </w:r>
      <w:hyperlink r:id="rId216">
        <w:r>
          <w:rPr>
            <w:rFonts w:ascii="Arial" w:cs="Arial" w:eastAsia="Arial" w:hAnsi="Arial"/>
            <w:sz w:val="14"/>
            <w:szCs w:val="14"/>
            <w:u w:val="single" w:color="auto"/>
            <w:color w:val="0000EE"/>
          </w:rPr>
          <w:t>Company and Brighthouse Securities, LLC (effective 3-6-17). (Filed as Exhibit 1(a) with</w:t>
        </w:r>
      </w:hyperlink>
      <w:r>
        <w:rPr>
          <w:rFonts w:ascii="Arial" w:cs="Arial" w:eastAsia="Arial" w:hAnsi="Arial"/>
          <w:sz w:val="14"/>
          <w:szCs w:val="14"/>
          <w:u w:val="single" w:color="auto"/>
          <w:color w:val="0000EE"/>
        </w:rPr>
        <w:t xml:space="preserve"> </w:t>
      </w:r>
      <w:hyperlink r:id="rId216">
        <w:r>
          <w:rPr>
            <w:rFonts w:ascii="Arial" w:cs="Arial" w:eastAsia="Arial" w:hAnsi="Arial"/>
            <w:sz w:val="14"/>
            <w:szCs w:val="14"/>
            <w:u w:val="single" w:color="auto"/>
            <w:color w:val="0000EE"/>
          </w:rPr>
          <w:t>Registration Statement No. 333-217509 on Form S-3 on April 27, 2017 and incorporated herein</w:t>
        </w:r>
      </w:hyperlink>
      <w:r>
        <w:rPr>
          <w:rFonts w:ascii="Arial" w:cs="Arial" w:eastAsia="Arial" w:hAnsi="Arial"/>
          <w:sz w:val="14"/>
          <w:szCs w:val="14"/>
          <w:u w:val="single" w:color="auto"/>
          <w:color w:val="0000EE"/>
        </w:rPr>
        <w:t xml:space="preserve"> </w:t>
      </w:r>
      <w:hyperlink r:id="rId216">
        <w:r>
          <w:rPr>
            <w:rFonts w:ascii="Arial" w:cs="Arial" w:eastAsia="Arial" w:hAnsi="Arial"/>
            <w:sz w:val="14"/>
            <w:szCs w:val="14"/>
            <w:u w:val="single" w:color="auto"/>
            <w:color w:val="0000EE"/>
          </w:rPr>
          <w:t>by reference.)</w:t>
        </w:r>
      </w:hyperlink>
    </w:p>
    <w:p>
      <w:pPr>
        <w:spacing w:after="0" w:line="90" w:lineRule="exact"/>
        <w:rPr>
          <w:rFonts w:ascii="Arial" w:cs="Arial" w:eastAsia="Arial" w:hAnsi="Arial"/>
          <w:sz w:val="14"/>
          <w:szCs w:val="14"/>
          <w:u w:val="single" w:color="auto"/>
          <w:color w:val="0000EE"/>
        </w:rPr>
      </w:pPr>
    </w:p>
    <w:p>
      <w:pPr>
        <w:jc w:val="both"/>
        <w:ind w:right="3439"/>
        <w:spacing w:after="0" w:line="259" w:lineRule="auto"/>
        <w:rPr>
          <w:rFonts w:ascii="Arial" w:cs="Arial" w:eastAsia="Arial" w:hAnsi="Arial"/>
          <w:sz w:val="14"/>
          <w:szCs w:val="14"/>
          <w:u w:val="single" w:color="auto"/>
          <w:color w:val="0000EE"/>
        </w:rPr>
      </w:pPr>
      <w:hyperlink r:id="rId217">
        <w:r>
          <w:rPr>
            <w:rFonts w:ascii="Arial" w:cs="Arial" w:eastAsia="Arial" w:hAnsi="Arial"/>
            <w:sz w:val="14"/>
            <w:szCs w:val="14"/>
            <w:u w:val="single" w:color="auto"/>
            <w:color w:val="0000EE"/>
          </w:rPr>
          <w:t>Brighthouse Securities, LLC Sales Agreement. (Filed as Exhibit 1(b) with Registration</w:t>
        </w:r>
      </w:hyperlink>
      <w:r>
        <w:rPr>
          <w:rFonts w:ascii="Arial" w:cs="Arial" w:eastAsia="Arial" w:hAnsi="Arial"/>
          <w:sz w:val="14"/>
          <w:szCs w:val="14"/>
          <w:u w:val="single" w:color="auto"/>
          <w:color w:val="0000EE"/>
        </w:rPr>
        <w:t xml:space="preserve"> </w:t>
      </w:r>
      <w:hyperlink r:id="rId217">
        <w:r>
          <w:rPr>
            <w:rFonts w:ascii="Arial" w:cs="Arial" w:eastAsia="Arial" w:hAnsi="Arial"/>
            <w:sz w:val="14"/>
            <w:szCs w:val="14"/>
            <w:u w:val="single" w:color="auto"/>
            <w:color w:val="0000EE"/>
          </w:rPr>
          <w:t>Statement No. 333-217509 on Form S-3 on July 11, 2017 and incorporated herein by</w:t>
        </w:r>
      </w:hyperlink>
      <w:r>
        <w:rPr>
          <w:rFonts w:ascii="Arial" w:cs="Arial" w:eastAsia="Arial" w:hAnsi="Arial"/>
          <w:sz w:val="14"/>
          <w:szCs w:val="14"/>
          <w:u w:val="single" w:color="auto"/>
          <w:color w:val="0000EE"/>
        </w:rPr>
        <w:t xml:space="preserve"> </w:t>
      </w:r>
      <w:hyperlink r:id="rId217">
        <w:r>
          <w:rPr>
            <w:rFonts w:ascii="Arial" w:cs="Arial" w:eastAsia="Arial" w:hAnsi="Arial"/>
            <w:sz w:val="14"/>
            <w:szCs w:val="14"/>
            <w:u w:val="single" w:color="auto"/>
            <w:color w:val="0000EE"/>
          </w:rPr>
          <w:t>reference.)</w:t>
        </w:r>
      </w:hyperlink>
    </w:p>
    <w:p>
      <w:pPr>
        <w:spacing w:after="0" w:line="86" w:lineRule="exact"/>
        <w:rPr>
          <w:rFonts w:ascii="Arial" w:cs="Arial" w:eastAsia="Arial" w:hAnsi="Arial"/>
          <w:sz w:val="14"/>
          <w:szCs w:val="14"/>
          <w:u w:val="single" w:color="auto"/>
          <w:color w:val="0000EE"/>
        </w:rPr>
      </w:pPr>
    </w:p>
    <w:p>
      <w:pPr>
        <w:sectPr>
          <w:pgSz w:w="11900" w:h="16838" w:orient="portrait"/>
          <w:cols w:equalWidth="0" w:num="2">
            <w:col w:w="422" w:space="540"/>
            <w:col w:w="8619"/>
          </w:cols>
          <w:pgMar w:left="878" w:top="742" w:right="1440" w:bottom="1440" w:gutter="0" w:footer="0" w:header="0"/>
          <w:type w:val="continuous"/>
        </w:sectPr>
      </w:pPr>
    </w:p>
    <w:p>
      <w:pPr>
        <w:ind w:left="962" w:right="2839" w:hanging="959"/>
        <w:spacing w:after="0" w:line="259" w:lineRule="auto"/>
        <w:tabs>
          <w:tab w:leader="none" w:pos="941" w:val="left"/>
        </w:tabs>
        <w:rPr>
          <w:rFonts w:ascii="Arial" w:cs="Arial" w:eastAsia="Arial" w:hAnsi="Arial"/>
          <w:sz w:val="14"/>
          <w:szCs w:val="14"/>
          <w:u w:val="single" w:color="auto"/>
          <w:color w:val="0000EE"/>
        </w:rPr>
      </w:pPr>
      <w:r>
        <w:rPr>
          <w:rFonts w:ascii="Arial" w:cs="Arial" w:eastAsia="Arial" w:hAnsi="Arial"/>
          <w:sz w:val="14"/>
          <w:szCs w:val="14"/>
          <w:color w:val="auto"/>
        </w:rPr>
        <w:t>1(c).</w:t>
      </w:r>
      <w:r>
        <w:rPr>
          <w:sz w:val="20"/>
          <w:szCs w:val="20"/>
          <w:color w:val="auto"/>
        </w:rPr>
        <w:tab/>
      </w:r>
      <w:hyperlink r:id="rId218">
        <w:r>
          <w:rPr>
            <w:rFonts w:ascii="Arial" w:cs="Arial" w:eastAsia="Arial" w:hAnsi="Arial"/>
            <w:sz w:val="14"/>
            <w:szCs w:val="14"/>
            <w:u w:val="single" w:color="auto"/>
            <w:color w:val="0000EE"/>
          </w:rPr>
          <w:t>Form of Brighthouse Securities, LLC Sales Agreement [7-19-NY]. (Filed as Exhibit 1(c) with</w:t>
        </w:r>
      </w:hyperlink>
      <w:r>
        <w:rPr>
          <w:rFonts w:ascii="Arial" w:cs="Arial" w:eastAsia="Arial" w:hAnsi="Arial"/>
          <w:sz w:val="14"/>
          <w:szCs w:val="14"/>
          <w:u w:val="single" w:color="auto"/>
          <w:color w:val="0000EE"/>
        </w:rPr>
        <w:t xml:space="preserve"> </w:t>
      </w:r>
      <w:hyperlink r:id="rId218">
        <w:r>
          <w:rPr>
            <w:rFonts w:ascii="Arial" w:cs="Arial" w:eastAsia="Arial" w:hAnsi="Arial"/>
            <w:sz w:val="14"/>
            <w:szCs w:val="14"/>
            <w:u w:val="single" w:color="auto"/>
            <w:color w:val="0000EE"/>
          </w:rPr>
          <w:t>Registration Statement No. 333-263492 on Form S-3 on April 14, 2023 and incorporated herein</w:t>
        </w:r>
      </w:hyperlink>
      <w:r>
        <w:rPr>
          <w:rFonts w:ascii="Arial" w:cs="Arial" w:eastAsia="Arial" w:hAnsi="Arial"/>
          <w:sz w:val="14"/>
          <w:szCs w:val="14"/>
          <w:u w:val="single" w:color="auto"/>
          <w:color w:val="0000EE"/>
        </w:rPr>
        <w:t xml:space="preserve"> </w:t>
      </w:r>
      <w:hyperlink r:id="rId218">
        <w:r>
          <w:rPr>
            <w:rFonts w:ascii="Arial" w:cs="Arial" w:eastAsia="Arial" w:hAnsi="Arial"/>
            <w:sz w:val="14"/>
            <w:szCs w:val="14"/>
            <w:u w:val="single" w:color="auto"/>
            <w:color w:val="0000EE"/>
          </w:rPr>
          <w:t>by reference.)</w:t>
        </w:r>
      </w:hyperlink>
    </w:p>
    <w:p>
      <w:pPr>
        <w:spacing w:after="0" w:line="75" w:lineRule="exact"/>
        <w:rPr>
          <w:rFonts w:ascii="Arial" w:cs="Arial" w:eastAsia="Arial" w:hAnsi="Arial"/>
          <w:sz w:val="14"/>
          <w:szCs w:val="14"/>
          <w:u w:val="single" w:color="auto"/>
          <w:color w:val="0000EE"/>
        </w:rPr>
      </w:pPr>
    </w:p>
    <w:p>
      <w:pPr>
        <w:ind w:left="962" w:hanging="962"/>
        <w:spacing w:after="0"/>
        <w:tabs>
          <w:tab w:leader="none" w:pos="962" w:val="left"/>
        </w:tabs>
        <w:numPr>
          <w:ilvl w:val="0"/>
          <w:numId w:val="97"/>
        </w:numPr>
        <w:rPr>
          <w:rFonts w:ascii="Arial" w:cs="Arial" w:eastAsia="Arial" w:hAnsi="Arial"/>
          <w:sz w:val="14"/>
          <w:szCs w:val="14"/>
          <w:color w:val="auto"/>
        </w:rPr>
      </w:pPr>
      <w:r>
        <w:rPr>
          <w:rFonts w:ascii="Arial" w:cs="Arial" w:eastAsia="Arial" w:hAnsi="Arial"/>
          <w:sz w:val="14"/>
          <w:szCs w:val="14"/>
          <w:color w:val="auto"/>
        </w:rPr>
        <w:t>None.</w:t>
      </w:r>
    </w:p>
    <w:p>
      <w:pPr>
        <w:spacing w:after="0" w:line="117" w:lineRule="exact"/>
        <w:rPr>
          <w:rFonts w:ascii="Arial" w:cs="Arial" w:eastAsia="Arial" w:hAnsi="Arial"/>
          <w:sz w:val="14"/>
          <w:szCs w:val="14"/>
          <w:u w:val="single" w:color="auto"/>
          <w:color w:val="0000EE"/>
        </w:rPr>
      </w:pPr>
    </w:p>
    <w:p>
      <w:pPr>
        <w:ind w:left="2"/>
        <w:spacing w:after="0"/>
        <w:tabs>
          <w:tab w:leader="none" w:pos="941" w:val="left"/>
        </w:tabs>
        <w:rPr>
          <w:rFonts w:ascii="Arial" w:cs="Arial" w:eastAsia="Arial" w:hAnsi="Arial"/>
          <w:sz w:val="13"/>
          <w:szCs w:val="13"/>
          <w:u w:val="single" w:color="auto"/>
          <w:color w:val="0000EE"/>
        </w:rPr>
      </w:pPr>
      <w:r>
        <w:rPr>
          <w:rFonts w:ascii="Arial" w:cs="Arial" w:eastAsia="Arial" w:hAnsi="Arial"/>
          <w:sz w:val="14"/>
          <w:szCs w:val="14"/>
          <w:color w:val="auto"/>
        </w:rPr>
        <w:t>4(a)(1).</w:t>
      </w:r>
      <w:r>
        <w:rPr>
          <w:sz w:val="20"/>
          <w:szCs w:val="20"/>
          <w:color w:val="auto"/>
        </w:rPr>
        <w:tab/>
      </w:r>
      <w:hyperlink r:id="rId219">
        <w:r>
          <w:rPr>
            <w:rFonts w:ascii="Arial" w:cs="Arial" w:eastAsia="Arial" w:hAnsi="Arial"/>
            <w:sz w:val="13"/>
            <w:szCs w:val="13"/>
            <w:u w:val="single" w:color="auto"/>
            <w:color w:val="0000EE"/>
          </w:rPr>
          <w:t>Form of Contract [5-71-22 CV]. (Filed as Exhibit 4(a)(1) with Registration Statement No. 333-</w:t>
        </w:r>
      </w:hyperlink>
    </w:p>
    <w:p>
      <w:pPr>
        <w:spacing w:after="0" w:line="16" w:lineRule="exact"/>
        <w:rPr>
          <w:rFonts w:ascii="Arial" w:cs="Arial" w:eastAsia="Arial" w:hAnsi="Arial"/>
          <w:sz w:val="14"/>
          <w:szCs w:val="14"/>
          <w:u w:val="single" w:color="auto"/>
          <w:color w:val="0000EE"/>
        </w:rPr>
      </w:pPr>
    </w:p>
    <w:p>
      <w:pPr>
        <w:ind w:left="962"/>
        <w:spacing w:after="0"/>
        <w:rPr>
          <w:rFonts w:ascii="Arial" w:cs="Arial" w:eastAsia="Arial" w:hAnsi="Arial"/>
          <w:sz w:val="14"/>
          <w:szCs w:val="14"/>
          <w:u w:val="single" w:color="auto"/>
          <w:color w:val="0000EE"/>
        </w:rPr>
      </w:pPr>
      <w:hyperlink r:id="rId219">
        <w:r>
          <w:rPr>
            <w:rFonts w:ascii="Arial" w:cs="Arial" w:eastAsia="Arial" w:hAnsi="Arial"/>
            <w:sz w:val="14"/>
            <w:szCs w:val="14"/>
            <w:u w:val="single" w:color="auto"/>
            <w:color w:val="0000EE"/>
          </w:rPr>
          <w:t>268618 on Form S-3 on November 30, 2022 and incorporated herein by reference.)</w:t>
        </w:r>
      </w:hyperlink>
    </w:p>
    <w:p>
      <w:pPr>
        <w:spacing w:after="0" w:line="94" w:lineRule="exact"/>
        <w:rPr>
          <w:rFonts w:ascii="Arial" w:cs="Arial" w:eastAsia="Arial" w:hAnsi="Arial"/>
          <w:sz w:val="14"/>
          <w:szCs w:val="14"/>
          <w:u w:val="single" w:color="auto"/>
          <w:color w:val="0000EE"/>
        </w:rPr>
      </w:pPr>
    </w:p>
    <w:p>
      <w:pPr>
        <w:jc w:val="right"/>
        <w:ind w:left="2" w:right="3039"/>
        <w:spacing w:after="0" w:line="273" w:lineRule="auto"/>
        <w:rPr>
          <w:rFonts w:ascii="Arial" w:cs="Arial" w:eastAsia="Arial" w:hAnsi="Arial"/>
          <w:sz w:val="14"/>
          <w:szCs w:val="14"/>
          <w:u w:val="single" w:color="auto"/>
          <w:color w:val="0000EE"/>
        </w:rPr>
      </w:pPr>
      <w:r>
        <w:rPr>
          <w:rFonts w:ascii="Arial" w:cs="Arial" w:eastAsia="Arial" w:hAnsi="Arial"/>
          <w:sz w:val="14"/>
          <w:szCs w:val="14"/>
          <w:color w:val="auto"/>
        </w:rPr>
        <w:t xml:space="preserve">4(a)(2).       </w:t>
      </w:r>
      <w:hyperlink r:id="rId220">
        <w:r>
          <w:rPr>
            <w:rFonts w:ascii="Arial" w:cs="Arial" w:eastAsia="Arial" w:hAnsi="Arial"/>
            <w:sz w:val="14"/>
            <w:szCs w:val="14"/>
            <w:u w:val="single" w:color="auto"/>
            <w:color w:val="0000EE"/>
          </w:rPr>
          <w:t>Form of Policy Specifications [5-71-22]. (Filed as Exhibit 4(a)(2) with Registration Statement</w:t>
        </w:r>
      </w:hyperlink>
      <w:r>
        <w:rPr>
          <w:rFonts w:ascii="Arial" w:cs="Arial" w:eastAsia="Arial" w:hAnsi="Arial"/>
          <w:sz w:val="14"/>
          <w:szCs w:val="14"/>
          <w:color w:val="auto"/>
        </w:rPr>
        <w:t xml:space="preserve"> </w:t>
      </w:r>
      <w:hyperlink r:id="rId220">
        <w:r>
          <w:rPr>
            <w:rFonts w:ascii="Arial" w:cs="Arial" w:eastAsia="Arial" w:hAnsi="Arial"/>
            <w:sz w:val="14"/>
            <w:szCs w:val="14"/>
            <w:u w:val="single" w:color="auto"/>
            <w:color w:val="0000EE"/>
          </w:rPr>
          <w:t>No. 333-268618 on Form S-3 on November 30, 2022 and incorporated herein by reference.)</w:t>
        </w:r>
      </w:hyperlink>
    </w:p>
    <w:p>
      <w:pPr>
        <w:spacing w:after="0" w:line="76" w:lineRule="exact"/>
        <w:rPr>
          <w:sz w:val="20"/>
          <w:szCs w:val="20"/>
          <w:color w:val="auto"/>
        </w:rPr>
      </w:pPr>
    </w:p>
    <w:p>
      <w:pPr>
        <w:ind w:left="962" w:right="3079" w:hanging="959"/>
        <w:spacing w:after="0" w:line="259" w:lineRule="auto"/>
        <w:tabs>
          <w:tab w:leader="none" w:pos="941" w:val="left"/>
        </w:tabs>
        <w:rPr>
          <w:rFonts w:ascii="Arial" w:cs="Arial" w:eastAsia="Arial" w:hAnsi="Arial"/>
          <w:sz w:val="14"/>
          <w:szCs w:val="14"/>
          <w:u w:val="single" w:color="auto"/>
          <w:color w:val="0000EE"/>
        </w:rPr>
      </w:pPr>
      <w:r>
        <w:rPr>
          <w:rFonts w:ascii="Arial" w:cs="Arial" w:eastAsia="Arial" w:hAnsi="Arial"/>
          <w:sz w:val="14"/>
          <w:szCs w:val="14"/>
          <w:color w:val="auto"/>
        </w:rPr>
        <w:t>4(b).</w:t>
      </w:r>
      <w:r>
        <w:rPr>
          <w:sz w:val="20"/>
          <w:szCs w:val="20"/>
          <w:color w:val="auto"/>
        </w:rPr>
        <w:tab/>
      </w:r>
      <w:hyperlink r:id="rId221">
        <w:r>
          <w:rPr>
            <w:rFonts w:ascii="Arial" w:cs="Arial" w:eastAsia="Arial" w:hAnsi="Arial"/>
            <w:sz w:val="14"/>
            <w:szCs w:val="14"/>
            <w:u w:val="single" w:color="auto"/>
            <w:color w:val="0000EE"/>
          </w:rPr>
          <w:t>Form of Guaranteed Distribution Rider [5GDR-22]. (Filed as Exhibit 4(b) with Registration</w:t>
        </w:r>
      </w:hyperlink>
      <w:r>
        <w:rPr>
          <w:rFonts w:ascii="Arial" w:cs="Arial" w:eastAsia="Arial" w:hAnsi="Arial"/>
          <w:sz w:val="14"/>
          <w:szCs w:val="14"/>
          <w:u w:val="single" w:color="auto"/>
          <w:color w:val="0000EE"/>
        </w:rPr>
        <w:t xml:space="preserve"> </w:t>
      </w:r>
      <w:hyperlink r:id="rId221">
        <w:r>
          <w:rPr>
            <w:rFonts w:ascii="Arial" w:cs="Arial" w:eastAsia="Arial" w:hAnsi="Arial"/>
            <w:sz w:val="14"/>
            <w:szCs w:val="14"/>
            <w:u w:val="single" w:color="auto"/>
            <w:color w:val="0000EE"/>
          </w:rPr>
          <w:t>Statement No. 333-268618 on Form S-3 on November 30, 2022 and incorporated herein by</w:t>
        </w:r>
      </w:hyperlink>
      <w:r>
        <w:rPr>
          <w:rFonts w:ascii="Arial" w:cs="Arial" w:eastAsia="Arial" w:hAnsi="Arial"/>
          <w:sz w:val="14"/>
          <w:szCs w:val="14"/>
          <w:u w:val="single" w:color="auto"/>
          <w:color w:val="0000EE"/>
        </w:rPr>
        <w:t xml:space="preserve"> </w:t>
      </w:r>
      <w:hyperlink r:id="rId221">
        <w:r>
          <w:rPr>
            <w:rFonts w:ascii="Arial" w:cs="Arial" w:eastAsia="Arial" w:hAnsi="Arial"/>
            <w:sz w:val="14"/>
            <w:szCs w:val="14"/>
            <w:u w:val="single" w:color="auto"/>
            <w:color w:val="0000EE"/>
          </w:rPr>
          <w:t>reference.)</w:t>
        </w:r>
      </w:hyperlink>
    </w:p>
    <w:p>
      <w:pPr>
        <w:spacing w:after="0" w:line="86" w:lineRule="exact"/>
        <w:rPr>
          <w:rFonts w:ascii="Arial" w:cs="Arial" w:eastAsia="Arial" w:hAnsi="Arial"/>
          <w:sz w:val="14"/>
          <w:szCs w:val="14"/>
          <w:u w:val="single" w:color="auto"/>
          <w:color w:val="0000EE"/>
        </w:rPr>
      </w:pPr>
    </w:p>
    <w:p>
      <w:pPr>
        <w:ind w:left="962" w:hanging="962"/>
        <w:spacing w:after="0"/>
        <w:tabs>
          <w:tab w:leader="none" w:pos="962" w:val="left"/>
        </w:tabs>
        <w:numPr>
          <w:ilvl w:val="0"/>
          <w:numId w:val="98"/>
        </w:numPr>
        <w:rPr>
          <w:rFonts w:ascii="Arial" w:cs="Arial" w:eastAsia="Arial" w:hAnsi="Arial"/>
          <w:sz w:val="14"/>
          <w:szCs w:val="14"/>
          <w:color w:val="auto"/>
        </w:rPr>
      </w:pPr>
      <w:r>
        <w:rPr>
          <w:rFonts w:ascii="Arial" w:cs="Arial" w:eastAsia="Arial" w:hAnsi="Arial"/>
          <w:sz w:val="14"/>
          <w:szCs w:val="14"/>
          <w:color w:val="auto"/>
        </w:rPr>
        <w:t>Opinion and Consent of Counsel. (To be filed by Amendment.)</w:t>
      </w:r>
    </w:p>
    <w:p>
      <w:pPr>
        <w:spacing w:after="0" w:line="106" w:lineRule="exact"/>
        <w:rPr>
          <w:rFonts w:ascii="Arial" w:cs="Arial" w:eastAsia="Arial" w:hAnsi="Arial"/>
          <w:sz w:val="14"/>
          <w:szCs w:val="14"/>
          <w:u w:val="single" w:color="auto"/>
          <w:color w:val="0000EE"/>
        </w:rPr>
      </w:pPr>
    </w:p>
    <w:p>
      <w:pPr>
        <w:ind w:left="962" w:hanging="962"/>
        <w:spacing w:after="0"/>
        <w:tabs>
          <w:tab w:leader="none" w:pos="962" w:val="left"/>
        </w:tabs>
        <w:numPr>
          <w:ilvl w:val="0"/>
          <w:numId w:val="99"/>
        </w:numPr>
        <w:rPr>
          <w:rFonts w:ascii="Arial" w:cs="Arial" w:eastAsia="Arial" w:hAnsi="Arial"/>
          <w:sz w:val="14"/>
          <w:szCs w:val="14"/>
          <w:color w:val="auto"/>
        </w:rPr>
      </w:pPr>
      <w:r>
        <w:rPr>
          <w:rFonts w:ascii="Arial" w:cs="Arial" w:eastAsia="Arial" w:hAnsi="Arial"/>
          <w:sz w:val="14"/>
          <w:szCs w:val="14"/>
          <w:color w:val="auto"/>
        </w:rPr>
        <w:t>None.</w:t>
      </w:r>
    </w:p>
    <w:p>
      <w:pPr>
        <w:spacing w:after="0" w:line="117" w:lineRule="exact"/>
        <w:rPr>
          <w:rFonts w:ascii="Arial" w:cs="Arial" w:eastAsia="Arial" w:hAnsi="Arial"/>
          <w:sz w:val="14"/>
          <w:szCs w:val="14"/>
          <w:u w:val="single" w:color="auto"/>
          <w:color w:val="0000EE"/>
        </w:rPr>
      </w:pPr>
    </w:p>
    <w:p>
      <w:pPr>
        <w:ind w:left="962" w:hanging="962"/>
        <w:spacing w:after="0"/>
        <w:tabs>
          <w:tab w:leader="none" w:pos="962" w:val="left"/>
        </w:tabs>
        <w:numPr>
          <w:ilvl w:val="0"/>
          <w:numId w:val="100"/>
        </w:numPr>
        <w:rPr>
          <w:rFonts w:ascii="Arial" w:cs="Arial" w:eastAsia="Arial" w:hAnsi="Arial"/>
          <w:sz w:val="14"/>
          <w:szCs w:val="14"/>
          <w:color w:val="auto"/>
        </w:rPr>
      </w:pPr>
      <w:r>
        <w:rPr>
          <w:rFonts w:ascii="Arial" w:cs="Arial" w:eastAsia="Arial" w:hAnsi="Arial"/>
          <w:sz w:val="14"/>
          <w:szCs w:val="14"/>
          <w:color w:val="auto"/>
        </w:rPr>
        <w:t>None.</w:t>
      </w:r>
    </w:p>
    <w:p>
      <w:pPr>
        <w:spacing w:after="0" w:line="117" w:lineRule="exact"/>
        <w:rPr>
          <w:rFonts w:ascii="Arial" w:cs="Arial" w:eastAsia="Arial" w:hAnsi="Arial"/>
          <w:sz w:val="14"/>
          <w:szCs w:val="14"/>
          <w:u w:val="single" w:color="auto"/>
          <w:color w:val="0000EE"/>
        </w:rPr>
      </w:pPr>
    </w:p>
    <w:p>
      <w:pPr>
        <w:ind w:left="962" w:hanging="962"/>
        <w:spacing w:after="0"/>
        <w:tabs>
          <w:tab w:leader="none" w:pos="962" w:val="left"/>
        </w:tabs>
        <w:numPr>
          <w:ilvl w:val="0"/>
          <w:numId w:val="101"/>
        </w:numPr>
        <w:rPr>
          <w:rFonts w:ascii="Arial" w:cs="Arial" w:eastAsia="Arial" w:hAnsi="Arial"/>
          <w:sz w:val="14"/>
          <w:szCs w:val="14"/>
          <w:color w:val="auto"/>
        </w:rPr>
      </w:pPr>
      <w:r>
        <w:rPr>
          <w:rFonts w:ascii="Arial" w:cs="Arial" w:eastAsia="Arial" w:hAnsi="Arial"/>
          <w:sz w:val="14"/>
          <w:szCs w:val="14"/>
          <w:color w:val="auto"/>
        </w:rPr>
        <w:t>None.</w:t>
      </w:r>
    </w:p>
    <w:p>
      <w:pPr>
        <w:spacing w:after="0" w:line="106" w:lineRule="exact"/>
        <w:rPr>
          <w:rFonts w:ascii="Arial" w:cs="Arial" w:eastAsia="Arial" w:hAnsi="Arial"/>
          <w:sz w:val="14"/>
          <w:szCs w:val="14"/>
          <w:color w:val="auto"/>
        </w:rPr>
      </w:pPr>
    </w:p>
    <w:p>
      <w:pPr>
        <w:ind w:left="962" w:hanging="962"/>
        <w:spacing w:after="0"/>
        <w:tabs>
          <w:tab w:leader="none" w:pos="962" w:val="left"/>
        </w:tabs>
        <w:numPr>
          <w:ilvl w:val="0"/>
          <w:numId w:val="101"/>
        </w:numPr>
        <w:rPr>
          <w:rFonts w:ascii="Arial" w:cs="Arial" w:eastAsia="Arial" w:hAnsi="Arial"/>
          <w:sz w:val="14"/>
          <w:szCs w:val="14"/>
          <w:color w:val="auto"/>
        </w:rPr>
      </w:pPr>
      <w:r>
        <w:rPr>
          <w:rFonts w:ascii="Arial" w:cs="Arial" w:eastAsia="Arial" w:hAnsi="Arial"/>
          <w:sz w:val="14"/>
          <w:szCs w:val="14"/>
          <w:color w:val="auto"/>
        </w:rPr>
        <w:t>Consent of Independent Registered Public Accounting Firm. (To be filed by Amendment.)</w:t>
      </w:r>
    </w:p>
    <w:p>
      <w:pPr>
        <w:spacing w:after="0" w:line="116" w:lineRule="exact"/>
        <w:rPr>
          <w:rFonts w:ascii="Arial" w:cs="Arial" w:eastAsia="Arial" w:hAnsi="Arial"/>
          <w:sz w:val="14"/>
          <w:szCs w:val="14"/>
          <w:color w:val="auto"/>
        </w:rPr>
      </w:pPr>
    </w:p>
    <w:p>
      <w:pPr>
        <w:ind w:left="962" w:right="3179" w:hanging="962"/>
        <w:spacing w:after="0" w:line="259" w:lineRule="auto"/>
        <w:tabs>
          <w:tab w:leader="none" w:pos="962" w:val="left"/>
        </w:tabs>
        <w:numPr>
          <w:ilvl w:val="0"/>
          <w:numId w:val="101"/>
        </w:numPr>
        <w:rPr>
          <w:rFonts w:ascii="Arial" w:cs="Arial" w:eastAsia="Arial" w:hAnsi="Arial"/>
          <w:sz w:val="14"/>
          <w:szCs w:val="14"/>
          <w:color w:val="auto"/>
        </w:rPr>
      </w:pPr>
      <w:r>
        <w:rPr>
          <w:rFonts w:ascii="Arial" w:cs="Arial" w:eastAsia="Arial" w:hAnsi="Arial"/>
          <w:sz w:val="14"/>
          <w:szCs w:val="14"/>
          <w:u w:val="single" w:color="auto"/>
          <w:color w:val="0000EE"/>
        </w:rPr>
        <w:t>Powers of Attorney for Eric Steigerwalt, Myles Lambert, David A. Rosenbaum, Jonathan Rosenthal, Edward A. Spehar, Melissa B. Pavlovich, and Gianna H. Figaro-Sterling. (Filed herewith.)</w:t>
      </w:r>
    </w:p>
    <w:p>
      <w:pPr>
        <w:sectPr>
          <w:pgSz w:w="11900" w:h="16838" w:orient="portrait"/>
          <w:cols w:equalWidth="0" w:num="1">
            <w:col w:w="9581"/>
          </w:cols>
          <w:pgMar w:left="878" w:top="742" w:right="1440" w:bottom="1440" w:gutter="0" w:footer="0" w:header="0"/>
          <w:type w:val="continuous"/>
        </w:sectPr>
      </w:pPr>
    </w:p>
    <w:bookmarkStart w:id="96" w:name="page97"/>
    <w:bookmarkEnd w:id="96"/>
    <w:p>
      <w:pPr>
        <w:ind w:left="582"/>
        <w:spacing w:after="0"/>
        <w:rPr>
          <w:sz w:val="20"/>
          <w:szCs w:val="20"/>
          <w:color w:val="auto"/>
        </w:rPr>
      </w:pPr>
      <w:r>
        <w:rPr>
          <w:rFonts w:ascii="Arial" w:cs="Arial" w:eastAsia="Arial" w:hAnsi="Arial"/>
          <w:sz w:val="11"/>
          <w:szCs w:val="11"/>
          <w:b w:val="1"/>
          <w:bCs w:val="1"/>
          <w:color w:val="auto"/>
        </w:rPr>
        <w:drawing>
          <wp:anchor simplePos="0" relativeHeight="251657728" behindDoc="1" locked="0" layoutInCell="0" allowOverlap="1">
            <wp:simplePos x="0" y="0"/>
            <wp:positionH relativeFrom="page">
              <wp:posOffset>179070</wp:posOffset>
            </wp:positionH>
            <wp:positionV relativeFrom="page">
              <wp:posOffset>121920</wp:posOffset>
            </wp:positionV>
            <wp:extent cx="719010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2">
                      <a:extLst>
                        <a:ext uri="{28A0092B-C50C-407E-A947-70E740481C1C}"/>
                      </a:extLst>
                    </a:blip>
                    <a:srcRect/>
                    <a:stretch>
                      <a:fillRect/>
                    </a:stretch>
                  </pic:blipFill>
                  <pic:spPr bwMode="auto">
                    <a:xfrm>
                      <a:off x="0" y="0"/>
                      <a:ext cx="7190105" cy="38735"/>
                    </a:xfrm>
                    <a:prstGeom prst="rect">
                      <a:avLst/>
                    </a:prstGeom>
                    <a:noFill/>
                  </pic:spPr>
                </pic:pic>
              </a:graphicData>
            </a:graphic>
          </wp:anchor>
        </w:drawing>
        <w:t>Exhibit</w:t>
      </w:r>
    </w:p>
    <w:p>
      <w:pPr>
        <w:spacing w:after="0" w:line="28" w:lineRule="exact"/>
        <w:rPr>
          <w:sz w:val="20"/>
          <w:szCs w:val="20"/>
          <w:color w:val="auto"/>
        </w:rPr>
      </w:pPr>
    </w:p>
    <w:p>
      <w:pPr>
        <w:ind w:left="542"/>
        <w:spacing w:after="0"/>
        <w:tabs>
          <w:tab w:leader="none" w:pos="1521" w:val="left"/>
        </w:tabs>
        <w:rPr>
          <w:sz w:val="20"/>
          <w:szCs w:val="20"/>
          <w:color w:val="auto"/>
        </w:rPr>
      </w:pPr>
      <w:r>
        <w:rPr>
          <w:rFonts w:ascii="Arial" w:cs="Arial" w:eastAsia="Arial" w:hAnsi="Arial"/>
          <w:sz w:val="11"/>
          <w:szCs w:val="11"/>
          <w:b w:val="1"/>
          <w:bCs w:val="1"/>
          <w:u w:val="single" w:color="auto"/>
          <w:color w:val="auto"/>
        </w:rPr>
        <w:t>Number</w:t>
      </w:r>
      <w:r>
        <w:rPr>
          <w:sz w:val="20"/>
          <w:szCs w:val="20"/>
          <w:color w:val="auto"/>
        </w:rPr>
        <w:tab/>
      </w:r>
      <w:r>
        <w:rPr>
          <w:rFonts w:ascii="Arial" w:cs="Arial" w:eastAsia="Arial" w:hAnsi="Arial"/>
          <w:sz w:val="11"/>
          <w:szCs w:val="11"/>
          <w:b w:val="1"/>
          <w:bCs w:val="1"/>
          <w:u w:val="single" w:color="auto"/>
          <w:color w:val="auto"/>
        </w:rPr>
        <w:t>Description</w:t>
      </w:r>
    </w:p>
    <w:p>
      <w:pPr>
        <w:spacing w:after="0" w:line="166" w:lineRule="exact"/>
        <w:rPr>
          <w:sz w:val="20"/>
          <w:szCs w:val="20"/>
          <w:color w:val="auto"/>
        </w:rPr>
      </w:pPr>
    </w:p>
    <w:p>
      <w:pPr>
        <w:ind w:left="962" w:hanging="962"/>
        <w:spacing w:after="0"/>
        <w:tabs>
          <w:tab w:leader="none" w:pos="962" w:val="left"/>
        </w:tabs>
        <w:numPr>
          <w:ilvl w:val="0"/>
          <w:numId w:val="102"/>
        </w:numPr>
        <w:rPr>
          <w:rFonts w:ascii="Arial" w:cs="Arial" w:eastAsia="Arial" w:hAnsi="Arial"/>
          <w:sz w:val="14"/>
          <w:szCs w:val="14"/>
          <w:color w:val="auto"/>
        </w:rPr>
      </w:pPr>
      <w:r>
        <w:rPr>
          <w:rFonts w:ascii="Arial" w:cs="Arial" w:eastAsia="Arial" w:hAnsi="Arial"/>
          <w:sz w:val="14"/>
          <w:szCs w:val="14"/>
          <w:color w:val="auto"/>
        </w:rPr>
        <w:t>None.</w:t>
      </w:r>
    </w:p>
    <w:p>
      <w:pPr>
        <w:spacing w:after="0" w:line="127" w:lineRule="exact"/>
        <w:rPr>
          <w:sz w:val="20"/>
          <w:szCs w:val="20"/>
          <w:color w:val="auto"/>
        </w:rPr>
      </w:pPr>
    </w:p>
    <w:p>
      <w:pPr>
        <w:ind w:left="962" w:hanging="962"/>
        <w:spacing w:after="0"/>
        <w:tabs>
          <w:tab w:leader="none" w:pos="962" w:val="left"/>
        </w:tabs>
        <w:numPr>
          <w:ilvl w:val="0"/>
          <w:numId w:val="103"/>
        </w:numPr>
        <w:rPr>
          <w:rFonts w:ascii="Arial" w:cs="Arial" w:eastAsia="Arial" w:hAnsi="Arial"/>
          <w:sz w:val="14"/>
          <w:szCs w:val="14"/>
          <w:color w:val="auto"/>
        </w:rPr>
      </w:pPr>
      <w:r>
        <w:rPr>
          <w:rFonts w:ascii="Arial" w:cs="Arial" w:eastAsia="Arial" w:hAnsi="Arial"/>
          <w:sz w:val="14"/>
          <w:szCs w:val="14"/>
          <w:color w:val="auto"/>
        </w:rPr>
        <w:t>None.</w:t>
      </w:r>
    </w:p>
    <w:p>
      <w:pPr>
        <w:spacing w:after="0" w:line="117" w:lineRule="exact"/>
        <w:rPr>
          <w:sz w:val="20"/>
          <w:szCs w:val="20"/>
          <w:color w:val="auto"/>
        </w:rPr>
      </w:pPr>
    </w:p>
    <w:p>
      <w:pPr>
        <w:ind w:left="962" w:hanging="962"/>
        <w:spacing w:after="0"/>
        <w:tabs>
          <w:tab w:leader="none" w:pos="962" w:val="left"/>
        </w:tabs>
        <w:numPr>
          <w:ilvl w:val="0"/>
          <w:numId w:val="104"/>
        </w:numPr>
        <w:rPr>
          <w:rFonts w:ascii="Arial" w:cs="Arial" w:eastAsia="Arial" w:hAnsi="Arial"/>
          <w:sz w:val="14"/>
          <w:szCs w:val="14"/>
          <w:color w:val="auto"/>
        </w:rPr>
      </w:pPr>
      <w:r>
        <w:rPr>
          <w:rFonts w:ascii="Arial" w:cs="Arial" w:eastAsia="Arial" w:hAnsi="Arial"/>
          <w:sz w:val="14"/>
          <w:szCs w:val="14"/>
          <w:color w:val="auto"/>
        </w:rPr>
        <w:t>None.</w:t>
      </w:r>
    </w:p>
    <w:p>
      <w:pPr>
        <w:spacing w:after="0" w:line="117" w:lineRule="exact"/>
        <w:rPr>
          <w:sz w:val="20"/>
          <w:szCs w:val="20"/>
          <w:color w:val="auto"/>
        </w:rPr>
      </w:pPr>
    </w:p>
    <w:p>
      <w:pPr>
        <w:ind w:left="962" w:hanging="962"/>
        <w:spacing w:after="0"/>
        <w:tabs>
          <w:tab w:leader="none" w:pos="962" w:val="left"/>
        </w:tabs>
        <w:numPr>
          <w:ilvl w:val="0"/>
          <w:numId w:val="105"/>
        </w:numPr>
        <w:rPr>
          <w:rFonts w:ascii="Arial" w:cs="Arial" w:eastAsia="Arial" w:hAnsi="Arial"/>
          <w:sz w:val="14"/>
          <w:szCs w:val="14"/>
          <w:color w:val="auto"/>
        </w:rPr>
      </w:pPr>
      <w:r>
        <w:rPr>
          <w:rFonts w:ascii="Arial" w:cs="Arial" w:eastAsia="Arial" w:hAnsi="Arial"/>
          <w:sz w:val="14"/>
          <w:szCs w:val="14"/>
          <w:color w:val="auto"/>
        </w:rPr>
        <w:t>None.</w:t>
      </w:r>
    </w:p>
    <w:p>
      <w:pPr>
        <w:spacing w:after="0" w:line="127" w:lineRule="exact"/>
        <w:rPr>
          <w:sz w:val="20"/>
          <w:szCs w:val="20"/>
          <w:color w:val="auto"/>
        </w:rPr>
      </w:pPr>
    </w:p>
    <w:p>
      <w:pPr>
        <w:ind w:left="962" w:hanging="962"/>
        <w:spacing w:after="0"/>
        <w:tabs>
          <w:tab w:leader="none" w:pos="962" w:val="left"/>
        </w:tabs>
        <w:numPr>
          <w:ilvl w:val="0"/>
          <w:numId w:val="106"/>
        </w:numPr>
        <w:rPr>
          <w:rFonts w:ascii="Arial" w:cs="Arial" w:eastAsia="Arial" w:hAnsi="Arial"/>
          <w:sz w:val="14"/>
          <w:szCs w:val="14"/>
          <w:color w:val="auto"/>
        </w:rPr>
      </w:pPr>
      <w:r>
        <w:rPr>
          <w:rFonts w:ascii="Arial" w:cs="Arial" w:eastAsia="Arial" w:hAnsi="Arial"/>
          <w:sz w:val="14"/>
          <w:szCs w:val="14"/>
          <w:u w:val="single" w:color="auto"/>
          <w:color w:val="0000EE"/>
        </w:rPr>
        <w:t>Filing Fee Table. (Filed herewith.)</w:t>
      </w:r>
    </w:p>
    <w:p>
      <w:pPr>
        <w:spacing w:after="0" w:line="166" w:lineRule="exact"/>
        <w:rPr>
          <w:sz w:val="20"/>
          <w:szCs w:val="20"/>
          <w:color w:val="auto"/>
        </w:rPr>
      </w:pPr>
    </w:p>
    <w:p>
      <w:pPr>
        <w:ind w:left="2"/>
        <w:spacing w:after="0"/>
        <w:rPr>
          <w:sz w:val="20"/>
          <w:szCs w:val="20"/>
          <w:color w:val="auto"/>
        </w:rPr>
      </w:pPr>
      <w:r>
        <w:rPr>
          <w:rFonts w:ascii="Arial" w:cs="Arial" w:eastAsia="Arial" w:hAnsi="Arial"/>
          <w:sz w:val="14"/>
          <w:szCs w:val="14"/>
          <w:b w:val="1"/>
          <w:bCs w:val="1"/>
          <w:color w:val="auto"/>
        </w:rPr>
        <w:t>Item 17. Undertakings</w:t>
      </w:r>
    </w:p>
    <w:p>
      <w:pPr>
        <w:spacing w:after="0" w:line="98" w:lineRule="exact"/>
        <w:rPr>
          <w:sz w:val="20"/>
          <w:szCs w:val="20"/>
          <w:color w:val="auto"/>
        </w:rPr>
      </w:pPr>
    </w:p>
    <w:p>
      <w:pPr>
        <w:ind w:left="2"/>
        <w:spacing w:after="0"/>
        <w:rPr>
          <w:sz w:val="20"/>
          <w:szCs w:val="20"/>
          <w:color w:val="auto"/>
        </w:rPr>
      </w:pPr>
      <w:r>
        <w:rPr>
          <w:rFonts w:ascii="Arial" w:cs="Arial" w:eastAsia="Arial" w:hAnsi="Arial"/>
          <w:sz w:val="14"/>
          <w:szCs w:val="14"/>
          <w:color w:val="auto"/>
        </w:rPr>
        <w:t>The undersigned registrant hereby undertakes as follows, pursuant to Item 512 of Regulation S-K:</w:t>
      </w:r>
    </w:p>
    <w:p>
      <w:pPr>
        <w:spacing w:after="0" w:line="96" w:lineRule="exact"/>
        <w:rPr>
          <w:sz w:val="20"/>
          <w:szCs w:val="20"/>
          <w:color w:val="auto"/>
        </w:rPr>
      </w:pPr>
    </w:p>
    <w:p>
      <w:pPr>
        <w:ind w:left="322" w:right="2659" w:hanging="322"/>
        <w:spacing w:after="0" w:line="273" w:lineRule="auto"/>
        <w:tabs>
          <w:tab w:leader="none" w:pos="322" w:val="left"/>
        </w:tabs>
        <w:numPr>
          <w:ilvl w:val="0"/>
          <w:numId w:val="107"/>
        </w:numPr>
        <w:rPr>
          <w:rFonts w:ascii="Arial" w:cs="Arial" w:eastAsia="Arial" w:hAnsi="Arial"/>
          <w:sz w:val="14"/>
          <w:szCs w:val="14"/>
          <w:color w:val="auto"/>
        </w:rPr>
      </w:pPr>
      <w:r>
        <w:rPr>
          <w:rFonts w:ascii="Arial" w:cs="Arial" w:eastAsia="Arial" w:hAnsi="Arial"/>
          <w:sz w:val="14"/>
          <w:szCs w:val="14"/>
          <w:color w:val="auto"/>
        </w:rPr>
        <w:t>To file, during any period in which offers or sales of the registered securities are being made, a post-effective amendment to this registration statement:</w:t>
      </w:r>
    </w:p>
    <w:p>
      <w:pPr>
        <w:spacing w:after="0" w:line="45" w:lineRule="exact"/>
        <w:rPr>
          <w:rFonts w:ascii="Arial" w:cs="Arial" w:eastAsia="Arial" w:hAnsi="Arial"/>
          <w:sz w:val="14"/>
          <w:szCs w:val="14"/>
          <w:color w:val="auto"/>
        </w:rPr>
      </w:pPr>
    </w:p>
    <w:p>
      <w:pPr>
        <w:ind w:left="822" w:hanging="493"/>
        <w:spacing w:after="0"/>
        <w:tabs>
          <w:tab w:leader="none" w:pos="822" w:val="left"/>
        </w:tabs>
        <w:numPr>
          <w:ilvl w:val="1"/>
          <w:numId w:val="107"/>
        </w:numPr>
        <w:rPr>
          <w:rFonts w:ascii="Arial" w:cs="Arial" w:eastAsia="Arial" w:hAnsi="Arial"/>
          <w:sz w:val="14"/>
          <w:szCs w:val="14"/>
          <w:color w:val="auto"/>
        </w:rPr>
      </w:pPr>
      <w:r>
        <w:rPr>
          <w:rFonts w:ascii="Arial" w:cs="Arial" w:eastAsia="Arial" w:hAnsi="Arial"/>
          <w:sz w:val="14"/>
          <w:szCs w:val="14"/>
          <w:color w:val="auto"/>
        </w:rPr>
        <w:t>to include any prospectus required by Section 10(a)(3) of the Securities Act of 1933;</w:t>
      </w:r>
    </w:p>
    <w:p>
      <w:pPr>
        <w:spacing w:after="0" w:line="96" w:lineRule="exact"/>
        <w:rPr>
          <w:rFonts w:ascii="Arial" w:cs="Arial" w:eastAsia="Arial" w:hAnsi="Arial"/>
          <w:sz w:val="14"/>
          <w:szCs w:val="14"/>
          <w:color w:val="auto"/>
        </w:rPr>
      </w:pPr>
    </w:p>
    <w:p>
      <w:pPr>
        <w:ind w:left="822" w:right="2659" w:hanging="493"/>
        <w:spacing w:after="0" w:line="248" w:lineRule="auto"/>
        <w:tabs>
          <w:tab w:leader="none" w:pos="822" w:val="left"/>
        </w:tabs>
        <w:numPr>
          <w:ilvl w:val="1"/>
          <w:numId w:val="107"/>
        </w:numPr>
        <w:rPr>
          <w:rFonts w:ascii="Arial" w:cs="Arial" w:eastAsia="Arial" w:hAnsi="Arial"/>
          <w:sz w:val="14"/>
          <w:szCs w:val="14"/>
          <w:color w:val="auto"/>
        </w:rPr>
      </w:pPr>
      <w:r>
        <w:rPr>
          <w:rFonts w:ascii="Arial" w:cs="Arial" w:eastAsia="Arial" w:hAnsi="Arial"/>
          <w:sz w:val="14"/>
          <w:szCs w:val="14"/>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set represent no more than 20 percent change in the maximum aggregate offering price set forth in the “Calculation of Registration Fee” table in the effective registration statement, and</w:t>
      </w:r>
    </w:p>
    <w:p>
      <w:pPr>
        <w:spacing w:after="0" w:line="74" w:lineRule="exact"/>
        <w:rPr>
          <w:rFonts w:ascii="Arial" w:cs="Arial" w:eastAsia="Arial" w:hAnsi="Arial"/>
          <w:sz w:val="14"/>
          <w:szCs w:val="14"/>
          <w:color w:val="auto"/>
        </w:rPr>
      </w:pPr>
    </w:p>
    <w:p>
      <w:pPr>
        <w:ind w:left="822" w:right="2739" w:hanging="493"/>
        <w:spacing w:after="0" w:line="313" w:lineRule="auto"/>
        <w:tabs>
          <w:tab w:leader="none" w:pos="822" w:val="left"/>
        </w:tabs>
        <w:numPr>
          <w:ilvl w:val="1"/>
          <w:numId w:val="107"/>
        </w:numPr>
        <w:rPr>
          <w:rFonts w:ascii="Arial" w:cs="Arial" w:eastAsia="Arial" w:hAnsi="Arial"/>
          <w:sz w:val="13"/>
          <w:szCs w:val="13"/>
          <w:color w:val="auto"/>
        </w:rPr>
      </w:pPr>
      <w:r>
        <w:rPr>
          <w:rFonts w:ascii="Arial" w:cs="Arial" w:eastAsia="Arial" w:hAnsi="Arial"/>
          <w:sz w:val="13"/>
          <w:szCs w:val="13"/>
          <w:color w:val="auto"/>
        </w:rPr>
        <w:t>to include any material information with respect to the plan of distribution not previously disclosed in the registration statement or any material change to such information in the registration statement.</w:t>
      </w:r>
    </w:p>
    <w:p>
      <w:pPr>
        <w:spacing w:after="0" w:line="21" w:lineRule="exact"/>
        <w:rPr>
          <w:sz w:val="20"/>
          <w:szCs w:val="20"/>
          <w:color w:val="auto"/>
        </w:rPr>
      </w:pPr>
    </w:p>
    <w:p>
      <w:pPr>
        <w:ind w:left="322" w:right="2679"/>
        <w:spacing w:after="0" w:line="252" w:lineRule="auto"/>
        <w:rPr>
          <w:sz w:val="20"/>
          <w:szCs w:val="20"/>
          <w:color w:val="auto"/>
        </w:rPr>
      </w:pPr>
      <w:r>
        <w:rPr>
          <w:rFonts w:ascii="Arial" w:cs="Arial" w:eastAsia="Arial" w:hAnsi="Arial"/>
          <w:sz w:val="14"/>
          <w:szCs w:val="14"/>
          <w:color w:val="auto"/>
        </w:rPr>
        <w:t>Provided, however, that Paragraphs 1.i, 1.ii, and 1.iii do not apply if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70" w:lineRule="exact"/>
        <w:rPr>
          <w:sz w:val="20"/>
          <w:szCs w:val="20"/>
          <w:color w:val="auto"/>
        </w:rPr>
      </w:pPr>
    </w:p>
    <w:p>
      <w:pPr>
        <w:jc w:val="both"/>
        <w:ind w:left="322" w:right="2659" w:hanging="322"/>
        <w:spacing w:after="0" w:line="259" w:lineRule="auto"/>
        <w:tabs>
          <w:tab w:leader="none" w:pos="322" w:val="left"/>
        </w:tabs>
        <w:numPr>
          <w:ilvl w:val="0"/>
          <w:numId w:val="108"/>
        </w:numPr>
        <w:rPr>
          <w:rFonts w:ascii="Arial" w:cs="Arial" w:eastAsia="Arial" w:hAnsi="Arial"/>
          <w:sz w:val="14"/>
          <w:szCs w:val="14"/>
          <w:color w:val="auto"/>
        </w:rPr>
      </w:pPr>
      <w:r>
        <w:rPr>
          <w:rFonts w:ascii="Arial" w:cs="Arial" w:eastAsia="Arial" w:hAnsi="Arial"/>
          <w:sz w:val="14"/>
          <w:szCs w:val="14"/>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54" w:lineRule="exact"/>
        <w:rPr>
          <w:rFonts w:ascii="Arial" w:cs="Arial" w:eastAsia="Arial" w:hAnsi="Arial"/>
          <w:sz w:val="14"/>
          <w:szCs w:val="14"/>
          <w:color w:val="auto"/>
        </w:rPr>
      </w:pPr>
    </w:p>
    <w:p>
      <w:pPr>
        <w:ind w:left="322" w:right="2659" w:hanging="322"/>
        <w:spacing w:after="0" w:line="273" w:lineRule="auto"/>
        <w:tabs>
          <w:tab w:leader="none" w:pos="322" w:val="left"/>
        </w:tabs>
        <w:numPr>
          <w:ilvl w:val="0"/>
          <w:numId w:val="108"/>
        </w:numPr>
        <w:rPr>
          <w:rFonts w:ascii="Arial" w:cs="Arial" w:eastAsia="Arial" w:hAnsi="Arial"/>
          <w:sz w:val="14"/>
          <w:szCs w:val="14"/>
          <w:color w:val="auto"/>
        </w:rPr>
      </w:pPr>
      <w:r>
        <w:rPr>
          <w:rFonts w:ascii="Arial" w:cs="Arial" w:eastAsia="Arial" w:hAnsi="Arial"/>
          <w:sz w:val="14"/>
          <w:szCs w:val="14"/>
          <w:color w:val="auto"/>
        </w:rPr>
        <w:t>To remove from registration by means of a post-effective amendment any of the securities being registered which remain unsold at the termination of the offering.</w:t>
      </w:r>
    </w:p>
    <w:p>
      <w:pPr>
        <w:spacing w:after="0" w:line="45" w:lineRule="exact"/>
        <w:rPr>
          <w:rFonts w:ascii="Arial" w:cs="Arial" w:eastAsia="Arial" w:hAnsi="Arial"/>
          <w:sz w:val="14"/>
          <w:szCs w:val="14"/>
          <w:color w:val="auto"/>
        </w:rPr>
      </w:pPr>
    </w:p>
    <w:p>
      <w:pPr>
        <w:jc w:val="both"/>
        <w:ind w:left="322" w:right="2659" w:hanging="322"/>
        <w:spacing w:after="0" w:line="248" w:lineRule="auto"/>
        <w:tabs>
          <w:tab w:leader="none" w:pos="322" w:val="left"/>
        </w:tabs>
        <w:numPr>
          <w:ilvl w:val="0"/>
          <w:numId w:val="108"/>
        </w:numPr>
        <w:rPr>
          <w:rFonts w:ascii="Arial" w:cs="Arial" w:eastAsia="Arial" w:hAnsi="Arial"/>
          <w:sz w:val="14"/>
          <w:szCs w:val="14"/>
          <w:color w:val="auto"/>
        </w:rPr>
      </w:pPr>
      <w:r>
        <w:rPr>
          <w:rFonts w:ascii="Arial" w:cs="Arial" w:eastAsia="Arial" w:hAnsi="Arial"/>
          <w:sz w:val="14"/>
          <w:szCs w:val="14"/>
          <w:color w:val="auto"/>
        </w:rPr>
        <w:t>That, for the purpose of determining liability under the Securities Act of 1933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64" w:lineRule="exact"/>
        <w:rPr>
          <w:rFonts w:ascii="Arial" w:cs="Arial" w:eastAsia="Arial" w:hAnsi="Arial"/>
          <w:sz w:val="14"/>
          <w:szCs w:val="14"/>
          <w:color w:val="auto"/>
        </w:rPr>
      </w:pPr>
    </w:p>
    <w:p>
      <w:pPr>
        <w:jc w:val="both"/>
        <w:ind w:left="322" w:right="2659" w:hanging="322"/>
        <w:spacing w:after="0" w:line="274" w:lineRule="auto"/>
        <w:tabs>
          <w:tab w:leader="none" w:pos="322" w:val="left"/>
        </w:tabs>
        <w:numPr>
          <w:ilvl w:val="0"/>
          <w:numId w:val="108"/>
        </w:numPr>
        <w:rPr>
          <w:rFonts w:ascii="Arial" w:cs="Arial" w:eastAsia="Arial" w:hAnsi="Arial"/>
          <w:sz w:val="13"/>
          <w:szCs w:val="13"/>
          <w:color w:val="auto"/>
        </w:rPr>
      </w:pPr>
      <w:r>
        <w:rPr>
          <w:rFonts w:ascii="Arial" w:cs="Arial" w:eastAsia="Arial" w:hAnsi="Arial"/>
          <w:sz w:val="13"/>
          <w:szCs w:val="13"/>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ectPr>
          <w:pgSz w:w="11900" w:h="16838" w:orient="portrait"/>
          <w:cols w:equalWidth="0" w:num="1">
            <w:col w:w="9581"/>
          </w:cols>
          <w:pgMar w:left="878" w:top="730" w:right="1440" w:bottom="1440" w:gutter="0" w:footer="0" w:header="0"/>
        </w:sectPr>
      </w:pPr>
    </w:p>
    <w:bookmarkStart w:id="97" w:name="page98"/>
    <w:bookmarkEnd w:id="97"/>
    <w:p>
      <w:pPr>
        <w:ind w:left="822" w:right="3099" w:hanging="493"/>
        <w:spacing w:after="0" w:line="273" w:lineRule="auto"/>
        <w:tabs>
          <w:tab w:leader="none" w:pos="822" w:val="left"/>
        </w:tabs>
        <w:numPr>
          <w:ilvl w:val="1"/>
          <w:numId w:val="109"/>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179070</wp:posOffset>
            </wp:positionH>
            <wp:positionV relativeFrom="page">
              <wp:posOffset>121920</wp:posOffset>
            </wp:positionV>
            <wp:extent cx="719010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3">
                      <a:extLst>
                        <a:ext uri="{28A0092B-C50C-407E-A947-70E740481C1C}"/>
                      </a:extLst>
                    </a:blip>
                    <a:srcRect/>
                    <a:stretch>
                      <a:fillRect/>
                    </a:stretch>
                  </pic:blipFill>
                  <pic:spPr bwMode="auto">
                    <a:xfrm>
                      <a:off x="0" y="0"/>
                      <a:ext cx="7190105" cy="38735"/>
                    </a:xfrm>
                    <a:prstGeom prst="rect">
                      <a:avLst/>
                    </a:prstGeom>
                    <a:noFill/>
                  </pic:spPr>
                </pic:pic>
              </a:graphicData>
            </a:graphic>
          </wp:anchor>
        </w:drawing>
        <w:t>Any preliminary prospectus or prospectus of the undersigned registrant relating to the offering required to be filed pursuant to Rule 424;</w:t>
      </w:r>
    </w:p>
    <w:p>
      <w:pPr>
        <w:spacing w:after="0" w:line="45" w:lineRule="exact"/>
        <w:rPr>
          <w:rFonts w:ascii="Arial" w:cs="Arial" w:eastAsia="Arial" w:hAnsi="Arial"/>
          <w:sz w:val="14"/>
          <w:szCs w:val="14"/>
          <w:color w:val="auto"/>
        </w:rPr>
      </w:pPr>
    </w:p>
    <w:p>
      <w:pPr>
        <w:ind w:left="822" w:right="3039" w:hanging="493"/>
        <w:spacing w:after="0" w:line="273" w:lineRule="auto"/>
        <w:tabs>
          <w:tab w:leader="none" w:pos="822" w:val="left"/>
        </w:tabs>
        <w:numPr>
          <w:ilvl w:val="1"/>
          <w:numId w:val="109"/>
        </w:numPr>
        <w:rPr>
          <w:rFonts w:ascii="Arial" w:cs="Arial" w:eastAsia="Arial" w:hAnsi="Arial"/>
          <w:sz w:val="14"/>
          <w:szCs w:val="14"/>
          <w:color w:val="auto"/>
        </w:rPr>
      </w:pPr>
      <w:r>
        <w:rPr>
          <w:rFonts w:ascii="Arial" w:cs="Arial" w:eastAsia="Arial" w:hAnsi="Arial"/>
          <w:sz w:val="14"/>
          <w:szCs w:val="14"/>
          <w:color w:val="auto"/>
        </w:rPr>
        <w:t>Any free writing prospectus relating to the offering prepared by or on behalf of the undersigned registrant or used or referred to by the undersigned registrant;</w:t>
      </w:r>
    </w:p>
    <w:p>
      <w:pPr>
        <w:spacing w:after="0" w:line="45" w:lineRule="exact"/>
        <w:rPr>
          <w:rFonts w:ascii="Arial" w:cs="Arial" w:eastAsia="Arial" w:hAnsi="Arial"/>
          <w:sz w:val="14"/>
          <w:szCs w:val="14"/>
          <w:color w:val="auto"/>
        </w:rPr>
      </w:pPr>
    </w:p>
    <w:p>
      <w:pPr>
        <w:ind w:left="822" w:right="3219" w:hanging="493"/>
        <w:spacing w:after="0" w:line="259" w:lineRule="auto"/>
        <w:tabs>
          <w:tab w:leader="none" w:pos="822" w:val="left"/>
        </w:tabs>
        <w:numPr>
          <w:ilvl w:val="1"/>
          <w:numId w:val="109"/>
        </w:numPr>
        <w:rPr>
          <w:rFonts w:ascii="Arial" w:cs="Arial" w:eastAsia="Arial" w:hAnsi="Arial"/>
          <w:sz w:val="14"/>
          <w:szCs w:val="14"/>
          <w:color w:val="auto"/>
        </w:rPr>
      </w:pPr>
      <w:r>
        <w:rPr>
          <w:rFonts w:ascii="Arial" w:cs="Arial" w:eastAsia="Arial" w:hAnsi="Arial"/>
          <w:sz w:val="14"/>
          <w:szCs w:val="14"/>
          <w:color w:val="auto"/>
        </w:rPr>
        <w:t>The portion of any other free writing prospectus relating to the offering containing material information about the undersigned registrant or its securities provided by or on behalf of the undersigned registrant; and</w:t>
      </w:r>
    </w:p>
    <w:p>
      <w:pPr>
        <w:spacing w:after="0" w:line="54" w:lineRule="exact"/>
        <w:rPr>
          <w:rFonts w:ascii="Arial" w:cs="Arial" w:eastAsia="Arial" w:hAnsi="Arial"/>
          <w:sz w:val="14"/>
          <w:szCs w:val="14"/>
          <w:color w:val="auto"/>
        </w:rPr>
      </w:pPr>
    </w:p>
    <w:p>
      <w:pPr>
        <w:ind w:left="822" w:right="2859" w:hanging="493"/>
        <w:spacing w:after="0" w:line="273" w:lineRule="auto"/>
        <w:tabs>
          <w:tab w:leader="none" w:pos="822" w:val="left"/>
        </w:tabs>
        <w:numPr>
          <w:ilvl w:val="1"/>
          <w:numId w:val="109"/>
        </w:numPr>
        <w:rPr>
          <w:rFonts w:ascii="Arial" w:cs="Arial" w:eastAsia="Arial" w:hAnsi="Arial"/>
          <w:sz w:val="14"/>
          <w:szCs w:val="14"/>
          <w:color w:val="auto"/>
        </w:rPr>
      </w:pPr>
      <w:r>
        <w:rPr>
          <w:rFonts w:ascii="Arial" w:cs="Arial" w:eastAsia="Arial" w:hAnsi="Arial"/>
          <w:sz w:val="14"/>
          <w:szCs w:val="14"/>
          <w:color w:val="auto"/>
        </w:rPr>
        <w:t>Any other communication that is an offer in the offering made by the undersigned registrant to the purchaser.</w:t>
      </w:r>
    </w:p>
    <w:p>
      <w:pPr>
        <w:spacing w:after="0" w:line="45" w:lineRule="exact"/>
        <w:rPr>
          <w:rFonts w:ascii="Arial" w:cs="Arial" w:eastAsia="Arial" w:hAnsi="Arial"/>
          <w:sz w:val="14"/>
          <w:szCs w:val="14"/>
          <w:color w:val="auto"/>
        </w:rPr>
      </w:pPr>
    </w:p>
    <w:p>
      <w:pPr>
        <w:jc w:val="both"/>
        <w:ind w:left="322" w:right="2659" w:hanging="322"/>
        <w:spacing w:after="0" w:line="252" w:lineRule="auto"/>
        <w:tabs>
          <w:tab w:leader="none" w:pos="322" w:val="left"/>
        </w:tabs>
        <w:numPr>
          <w:ilvl w:val="0"/>
          <w:numId w:val="110"/>
        </w:numPr>
        <w:rPr>
          <w:rFonts w:ascii="Arial" w:cs="Arial" w:eastAsia="Arial" w:hAnsi="Arial"/>
          <w:sz w:val="14"/>
          <w:szCs w:val="14"/>
          <w:color w:val="auto"/>
        </w:rPr>
      </w:pPr>
      <w:r>
        <w:rPr>
          <w:rFonts w:ascii="Arial" w:cs="Arial" w:eastAsia="Arial" w:hAnsi="Arial"/>
          <w:sz w:val="14"/>
          <w:szCs w:val="14"/>
          <w:color w:val="auto"/>
        </w:rPr>
        <w:t>The undersigned registrant hereby undertakes that, for purposes of determining any liability under the Securities Act of 1933, each filing of the registrant’s annual report pursuant to Section 13(a) or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59" w:lineRule="exact"/>
        <w:rPr>
          <w:rFonts w:ascii="Arial" w:cs="Arial" w:eastAsia="Arial" w:hAnsi="Arial"/>
          <w:sz w:val="14"/>
          <w:szCs w:val="14"/>
          <w:color w:val="auto"/>
        </w:rPr>
      </w:pPr>
    </w:p>
    <w:p>
      <w:pPr>
        <w:jc w:val="both"/>
        <w:ind w:left="322" w:right="2659" w:hanging="322"/>
        <w:spacing w:after="0" w:line="248" w:lineRule="auto"/>
        <w:tabs>
          <w:tab w:leader="none" w:pos="322" w:val="left"/>
        </w:tabs>
        <w:numPr>
          <w:ilvl w:val="0"/>
          <w:numId w:val="110"/>
        </w:numPr>
        <w:rPr>
          <w:rFonts w:ascii="Arial" w:cs="Arial" w:eastAsia="Arial" w:hAnsi="Arial"/>
          <w:sz w:val="14"/>
          <w:szCs w:val="14"/>
          <w:color w:val="auto"/>
        </w:rPr>
      </w:pPr>
      <w:r>
        <w:rPr>
          <w:rFonts w:ascii="Arial" w:cs="Arial" w:eastAsia="Arial" w:hAnsi="Arial"/>
          <w:sz w:val="14"/>
          <w:szCs w:val="14"/>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ectPr>
          <w:pgSz w:w="11900" w:h="16838" w:orient="portrait"/>
          <w:cols w:equalWidth="0" w:num="1">
            <w:col w:w="9581"/>
          </w:cols>
          <w:pgMar w:left="878" w:top="723" w:right="1440" w:bottom="1440" w:gutter="0" w:footer="0" w:header="0"/>
        </w:sectPr>
      </w:pPr>
    </w:p>
    <w:bookmarkStart w:id="98" w:name="page99"/>
    <w:bookmarkEnd w:id="98"/>
    <w:p>
      <w:pPr>
        <w:jc w:val="both"/>
        <w:spacing w:after="0" w:line="248" w:lineRule="auto"/>
        <w:tabs>
          <w:tab w:leader="none" w:pos="322"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179070</wp:posOffset>
            </wp:positionH>
            <wp:positionV relativeFrom="page">
              <wp:posOffset>121920</wp:posOffset>
            </wp:positionV>
            <wp:extent cx="719010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4">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9" w:name="page100"/>
    <w:bookmarkEnd w:id="99"/>
    <w:p>
      <w:pPr>
        <w:jc w:val="center"/>
        <w:ind w:right="2577"/>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5">
                      <a:extLst>
                        <a:ext uri="{28A0092B-C50C-407E-A947-70E740481C1C}"/>
                      </a:extLst>
                    </a:blip>
                    <a:srcRect/>
                    <a:stretch>
                      <a:fillRect/>
                    </a:stretch>
                  </pic:blipFill>
                  <pic:spPr bwMode="auto">
                    <a:xfrm>
                      <a:off x="0" y="0"/>
                      <a:ext cx="7203440" cy="32385"/>
                    </a:xfrm>
                    <a:prstGeom prst="rect">
                      <a:avLst/>
                    </a:prstGeom>
                    <a:noFill/>
                  </pic:spPr>
                </pic:pic>
              </a:graphicData>
            </a:graphic>
          </wp:anchor>
        </w:drawing>
        <w:t>SIGNATURES</w:t>
      </w:r>
    </w:p>
    <w:p>
      <w:pPr>
        <w:spacing w:after="0" w:line="88" w:lineRule="exact"/>
        <w:rPr>
          <w:sz w:val="20"/>
          <w:szCs w:val="20"/>
          <w:color w:val="auto"/>
        </w:rPr>
      </w:pPr>
    </w:p>
    <w:p>
      <w:pPr>
        <w:ind w:left="2" w:right="2599"/>
        <w:spacing w:after="0" w:line="254" w:lineRule="auto"/>
        <w:rPr>
          <w:sz w:val="20"/>
          <w:szCs w:val="20"/>
          <w:color w:val="auto"/>
        </w:rPr>
      </w:pPr>
      <w:r>
        <w:rPr>
          <w:rFonts w:ascii="Arial" w:cs="Arial" w:eastAsia="Arial" w:hAnsi="Arial"/>
          <w:sz w:val="14"/>
          <w:szCs w:val="14"/>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Charlotte, State of North Carolina, on June 24, 2026.</w:t>
      </w:r>
    </w:p>
    <w:p>
      <w:pPr>
        <w:spacing w:after="0" w:line="69" w:lineRule="exact"/>
        <w:rPr>
          <w:sz w:val="20"/>
          <w:szCs w:val="20"/>
          <w:color w:val="auto"/>
        </w:rPr>
      </w:pPr>
    </w:p>
    <w:p>
      <w:pPr>
        <w:ind w:left="2"/>
        <w:spacing w:after="0"/>
        <w:rPr>
          <w:sz w:val="20"/>
          <w:szCs w:val="20"/>
          <w:color w:val="auto"/>
        </w:rPr>
      </w:pPr>
      <w:r>
        <w:rPr>
          <w:rFonts w:ascii="Arial" w:cs="Arial" w:eastAsia="Arial" w:hAnsi="Arial"/>
          <w:sz w:val="14"/>
          <w:szCs w:val="14"/>
          <w:color w:val="auto"/>
        </w:rPr>
        <w:t>BRIGHTHOUSE LIFE INSURANCE COMPANY</w:t>
      </w:r>
    </w:p>
    <w:p>
      <w:pPr>
        <w:spacing w:after="0" w:line="16" w:lineRule="exact"/>
        <w:rPr>
          <w:sz w:val="20"/>
          <w:szCs w:val="20"/>
          <w:color w:val="auto"/>
        </w:rPr>
      </w:pPr>
    </w:p>
    <w:p>
      <w:pPr>
        <w:ind w:left="2"/>
        <w:spacing w:after="0"/>
        <w:rPr>
          <w:sz w:val="20"/>
          <w:szCs w:val="20"/>
          <w:color w:val="auto"/>
        </w:rPr>
      </w:pPr>
      <w:r>
        <w:rPr>
          <w:rFonts w:ascii="Arial" w:cs="Arial" w:eastAsia="Arial" w:hAnsi="Arial"/>
          <w:sz w:val="14"/>
          <w:szCs w:val="14"/>
          <w:color w:val="auto"/>
        </w:rPr>
        <w:t>(Registrant)</w:t>
      </w:r>
    </w:p>
    <w:p>
      <w:pPr>
        <w:spacing w:after="0" w:line="74" w:lineRule="exact"/>
        <w:rPr>
          <w:sz w:val="20"/>
          <w:szCs w:val="20"/>
          <w:color w:val="auto"/>
        </w:rPr>
      </w:pPr>
    </w:p>
    <w:p>
      <w:pPr>
        <w:ind w:left="2"/>
        <w:spacing w:after="0"/>
        <w:rPr>
          <w:sz w:val="20"/>
          <w:szCs w:val="20"/>
          <w:color w:val="auto"/>
        </w:rPr>
      </w:pPr>
      <w:r>
        <w:rPr>
          <w:rFonts w:ascii="Arial" w:cs="Arial" w:eastAsia="Arial" w:hAnsi="Arial"/>
          <w:sz w:val="14"/>
          <w:szCs w:val="14"/>
          <w:color w:val="auto"/>
        </w:rPr>
        <w:t>By:/s/ David A. Rosenbaum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-8255</wp:posOffset>
            </wp:positionV>
            <wp:extent cx="124015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6">
                      <a:extLst>
                        <a:ext uri="{28A0092B-C50C-407E-A947-70E740481C1C}"/>
                      </a:extLst>
                    </a:blip>
                    <a:srcRect/>
                    <a:stretch>
                      <a:fillRect/>
                    </a:stretch>
                  </pic:blipFill>
                  <pic:spPr bwMode="auto">
                    <a:xfrm>
                      <a:off x="0" y="0"/>
                      <a:ext cx="1240155" cy="38735"/>
                    </a:xfrm>
                    <a:prstGeom prst="rect">
                      <a:avLst/>
                    </a:prstGeom>
                    <a:noFill/>
                  </pic:spPr>
                </pic:pic>
              </a:graphicData>
            </a:graphic>
          </wp:anchor>
        </w:drawing>
      </w:r>
    </w:p>
    <w:p>
      <w:pPr>
        <w:spacing w:after="0" w:line="45" w:lineRule="exact"/>
        <w:rPr>
          <w:sz w:val="20"/>
          <w:szCs w:val="20"/>
          <w:color w:val="auto"/>
        </w:rPr>
      </w:pPr>
    </w:p>
    <w:p>
      <w:pPr>
        <w:ind w:left="2"/>
        <w:spacing w:after="0"/>
        <w:rPr>
          <w:sz w:val="20"/>
          <w:szCs w:val="20"/>
          <w:color w:val="auto"/>
        </w:rPr>
      </w:pPr>
      <w:r>
        <w:rPr>
          <w:rFonts w:ascii="Arial" w:cs="Arial" w:eastAsia="Arial" w:hAnsi="Arial"/>
          <w:sz w:val="14"/>
          <w:szCs w:val="14"/>
          <w:color w:val="auto"/>
        </w:rPr>
        <w:t>David A. Rosenbaum</w:t>
      </w:r>
    </w:p>
    <w:p>
      <w:pPr>
        <w:spacing w:after="0" w:line="16" w:lineRule="exact"/>
        <w:rPr>
          <w:sz w:val="20"/>
          <w:szCs w:val="20"/>
          <w:color w:val="auto"/>
        </w:rPr>
      </w:pPr>
    </w:p>
    <w:p>
      <w:pPr>
        <w:ind w:left="2"/>
        <w:spacing w:after="0"/>
        <w:rPr>
          <w:sz w:val="20"/>
          <w:szCs w:val="20"/>
          <w:color w:val="auto"/>
        </w:rPr>
      </w:pPr>
      <w:r>
        <w:rPr>
          <w:rFonts w:ascii="Arial" w:cs="Arial" w:eastAsia="Arial" w:hAnsi="Arial"/>
          <w:sz w:val="14"/>
          <w:szCs w:val="14"/>
          <w:color w:val="auto"/>
        </w:rPr>
        <w:t>Vice President</w:t>
      </w:r>
    </w:p>
    <w:p>
      <w:pPr>
        <w:spacing w:after="0" w:line="74" w:lineRule="exact"/>
        <w:rPr>
          <w:sz w:val="20"/>
          <w:szCs w:val="20"/>
          <w:color w:val="auto"/>
        </w:rPr>
      </w:pPr>
    </w:p>
    <w:p>
      <w:pPr>
        <w:ind w:left="2" w:right="2959"/>
        <w:spacing w:after="0" w:line="273" w:lineRule="auto"/>
        <w:rPr>
          <w:sz w:val="20"/>
          <w:szCs w:val="20"/>
          <w:color w:val="auto"/>
        </w:rPr>
      </w:pPr>
      <w:r>
        <w:rPr>
          <w:rFonts w:ascii="Arial" w:cs="Arial" w:eastAsia="Arial" w:hAnsi="Arial"/>
          <w:sz w:val="14"/>
          <w:szCs w:val="14"/>
          <w:color w:val="auto"/>
        </w:rPr>
        <w:t>Pursuant to the requirements of the Securities Act of 1933, this registration statement has been signed by the following persons in the capacities indicated on June 24, 2026.</w:t>
      </w:r>
    </w:p>
    <w:p>
      <w:pPr>
        <w:spacing w:after="0" w:line="86" w:lineRule="exact"/>
        <w:rPr>
          <w:sz w:val="20"/>
          <w:szCs w:val="20"/>
          <w:color w:val="auto"/>
        </w:rPr>
      </w:pPr>
    </w:p>
    <w:tbl>
      <w:tblPr>
        <w:tblLayout w:type="fixed"/>
        <w:tblInd w:w="2" w:type="dxa"/>
        <w:tblCellMar>
          <w:top w:w="0" w:type="dxa"/>
          <w:left w:w="0" w:type="dxa"/>
          <w:bottom w:w="0" w:type="dxa"/>
          <w:right w:w="0" w:type="dxa"/>
        </w:tblCellMar>
      </w:tblPr>
      <w:tr>
        <w:trPr>
          <w:trHeight w:val="167"/>
        </w:trPr>
        <w:tc>
          <w:tcPr>
            <w:tcW w:w="2160" w:type="dxa"/>
            <w:vAlign w:val="bottom"/>
            <w:gridSpan w:val="2"/>
          </w:tcPr>
          <w:p>
            <w:pPr>
              <w:spacing w:after="0"/>
              <w:rPr>
                <w:sz w:val="20"/>
                <w:szCs w:val="20"/>
                <w:color w:val="auto"/>
              </w:rPr>
            </w:pPr>
            <w:r>
              <w:rPr>
                <w:rFonts w:ascii="Arial" w:cs="Arial" w:eastAsia="Arial" w:hAnsi="Arial"/>
                <w:sz w:val="14"/>
                <w:szCs w:val="14"/>
                <w:color w:val="auto"/>
              </w:rPr>
              <w:t>/s/ Eric Steigerwalt*</w:t>
            </w:r>
          </w:p>
        </w:tc>
        <w:tc>
          <w:tcPr>
            <w:tcW w:w="4900" w:type="dxa"/>
            <w:vAlign w:val="bottom"/>
          </w:tcPr>
          <w:p>
            <w:pPr>
              <w:ind w:left="400"/>
              <w:spacing w:after="0"/>
              <w:rPr>
                <w:sz w:val="20"/>
                <w:szCs w:val="20"/>
                <w:color w:val="auto"/>
              </w:rPr>
            </w:pPr>
            <w:r>
              <w:rPr>
                <w:rFonts w:ascii="Arial" w:cs="Arial" w:eastAsia="Arial" w:hAnsi="Arial"/>
                <w:sz w:val="14"/>
                <w:szCs w:val="14"/>
                <w:color w:val="auto"/>
                <w:w w:val="99"/>
              </w:rPr>
              <w:t>Chairman of the Board, President, Chief Executive Officer and a Director</w:t>
            </w:r>
          </w:p>
        </w:tc>
      </w:tr>
      <w:tr>
        <w:trPr>
          <w:trHeight w:val="21"/>
        </w:trPr>
        <w:tc>
          <w:tcPr>
            <w:tcW w:w="20" w:type="dxa"/>
            <w:vAlign w:val="bottom"/>
            <w:shd w:val="clear" w:color="auto" w:fill="000000"/>
          </w:tcPr>
          <w:p>
            <w:pPr>
              <w:spacing w:after="0" w:line="20" w:lineRule="exact"/>
              <w:rPr>
                <w:sz w:val="1"/>
                <w:szCs w:val="1"/>
                <w:color w:val="auto"/>
              </w:rPr>
            </w:pPr>
          </w:p>
        </w:tc>
        <w:tc>
          <w:tcPr>
            <w:tcW w:w="2140" w:type="dxa"/>
            <w:vAlign w:val="bottom"/>
            <w:shd w:val="clear" w:color="auto" w:fill="9A9A9A"/>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r>
      <w:tr>
        <w:trPr>
          <w:trHeight w:val="209"/>
        </w:trPr>
        <w:tc>
          <w:tcPr>
            <w:tcW w:w="2160" w:type="dxa"/>
            <w:vAlign w:val="bottom"/>
            <w:gridSpan w:val="2"/>
          </w:tcPr>
          <w:p>
            <w:pPr>
              <w:spacing w:after="0"/>
              <w:rPr>
                <w:sz w:val="20"/>
                <w:szCs w:val="20"/>
                <w:color w:val="auto"/>
              </w:rPr>
            </w:pPr>
            <w:r>
              <w:rPr>
                <w:rFonts w:ascii="Arial" w:cs="Arial" w:eastAsia="Arial" w:hAnsi="Arial"/>
                <w:sz w:val="14"/>
                <w:szCs w:val="14"/>
                <w:color w:val="auto"/>
              </w:rPr>
              <w:t>Eric Steigerwalt</w:t>
            </w:r>
          </w:p>
        </w:tc>
        <w:tc>
          <w:tcPr>
            <w:tcW w:w="4900" w:type="dxa"/>
            <w:vAlign w:val="bottom"/>
          </w:tcPr>
          <w:p>
            <w:pPr>
              <w:spacing w:after="0"/>
              <w:rPr>
                <w:sz w:val="18"/>
                <w:szCs w:val="18"/>
                <w:color w:val="auto"/>
              </w:rPr>
            </w:pPr>
          </w:p>
        </w:tc>
      </w:tr>
      <w:tr>
        <w:trPr>
          <w:trHeight w:val="79"/>
        </w:trPr>
        <w:tc>
          <w:tcPr>
            <w:tcW w:w="2160" w:type="dxa"/>
            <w:vAlign w:val="bottom"/>
            <w:gridSpan w:val="2"/>
          </w:tcPr>
          <w:p>
            <w:pPr>
              <w:spacing w:after="0"/>
              <w:rPr>
                <w:sz w:val="6"/>
                <w:szCs w:val="6"/>
                <w:color w:val="auto"/>
              </w:rPr>
            </w:pPr>
          </w:p>
        </w:tc>
        <w:tc>
          <w:tcPr>
            <w:tcW w:w="4900" w:type="dxa"/>
            <w:vAlign w:val="bottom"/>
          </w:tcPr>
          <w:p>
            <w:pPr>
              <w:spacing w:after="0"/>
              <w:rPr>
                <w:sz w:val="6"/>
                <w:szCs w:val="6"/>
                <w:color w:val="auto"/>
              </w:rPr>
            </w:pPr>
          </w:p>
        </w:tc>
      </w:tr>
      <w:tr>
        <w:trPr>
          <w:trHeight w:val="237"/>
        </w:trPr>
        <w:tc>
          <w:tcPr>
            <w:tcW w:w="20" w:type="dxa"/>
            <w:vAlign w:val="bottom"/>
            <w:tcBorders>
              <w:bottom w:val="single" w:sz="8" w:color="auto"/>
            </w:tcBorders>
          </w:tcPr>
          <w:p>
            <w:pPr>
              <w:spacing w:after="0"/>
              <w:rPr>
                <w:sz w:val="20"/>
                <w:szCs w:val="20"/>
                <w:color w:val="auto"/>
              </w:rPr>
            </w:pPr>
          </w:p>
        </w:tc>
        <w:tc>
          <w:tcPr>
            <w:tcW w:w="2140" w:type="dxa"/>
            <w:vAlign w:val="bottom"/>
            <w:tcBorders>
              <w:bottom w:val="single" w:sz="8" w:color="9A9A9A"/>
            </w:tcBorders>
            <w:shd w:val="clear" w:color="auto" w:fill="F0FFFF"/>
          </w:tcPr>
          <w:p>
            <w:pPr>
              <w:spacing w:after="0"/>
              <w:rPr>
                <w:sz w:val="20"/>
                <w:szCs w:val="20"/>
                <w:color w:val="auto"/>
              </w:rPr>
            </w:pPr>
            <w:r>
              <w:rPr>
                <w:rFonts w:ascii="Arial" w:cs="Arial" w:eastAsia="Arial" w:hAnsi="Arial"/>
                <w:sz w:val="14"/>
                <w:szCs w:val="14"/>
                <w:color w:val="auto"/>
              </w:rPr>
              <w:t>/s/ Myles Lambert*</w:t>
            </w:r>
          </w:p>
        </w:tc>
        <w:tc>
          <w:tcPr>
            <w:tcW w:w="4900" w:type="dxa"/>
            <w:vAlign w:val="bottom"/>
            <w:tcBorders>
              <w:bottom w:val="single" w:sz="8" w:color="F0FFFF"/>
            </w:tcBorders>
            <w:shd w:val="clear" w:color="auto" w:fill="F0FFFF"/>
          </w:tcPr>
          <w:p>
            <w:pPr>
              <w:ind w:left="400"/>
              <w:spacing w:after="0"/>
              <w:rPr>
                <w:sz w:val="20"/>
                <w:szCs w:val="20"/>
                <w:color w:val="auto"/>
              </w:rPr>
            </w:pPr>
            <w:r>
              <w:rPr>
                <w:rFonts w:ascii="Arial" w:cs="Arial" w:eastAsia="Arial" w:hAnsi="Arial"/>
                <w:sz w:val="14"/>
                <w:szCs w:val="14"/>
                <w:color w:val="auto"/>
              </w:rPr>
              <w:t>Director</w:t>
            </w:r>
          </w:p>
        </w:tc>
      </w:tr>
      <w:tr>
        <w:trPr>
          <w:trHeight w:val="209"/>
        </w:trPr>
        <w:tc>
          <w:tcPr>
            <w:tcW w:w="20" w:type="dxa"/>
            <w:vAlign w:val="bottom"/>
          </w:tcPr>
          <w:p>
            <w:pPr>
              <w:spacing w:after="0"/>
              <w:rPr>
                <w:sz w:val="18"/>
                <w:szCs w:val="18"/>
                <w:color w:val="auto"/>
              </w:rPr>
            </w:pPr>
          </w:p>
        </w:tc>
        <w:tc>
          <w:tcPr>
            <w:tcW w:w="2140" w:type="dxa"/>
            <w:vAlign w:val="bottom"/>
            <w:shd w:val="clear" w:color="auto" w:fill="F0FFFF"/>
          </w:tcPr>
          <w:p>
            <w:pPr>
              <w:spacing w:after="0"/>
              <w:rPr>
                <w:sz w:val="20"/>
                <w:szCs w:val="20"/>
                <w:color w:val="auto"/>
              </w:rPr>
            </w:pPr>
            <w:r>
              <w:rPr>
                <w:rFonts w:ascii="Arial" w:cs="Arial" w:eastAsia="Arial" w:hAnsi="Arial"/>
                <w:sz w:val="14"/>
                <w:szCs w:val="14"/>
                <w:color w:val="auto"/>
              </w:rPr>
              <w:t>Myles Lambert</w:t>
            </w:r>
          </w:p>
        </w:tc>
        <w:tc>
          <w:tcPr>
            <w:tcW w:w="4900" w:type="dxa"/>
            <w:vAlign w:val="bottom"/>
            <w:shd w:val="clear" w:color="auto" w:fill="F0FFFF"/>
          </w:tcPr>
          <w:p>
            <w:pPr>
              <w:spacing w:after="0"/>
              <w:rPr>
                <w:sz w:val="18"/>
                <w:szCs w:val="18"/>
                <w:color w:val="auto"/>
              </w:rPr>
            </w:pPr>
          </w:p>
        </w:tc>
      </w:tr>
      <w:tr>
        <w:trPr>
          <w:trHeight w:val="79"/>
        </w:trPr>
        <w:tc>
          <w:tcPr>
            <w:tcW w:w="20" w:type="dxa"/>
            <w:vAlign w:val="bottom"/>
          </w:tcPr>
          <w:p>
            <w:pPr>
              <w:spacing w:after="0"/>
              <w:rPr>
                <w:sz w:val="6"/>
                <w:szCs w:val="6"/>
                <w:color w:val="auto"/>
              </w:rPr>
            </w:pPr>
          </w:p>
        </w:tc>
        <w:tc>
          <w:tcPr>
            <w:tcW w:w="2140" w:type="dxa"/>
            <w:vAlign w:val="bottom"/>
            <w:shd w:val="clear" w:color="auto" w:fill="F0FFFF"/>
          </w:tcPr>
          <w:p>
            <w:pPr>
              <w:spacing w:after="0"/>
              <w:rPr>
                <w:sz w:val="6"/>
                <w:szCs w:val="6"/>
                <w:color w:val="auto"/>
              </w:rPr>
            </w:pPr>
          </w:p>
        </w:tc>
        <w:tc>
          <w:tcPr>
            <w:tcW w:w="4900" w:type="dxa"/>
            <w:vAlign w:val="bottom"/>
            <w:shd w:val="clear" w:color="auto" w:fill="F0FFFF"/>
          </w:tcPr>
          <w:p>
            <w:pPr>
              <w:spacing w:after="0"/>
              <w:rPr>
                <w:sz w:val="6"/>
                <w:szCs w:val="6"/>
                <w:color w:val="auto"/>
              </w:rPr>
            </w:pPr>
          </w:p>
        </w:tc>
      </w:tr>
      <w:tr>
        <w:trPr>
          <w:trHeight w:val="237"/>
        </w:trPr>
        <w:tc>
          <w:tcPr>
            <w:tcW w:w="2160" w:type="dxa"/>
            <w:vAlign w:val="bottom"/>
            <w:gridSpan w:val="2"/>
          </w:tcPr>
          <w:p>
            <w:pPr>
              <w:spacing w:after="0"/>
              <w:rPr>
                <w:sz w:val="20"/>
                <w:szCs w:val="20"/>
                <w:color w:val="auto"/>
              </w:rPr>
            </w:pPr>
            <w:r>
              <w:rPr>
                <w:rFonts w:ascii="Arial" w:cs="Arial" w:eastAsia="Arial" w:hAnsi="Arial"/>
                <w:sz w:val="14"/>
                <w:szCs w:val="14"/>
                <w:color w:val="auto"/>
              </w:rPr>
              <w:t>/s/ David A. Rosenbaum*</w:t>
            </w:r>
          </w:p>
        </w:tc>
        <w:tc>
          <w:tcPr>
            <w:tcW w:w="4900" w:type="dxa"/>
            <w:vAlign w:val="bottom"/>
          </w:tcPr>
          <w:p>
            <w:pPr>
              <w:ind w:left="400"/>
              <w:spacing w:after="0"/>
              <w:rPr>
                <w:sz w:val="20"/>
                <w:szCs w:val="20"/>
                <w:color w:val="auto"/>
              </w:rPr>
            </w:pPr>
            <w:r>
              <w:rPr>
                <w:rFonts w:ascii="Arial" w:cs="Arial" w:eastAsia="Arial" w:hAnsi="Arial"/>
                <w:sz w:val="14"/>
                <w:szCs w:val="14"/>
                <w:color w:val="auto"/>
              </w:rPr>
              <w:t>Director</w:t>
            </w:r>
          </w:p>
        </w:tc>
      </w:tr>
      <w:tr>
        <w:trPr>
          <w:trHeight w:val="21"/>
        </w:trPr>
        <w:tc>
          <w:tcPr>
            <w:tcW w:w="20" w:type="dxa"/>
            <w:vAlign w:val="bottom"/>
            <w:shd w:val="clear" w:color="auto" w:fill="000000"/>
          </w:tcPr>
          <w:p>
            <w:pPr>
              <w:spacing w:after="0" w:line="20" w:lineRule="exact"/>
              <w:rPr>
                <w:sz w:val="1"/>
                <w:szCs w:val="1"/>
                <w:color w:val="auto"/>
              </w:rPr>
            </w:pPr>
          </w:p>
        </w:tc>
        <w:tc>
          <w:tcPr>
            <w:tcW w:w="2140" w:type="dxa"/>
            <w:vAlign w:val="bottom"/>
            <w:shd w:val="clear" w:color="auto" w:fill="9A9A9A"/>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r>
      <w:tr>
        <w:trPr>
          <w:trHeight w:val="209"/>
        </w:trPr>
        <w:tc>
          <w:tcPr>
            <w:tcW w:w="2160" w:type="dxa"/>
            <w:vAlign w:val="bottom"/>
            <w:gridSpan w:val="2"/>
          </w:tcPr>
          <w:p>
            <w:pPr>
              <w:spacing w:after="0"/>
              <w:rPr>
                <w:sz w:val="20"/>
                <w:szCs w:val="20"/>
                <w:color w:val="auto"/>
              </w:rPr>
            </w:pPr>
            <w:r>
              <w:rPr>
                <w:rFonts w:ascii="Arial" w:cs="Arial" w:eastAsia="Arial" w:hAnsi="Arial"/>
                <w:sz w:val="14"/>
                <w:szCs w:val="14"/>
                <w:color w:val="auto"/>
              </w:rPr>
              <w:t>David A. Rosenbaum</w:t>
            </w:r>
          </w:p>
        </w:tc>
        <w:tc>
          <w:tcPr>
            <w:tcW w:w="4900" w:type="dxa"/>
            <w:vAlign w:val="bottom"/>
          </w:tcPr>
          <w:p>
            <w:pPr>
              <w:spacing w:after="0"/>
              <w:rPr>
                <w:sz w:val="18"/>
                <w:szCs w:val="18"/>
                <w:color w:val="auto"/>
              </w:rPr>
            </w:pPr>
          </w:p>
        </w:tc>
      </w:tr>
      <w:tr>
        <w:trPr>
          <w:trHeight w:val="79"/>
        </w:trPr>
        <w:tc>
          <w:tcPr>
            <w:tcW w:w="2160" w:type="dxa"/>
            <w:vAlign w:val="bottom"/>
            <w:gridSpan w:val="2"/>
          </w:tcPr>
          <w:p>
            <w:pPr>
              <w:spacing w:after="0"/>
              <w:rPr>
                <w:sz w:val="6"/>
                <w:szCs w:val="6"/>
                <w:color w:val="auto"/>
              </w:rPr>
            </w:pPr>
          </w:p>
        </w:tc>
        <w:tc>
          <w:tcPr>
            <w:tcW w:w="4900" w:type="dxa"/>
            <w:vAlign w:val="bottom"/>
          </w:tcPr>
          <w:p>
            <w:pPr>
              <w:spacing w:after="0"/>
              <w:rPr>
                <w:sz w:val="6"/>
                <w:szCs w:val="6"/>
                <w:color w:val="auto"/>
              </w:rPr>
            </w:pPr>
          </w:p>
        </w:tc>
      </w:tr>
      <w:tr>
        <w:trPr>
          <w:trHeight w:val="237"/>
        </w:trPr>
        <w:tc>
          <w:tcPr>
            <w:tcW w:w="20" w:type="dxa"/>
            <w:vAlign w:val="bottom"/>
            <w:tcBorders>
              <w:bottom w:val="single" w:sz="8" w:color="auto"/>
            </w:tcBorders>
          </w:tcPr>
          <w:p>
            <w:pPr>
              <w:spacing w:after="0"/>
              <w:rPr>
                <w:sz w:val="20"/>
                <w:szCs w:val="20"/>
                <w:color w:val="auto"/>
              </w:rPr>
            </w:pPr>
          </w:p>
        </w:tc>
        <w:tc>
          <w:tcPr>
            <w:tcW w:w="2140" w:type="dxa"/>
            <w:vAlign w:val="bottom"/>
            <w:tcBorders>
              <w:bottom w:val="single" w:sz="8" w:color="9A9A9A"/>
            </w:tcBorders>
            <w:shd w:val="clear" w:color="auto" w:fill="F0FFFF"/>
          </w:tcPr>
          <w:p>
            <w:pPr>
              <w:spacing w:after="0"/>
              <w:rPr>
                <w:sz w:val="20"/>
                <w:szCs w:val="20"/>
                <w:color w:val="auto"/>
              </w:rPr>
            </w:pPr>
            <w:r>
              <w:rPr>
                <w:rFonts w:ascii="Arial" w:cs="Arial" w:eastAsia="Arial" w:hAnsi="Arial"/>
                <w:sz w:val="14"/>
                <w:szCs w:val="14"/>
                <w:color w:val="auto"/>
              </w:rPr>
              <w:t>/s/ Jonathan Rosenthal*</w:t>
            </w:r>
          </w:p>
        </w:tc>
        <w:tc>
          <w:tcPr>
            <w:tcW w:w="4900" w:type="dxa"/>
            <w:vAlign w:val="bottom"/>
            <w:tcBorders>
              <w:bottom w:val="single" w:sz="8" w:color="F0FFFF"/>
            </w:tcBorders>
            <w:shd w:val="clear" w:color="auto" w:fill="F0FFFF"/>
          </w:tcPr>
          <w:p>
            <w:pPr>
              <w:ind w:left="400"/>
              <w:spacing w:after="0"/>
              <w:rPr>
                <w:sz w:val="20"/>
                <w:szCs w:val="20"/>
                <w:color w:val="auto"/>
              </w:rPr>
            </w:pPr>
            <w:r>
              <w:rPr>
                <w:rFonts w:ascii="Arial" w:cs="Arial" w:eastAsia="Arial" w:hAnsi="Arial"/>
                <w:sz w:val="14"/>
                <w:szCs w:val="14"/>
                <w:color w:val="auto"/>
              </w:rPr>
              <w:t>Director</w:t>
            </w:r>
          </w:p>
        </w:tc>
      </w:tr>
      <w:tr>
        <w:trPr>
          <w:trHeight w:val="209"/>
        </w:trPr>
        <w:tc>
          <w:tcPr>
            <w:tcW w:w="20" w:type="dxa"/>
            <w:vAlign w:val="bottom"/>
          </w:tcPr>
          <w:p>
            <w:pPr>
              <w:spacing w:after="0"/>
              <w:rPr>
                <w:sz w:val="18"/>
                <w:szCs w:val="18"/>
                <w:color w:val="auto"/>
              </w:rPr>
            </w:pPr>
          </w:p>
        </w:tc>
        <w:tc>
          <w:tcPr>
            <w:tcW w:w="2140" w:type="dxa"/>
            <w:vAlign w:val="bottom"/>
            <w:shd w:val="clear" w:color="auto" w:fill="F0FFFF"/>
          </w:tcPr>
          <w:p>
            <w:pPr>
              <w:spacing w:after="0"/>
              <w:rPr>
                <w:sz w:val="20"/>
                <w:szCs w:val="20"/>
                <w:color w:val="auto"/>
              </w:rPr>
            </w:pPr>
            <w:r>
              <w:rPr>
                <w:rFonts w:ascii="Arial" w:cs="Arial" w:eastAsia="Arial" w:hAnsi="Arial"/>
                <w:sz w:val="14"/>
                <w:szCs w:val="14"/>
                <w:color w:val="auto"/>
              </w:rPr>
              <w:t>Jonathan Rosenthal</w:t>
            </w:r>
          </w:p>
        </w:tc>
        <w:tc>
          <w:tcPr>
            <w:tcW w:w="4900" w:type="dxa"/>
            <w:vAlign w:val="bottom"/>
            <w:shd w:val="clear" w:color="auto" w:fill="F0FFFF"/>
          </w:tcPr>
          <w:p>
            <w:pPr>
              <w:spacing w:after="0"/>
              <w:rPr>
                <w:sz w:val="18"/>
                <w:szCs w:val="18"/>
                <w:color w:val="auto"/>
              </w:rPr>
            </w:pPr>
          </w:p>
        </w:tc>
      </w:tr>
      <w:tr>
        <w:trPr>
          <w:trHeight w:val="79"/>
        </w:trPr>
        <w:tc>
          <w:tcPr>
            <w:tcW w:w="20" w:type="dxa"/>
            <w:vAlign w:val="bottom"/>
          </w:tcPr>
          <w:p>
            <w:pPr>
              <w:spacing w:after="0"/>
              <w:rPr>
                <w:sz w:val="6"/>
                <w:szCs w:val="6"/>
                <w:color w:val="auto"/>
              </w:rPr>
            </w:pPr>
          </w:p>
        </w:tc>
        <w:tc>
          <w:tcPr>
            <w:tcW w:w="2140" w:type="dxa"/>
            <w:vAlign w:val="bottom"/>
            <w:shd w:val="clear" w:color="auto" w:fill="F0FFFF"/>
          </w:tcPr>
          <w:p>
            <w:pPr>
              <w:spacing w:after="0"/>
              <w:rPr>
                <w:sz w:val="6"/>
                <w:szCs w:val="6"/>
                <w:color w:val="auto"/>
              </w:rPr>
            </w:pPr>
          </w:p>
        </w:tc>
        <w:tc>
          <w:tcPr>
            <w:tcW w:w="4900" w:type="dxa"/>
            <w:vAlign w:val="bottom"/>
            <w:shd w:val="clear" w:color="auto" w:fill="F0FFFF"/>
          </w:tcPr>
          <w:p>
            <w:pPr>
              <w:spacing w:after="0"/>
              <w:rPr>
                <w:sz w:val="6"/>
                <w:szCs w:val="6"/>
                <w:color w:val="auto"/>
              </w:rPr>
            </w:pPr>
          </w:p>
        </w:tc>
      </w:tr>
      <w:tr>
        <w:trPr>
          <w:trHeight w:val="237"/>
        </w:trPr>
        <w:tc>
          <w:tcPr>
            <w:tcW w:w="2160" w:type="dxa"/>
            <w:vAlign w:val="bottom"/>
            <w:gridSpan w:val="2"/>
          </w:tcPr>
          <w:p>
            <w:pPr>
              <w:spacing w:after="0"/>
              <w:rPr>
                <w:sz w:val="20"/>
                <w:szCs w:val="20"/>
                <w:color w:val="auto"/>
              </w:rPr>
            </w:pPr>
            <w:r>
              <w:rPr>
                <w:rFonts w:ascii="Arial" w:cs="Arial" w:eastAsia="Arial" w:hAnsi="Arial"/>
                <w:sz w:val="14"/>
                <w:szCs w:val="14"/>
                <w:color w:val="auto"/>
              </w:rPr>
              <w:t>/s/ Edward A. Spehar*</w:t>
            </w:r>
          </w:p>
        </w:tc>
        <w:tc>
          <w:tcPr>
            <w:tcW w:w="4900" w:type="dxa"/>
            <w:vAlign w:val="bottom"/>
          </w:tcPr>
          <w:p>
            <w:pPr>
              <w:ind w:left="400"/>
              <w:spacing w:after="0"/>
              <w:rPr>
                <w:sz w:val="20"/>
                <w:szCs w:val="20"/>
                <w:color w:val="auto"/>
              </w:rPr>
            </w:pPr>
            <w:r>
              <w:rPr>
                <w:rFonts w:ascii="Arial" w:cs="Arial" w:eastAsia="Arial" w:hAnsi="Arial"/>
                <w:sz w:val="14"/>
                <w:szCs w:val="14"/>
                <w:color w:val="auto"/>
              </w:rPr>
              <w:t>Director, Vice President and Chief Financial Officer</w:t>
            </w:r>
          </w:p>
        </w:tc>
      </w:tr>
      <w:tr>
        <w:trPr>
          <w:trHeight w:val="21"/>
        </w:trPr>
        <w:tc>
          <w:tcPr>
            <w:tcW w:w="20" w:type="dxa"/>
            <w:vAlign w:val="bottom"/>
            <w:shd w:val="clear" w:color="auto" w:fill="000000"/>
          </w:tcPr>
          <w:p>
            <w:pPr>
              <w:spacing w:after="0" w:line="20" w:lineRule="exact"/>
              <w:rPr>
                <w:sz w:val="1"/>
                <w:szCs w:val="1"/>
                <w:color w:val="auto"/>
              </w:rPr>
            </w:pPr>
          </w:p>
        </w:tc>
        <w:tc>
          <w:tcPr>
            <w:tcW w:w="2140" w:type="dxa"/>
            <w:vAlign w:val="bottom"/>
            <w:shd w:val="clear" w:color="auto" w:fill="9A9A9A"/>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r>
      <w:tr>
        <w:trPr>
          <w:trHeight w:val="209"/>
        </w:trPr>
        <w:tc>
          <w:tcPr>
            <w:tcW w:w="2160" w:type="dxa"/>
            <w:vAlign w:val="bottom"/>
            <w:gridSpan w:val="2"/>
          </w:tcPr>
          <w:p>
            <w:pPr>
              <w:spacing w:after="0"/>
              <w:rPr>
                <w:sz w:val="20"/>
                <w:szCs w:val="20"/>
                <w:color w:val="auto"/>
              </w:rPr>
            </w:pPr>
            <w:r>
              <w:rPr>
                <w:rFonts w:ascii="Arial" w:cs="Arial" w:eastAsia="Arial" w:hAnsi="Arial"/>
                <w:sz w:val="14"/>
                <w:szCs w:val="14"/>
                <w:color w:val="auto"/>
              </w:rPr>
              <w:t>Edward A. Spehar</w:t>
            </w:r>
          </w:p>
        </w:tc>
        <w:tc>
          <w:tcPr>
            <w:tcW w:w="4900" w:type="dxa"/>
            <w:vAlign w:val="bottom"/>
          </w:tcPr>
          <w:p>
            <w:pPr>
              <w:spacing w:after="0"/>
              <w:rPr>
                <w:sz w:val="18"/>
                <w:szCs w:val="18"/>
                <w:color w:val="auto"/>
              </w:rPr>
            </w:pPr>
          </w:p>
        </w:tc>
      </w:tr>
      <w:tr>
        <w:trPr>
          <w:trHeight w:val="79"/>
        </w:trPr>
        <w:tc>
          <w:tcPr>
            <w:tcW w:w="2160" w:type="dxa"/>
            <w:vAlign w:val="bottom"/>
            <w:gridSpan w:val="2"/>
          </w:tcPr>
          <w:p>
            <w:pPr>
              <w:spacing w:after="0"/>
              <w:rPr>
                <w:sz w:val="6"/>
                <w:szCs w:val="6"/>
                <w:color w:val="auto"/>
              </w:rPr>
            </w:pPr>
          </w:p>
        </w:tc>
        <w:tc>
          <w:tcPr>
            <w:tcW w:w="4900" w:type="dxa"/>
            <w:vAlign w:val="bottom"/>
          </w:tcPr>
          <w:p>
            <w:pPr>
              <w:spacing w:after="0"/>
              <w:rPr>
                <w:sz w:val="6"/>
                <w:szCs w:val="6"/>
                <w:color w:val="auto"/>
              </w:rPr>
            </w:pPr>
          </w:p>
        </w:tc>
      </w:tr>
      <w:tr>
        <w:trPr>
          <w:trHeight w:val="237"/>
        </w:trPr>
        <w:tc>
          <w:tcPr>
            <w:tcW w:w="20" w:type="dxa"/>
            <w:vAlign w:val="bottom"/>
            <w:tcBorders>
              <w:bottom w:val="single" w:sz="8" w:color="auto"/>
            </w:tcBorders>
          </w:tcPr>
          <w:p>
            <w:pPr>
              <w:spacing w:after="0"/>
              <w:rPr>
                <w:sz w:val="20"/>
                <w:szCs w:val="20"/>
                <w:color w:val="auto"/>
              </w:rPr>
            </w:pPr>
          </w:p>
        </w:tc>
        <w:tc>
          <w:tcPr>
            <w:tcW w:w="2140" w:type="dxa"/>
            <w:vAlign w:val="bottom"/>
            <w:tcBorders>
              <w:bottom w:val="single" w:sz="8" w:color="9A9A9A"/>
            </w:tcBorders>
            <w:shd w:val="clear" w:color="auto" w:fill="F0FFFF"/>
          </w:tcPr>
          <w:p>
            <w:pPr>
              <w:spacing w:after="0"/>
              <w:rPr>
                <w:sz w:val="20"/>
                <w:szCs w:val="20"/>
                <w:color w:val="auto"/>
              </w:rPr>
            </w:pPr>
            <w:r>
              <w:rPr>
                <w:rFonts w:ascii="Arial" w:cs="Arial" w:eastAsia="Arial" w:hAnsi="Arial"/>
                <w:sz w:val="14"/>
                <w:szCs w:val="14"/>
                <w:color w:val="auto"/>
              </w:rPr>
              <w:t>/s/ Melissa B. Pavlovich*</w:t>
            </w:r>
          </w:p>
        </w:tc>
        <w:tc>
          <w:tcPr>
            <w:tcW w:w="4900" w:type="dxa"/>
            <w:vAlign w:val="bottom"/>
            <w:tcBorders>
              <w:bottom w:val="single" w:sz="8" w:color="F0FFFF"/>
            </w:tcBorders>
            <w:shd w:val="clear" w:color="auto" w:fill="F0FFFF"/>
          </w:tcPr>
          <w:p>
            <w:pPr>
              <w:ind w:left="400"/>
              <w:spacing w:after="0"/>
              <w:rPr>
                <w:sz w:val="20"/>
                <w:szCs w:val="20"/>
                <w:color w:val="auto"/>
              </w:rPr>
            </w:pPr>
            <w:r>
              <w:rPr>
                <w:rFonts w:ascii="Arial" w:cs="Arial" w:eastAsia="Arial" w:hAnsi="Arial"/>
                <w:sz w:val="14"/>
                <w:szCs w:val="14"/>
                <w:color w:val="auto"/>
              </w:rPr>
              <w:t>Vice President and Chief Accounting Officer</w:t>
            </w:r>
          </w:p>
        </w:tc>
      </w:tr>
      <w:tr>
        <w:trPr>
          <w:trHeight w:val="209"/>
        </w:trPr>
        <w:tc>
          <w:tcPr>
            <w:tcW w:w="20" w:type="dxa"/>
            <w:vAlign w:val="bottom"/>
          </w:tcPr>
          <w:p>
            <w:pPr>
              <w:spacing w:after="0"/>
              <w:rPr>
                <w:sz w:val="18"/>
                <w:szCs w:val="18"/>
                <w:color w:val="auto"/>
              </w:rPr>
            </w:pPr>
          </w:p>
        </w:tc>
        <w:tc>
          <w:tcPr>
            <w:tcW w:w="2140" w:type="dxa"/>
            <w:vAlign w:val="bottom"/>
            <w:shd w:val="clear" w:color="auto" w:fill="F0FFFF"/>
          </w:tcPr>
          <w:p>
            <w:pPr>
              <w:spacing w:after="0"/>
              <w:rPr>
                <w:sz w:val="20"/>
                <w:szCs w:val="20"/>
                <w:color w:val="auto"/>
              </w:rPr>
            </w:pPr>
            <w:r>
              <w:rPr>
                <w:rFonts w:ascii="Arial" w:cs="Arial" w:eastAsia="Arial" w:hAnsi="Arial"/>
                <w:sz w:val="14"/>
                <w:szCs w:val="14"/>
                <w:color w:val="auto"/>
              </w:rPr>
              <w:t>Melissa B. Pavlovich</w:t>
            </w:r>
          </w:p>
        </w:tc>
        <w:tc>
          <w:tcPr>
            <w:tcW w:w="4900" w:type="dxa"/>
            <w:vAlign w:val="bottom"/>
            <w:shd w:val="clear" w:color="auto" w:fill="F0FFFF"/>
          </w:tcPr>
          <w:p>
            <w:pPr>
              <w:spacing w:after="0"/>
              <w:rPr>
                <w:sz w:val="18"/>
                <w:szCs w:val="18"/>
                <w:color w:val="auto"/>
              </w:rPr>
            </w:pPr>
          </w:p>
        </w:tc>
      </w:tr>
      <w:tr>
        <w:trPr>
          <w:trHeight w:val="79"/>
        </w:trPr>
        <w:tc>
          <w:tcPr>
            <w:tcW w:w="20" w:type="dxa"/>
            <w:vAlign w:val="bottom"/>
          </w:tcPr>
          <w:p>
            <w:pPr>
              <w:spacing w:after="0"/>
              <w:rPr>
                <w:sz w:val="6"/>
                <w:szCs w:val="6"/>
                <w:color w:val="auto"/>
              </w:rPr>
            </w:pPr>
          </w:p>
        </w:tc>
        <w:tc>
          <w:tcPr>
            <w:tcW w:w="2140" w:type="dxa"/>
            <w:vAlign w:val="bottom"/>
            <w:shd w:val="clear" w:color="auto" w:fill="F0FFFF"/>
          </w:tcPr>
          <w:p>
            <w:pPr>
              <w:spacing w:after="0"/>
              <w:rPr>
                <w:sz w:val="6"/>
                <w:szCs w:val="6"/>
                <w:color w:val="auto"/>
              </w:rPr>
            </w:pPr>
          </w:p>
        </w:tc>
        <w:tc>
          <w:tcPr>
            <w:tcW w:w="4900" w:type="dxa"/>
            <w:vAlign w:val="bottom"/>
            <w:shd w:val="clear" w:color="auto" w:fill="F0FFFF"/>
          </w:tcPr>
          <w:p>
            <w:pPr>
              <w:spacing w:after="0"/>
              <w:rPr>
                <w:sz w:val="6"/>
                <w:szCs w:val="6"/>
                <w:color w:val="auto"/>
              </w:rPr>
            </w:pPr>
          </w:p>
        </w:tc>
      </w:tr>
      <w:tr>
        <w:trPr>
          <w:trHeight w:val="237"/>
        </w:trPr>
        <w:tc>
          <w:tcPr>
            <w:tcW w:w="2160" w:type="dxa"/>
            <w:vAlign w:val="bottom"/>
            <w:gridSpan w:val="2"/>
          </w:tcPr>
          <w:p>
            <w:pPr>
              <w:spacing w:after="0"/>
              <w:rPr>
                <w:sz w:val="20"/>
                <w:szCs w:val="20"/>
                <w:color w:val="auto"/>
              </w:rPr>
            </w:pPr>
            <w:r>
              <w:rPr>
                <w:rFonts w:ascii="Arial" w:cs="Arial" w:eastAsia="Arial" w:hAnsi="Arial"/>
                <w:sz w:val="14"/>
                <w:szCs w:val="14"/>
                <w:color w:val="auto"/>
              </w:rPr>
              <w:t>/s/ Gianna H. Figaro-Sterling*</w:t>
            </w:r>
          </w:p>
        </w:tc>
        <w:tc>
          <w:tcPr>
            <w:tcW w:w="4900" w:type="dxa"/>
            <w:vAlign w:val="bottom"/>
          </w:tcPr>
          <w:p>
            <w:pPr>
              <w:ind w:left="400"/>
              <w:spacing w:after="0"/>
              <w:rPr>
                <w:sz w:val="20"/>
                <w:szCs w:val="20"/>
                <w:color w:val="auto"/>
              </w:rPr>
            </w:pPr>
            <w:r>
              <w:rPr>
                <w:rFonts w:ascii="Arial" w:cs="Arial" w:eastAsia="Arial" w:hAnsi="Arial"/>
                <w:sz w:val="14"/>
                <w:szCs w:val="14"/>
                <w:color w:val="auto"/>
              </w:rPr>
              <w:t>Vice President and Controller</w:t>
            </w:r>
          </w:p>
        </w:tc>
      </w:tr>
      <w:tr>
        <w:trPr>
          <w:trHeight w:val="21"/>
        </w:trPr>
        <w:tc>
          <w:tcPr>
            <w:tcW w:w="20" w:type="dxa"/>
            <w:vAlign w:val="bottom"/>
            <w:shd w:val="clear" w:color="auto" w:fill="000000"/>
          </w:tcPr>
          <w:p>
            <w:pPr>
              <w:spacing w:after="0" w:line="20" w:lineRule="exact"/>
              <w:rPr>
                <w:sz w:val="1"/>
                <w:szCs w:val="1"/>
                <w:color w:val="auto"/>
              </w:rPr>
            </w:pPr>
          </w:p>
        </w:tc>
        <w:tc>
          <w:tcPr>
            <w:tcW w:w="2140" w:type="dxa"/>
            <w:vAlign w:val="bottom"/>
            <w:shd w:val="clear" w:color="auto" w:fill="9A9A9A"/>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r>
      <w:tr>
        <w:trPr>
          <w:trHeight w:val="209"/>
        </w:trPr>
        <w:tc>
          <w:tcPr>
            <w:tcW w:w="2160" w:type="dxa"/>
            <w:vAlign w:val="bottom"/>
            <w:gridSpan w:val="2"/>
          </w:tcPr>
          <w:p>
            <w:pPr>
              <w:spacing w:after="0"/>
              <w:rPr>
                <w:sz w:val="20"/>
                <w:szCs w:val="20"/>
                <w:color w:val="auto"/>
              </w:rPr>
            </w:pPr>
            <w:r>
              <w:rPr>
                <w:rFonts w:ascii="Arial" w:cs="Arial" w:eastAsia="Arial" w:hAnsi="Arial"/>
                <w:sz w:val="14"/>
                <w:szCs w:val="14"/>
                <w:color w:val="auto"/>
              </w:rPr>
              <w:t>Gianna H. Figaro-Sterling</w:t>
            </w:r>
          </w:p>
        </w:tc>
        <w:tc>
          <w:tcPr>
            <w:tcW w:w="4900" w:type="dxa"/>
            <w:vAlign w:val="bottom"/>
          </w:tcPr>
          <w:p>
            <w:pPr>
              <w:spacing w:after="0"/>
              <w:rPr>
                <w:sz w:val="18"/>
                <w:szCs w:val="18"/>
                <w:color w:val="auto"/>
              </w:rPr>
            </w:pPr>
          </w:p>
        </w:tc>
      </w:tr>
      <w:tr>
        <w:trPr>
          <w:trHeight w:val="79"/>
        </w:trPr>
        <w:tc>
          <w:tcPr>
            <w:tcW w:w="2160" w:type="dxa"/>
            <w:vAlign w:val="bottom"/>
            <w:gridSpan w:val="2"/>
          </w:tcPr>
          <w:p>
            <w:pPr>
              <w:spacing w:after="0"/>
              <w:rPr>
                <w:sz w:val="6"/>
                <w:szCs w:val="6"/>
                <w:color w:val="auto"/>
              </w:rPr>
            </w:pPr>
          </w:p>
        </w:tc>
        <w:tc>
          <w:tcPr>
            <w:tcW w:w="4900" w:type="dxa"/>
            <w:vAlign w:val="bottom"/>
          </w:tcPr>
          <w:p>
            <w:pPr>
              <w:spacing w:after="0"/>
              <w:rPr>
                <w:sz w:val="6"/>
                <w:szCs w:val="6"/>
                <w:color w:val="auto"/>
              </w:rPr>
            </w:pPr>
          </w:p>
        </w:tc>
      </w:tr>
      <w:tr>
        <w:trPr>
          <w:trHeight w:val="237"/>
        </w:trPr>
        <w:tc>
          <w:tcPr>
            <w:tcW w:w="20" w:type="dxa"/>
            <w:vAlign w:val="bottom"/>
            <w:tcBorders>
              <w:bottom w:val="single" w:sz="8" w:color="auto"/>
            </w:tcBorders>
          </w:tcPr>
          <w:p>
            <w:pPr>
              <w:spacing w:after="0"/>
              <w:rPr>
                <w:sz w:val="20"/>
                <w:szCs w:val="20"/>
                <w:color w:val="auto"/>
              </w:rPr>
            </w:pPr>
          </w:p>
        </w:tc>
        <w:tc>
          <w:tcPr>
            <w:tcW w:w="2140" w:type="dxa"/>
            <w:vAlign w:val="bottom"/>
            <w:tcBorders>
              <w:bottom w:val="single" w:sz="8" w:color="9A9A9A"/>
            </w:tcBorders>
            <w:shd w:val="clear" w:color="auto" w:fill="F0FFFF"/>
          </w:tcPr>
          <w:p>
            <w:pPr>
              <w:spacing w:after="0"/>
              <w:rPr>
                <w:sz w:val="20"/>
                <w:szCs w:val="20"/>
                <w:color w:val="auto"/>
              </w:rPr>
            </w:pPr>
            <w:r>
              <w:rPr>
                <w:rFonts w:ascii="Arial" w:cs="Arial" w:eastAsia="Arial" w:hAnsi="Arial"/>
                <w:sz w:val="14"/>
                <w:szCs w:val="14"/>
                <w:color w:val="auto"/>
              </w:rPr>
              <w:t>*By: /s/ Michele H. Abate</w:t>
            </w:r>
          </w:p>
        </w:tc>
        <w:tc>
          <w:tcPr>
            <w:tcW w:w="4900" w:type="dxa"/>
            <w:vAlign w:val="bottom"/>
            <w:tcBorders>
              <w:bottom w:val="single" w:sz="8" w:color="F0FFFF"/>
            </w:tcBorders>
            <w:shd w:val="clear" w:color="auto" w:fill="F0FFFF"/>
          </w:tcPr>
          <w:p>
            <w:pPr>
              <w:spacing w:after="0"/>
              <w:rPr>
                <w:sz w:val="20"/>
                <w:szCs w:val="20"/>
                <w:color w:val="auto"/>
              </w:rPr>
            </w:pPr>
          </w:p>
        </w:tc>
      </w:tr>
      <w:tr>
        <w:trPr>
          <w:trHeight w:val="193"/>
        </w:trPr>
        <w:tc>
          <w:tcPr>
            <w:tcW w:w="20" w:type="dxa"/>
            <w:vAlign w:val="bottom"/>
          </w:tcPr>
          <w:p>
            <w:pPr>
              <w:spacing w:after="0"/>
              <w:rPr>
                <w:sz w:val="16"/>
                <w:szCs w:val="16"/>
                <w:color w:val="auto"/>
              </w:rPr>
            </w:pPr>
          </w:p>
        </w:tc>
        <w:tc>
          <w:tcPr>
            <w:tcW w:w="2140" w:type="dxa"/>
            <w:vAlign w:val="bottom"/>
            <w:shd w:val="clear" w:color="auto" w:fill="F0FFFF"/>
          </w:tcPr>
          <w:p>
            <w:pPr>
              <w:spacing w:after="0"/>
              <w:rPr>
                <w:sz w:val="20"/>
                <w:szCs w:val="20"/>
                <w:color w:val="auto"/>
              </w:rPr>
            </w:pPr>
            <w:r>
              <w:rPr>
                <w:rFonts w:ascii="Arial" w:cs="Arial" w:eastAsia="Arial" w:hAnsi="Arial"/>
                <w:sz w:val="14"/>
                <w:szCs w:val="14"/>
                <w:color w:val="auto"/>
                <w:w w:val="98"/>
              </w:rPr>
              <w:t>Michele H. Abate, Attorney-In-Fact</w:t>
            </w:r>
          </w:p>
        </w:tc>
        <w:tc>
          <w:tcPr>
            <w:tcW w:w="4900" w:type="dxa"/>
            <w:vAlign w:val="bottom"/>
            <w:shd w:val="clear" w:color="auto" w:fill="F0FFFF"/>
          </w:tcPr>
          <w:p>
            <w:pPr>
              <w:spacing w:after="0"/>
              <w:rPr>
                <w:sz w:val="16"/>
                <w:szCs w:val="16"/>
                <w:color w:val="auto"/>
              </w:rPr>
            </w:pPr>
          </w:p>
        </w:tc>
      </w:tr>
      <w:tr>
        <w:trPr>
          <w:trHeight w:val="180"/>
        </w:trPr>
        <w:tc>
          <w:tcPr>
            <w:tcW w:w="20" w:type="dxa"/>
            <w:vAlign w:val="bottom"/>
          </w:tcPr>
          <w:p>
            <w:pPr>
              <w:spacing w:after="0"/>
              <w:rPr>
                <w:sz w:val="15"/>
                <w:szCs w:val="15"/>
                <w:color w:val="auto"/>
              </w:rPr>
            </w:pPr>
          </w:p>
        </w:tc>
        <w:tc>
          <w:tcPr>
            <w:tcW w:w="2140" w:type="dxa"/>
            <w:vAlign w:val="bottom"/>
            <w:shd w:val="clear" w:color="auto" w:fill="F0FFFF"/>
          </w:tcPr>
          <w:p>
            <w:pPr>
              <w:spacing w:after="0"/>
              <w:rPr>
                <w:sz w:val="20"/>
                <w:szCs w:val="20"/>
                <w:color w:val="auto"/>
              </w:rPr>
            </w:pPr>
            <w:r>
              <w:rPr>
                <w:rFonts w:ascii="Arial" w:cs="Arial" w:eastAsia="Arial" w:hAnsi="Arial"/>
                <w:sz w:val="14"/>
                <w:szCs w:val="14"/>
                <w:color w:val="auto"/>
              </w:rPr>
              <w:t>June 24, 2026</w:t>
            </w:r>
          </w:p>
        </w:tc>
        <w:tc>
          <w:tcPr>
            <w:tcW w:w="4900" w:type="dxa"/>
            <w:vAlign w:val="bottom"/>
            <w:shd w:val="clear" w:color="auto" w:fill="F0FFFF"/>
          </w:tcPr>
          <w:p>
            <w:pPr>
              <w:spacing w:after="0"/>
              <w:rPr>
                <w:sz w:val="15"/>
                <w:szCs w:val="15"/>
                <w:color w:val="auto"/>
              </w:rPr>
            </w:pPr>
          </w:p>
        </w:tc>
      </w:tr>
      <w:tr>
        <w:trPr>
          <w:trHeight w:val="121"/>
        </w:trPr>
        <w:tc>
          <w:tcPr>
            <w:tcW w:w="20" w:type="dxa"/>
            <w:vAlign w:val="bottom"/>
          </w:tcPr>
          <w:p>
            <w:pPr>
              <w:spacing w:after="0"/>
              <w:rPr>
                <w:sz w:val="10"/>
                <w:szCs w:val="10"/>
                <w:color w:val="auto"/>
              </w:rPr>
            </w:pPr>
          </w:p>
        </w:tc>
        <w:tc>
          <w:tcPr>
            <w:tcW w:w="2140" w:type="dxa"/>
            <w:vAlign w:val="bottom"/>
            <w:shd w:val="clear" w:color="auto" w:fill="F0FFFF"/>
          </w:tcPr>
          <w:p>
            <w:pPr>
              <w:spacing w:after="0"/>
              <w:rPr>
                <w:sz w:val="10"/>
                <w:szCs w:val="10"/>
                <w:color w:val="auto"/>
              </w:rPr>
            </w:pPr>
          </w:p>
        </w:tc>
        <w:tc>
          <w:tcPr>
            <w:tcW w:w="4900" w:type="dxa"/>
            <w:vAlign w:val="bottom"/>
            <w:shd w:val="clear" w:color="auto" w:fill="F0FFFF"/>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1352550</wp:posOffset>
            </wp:positionH>
            <wp:positionV relativeFrom="paragraph">
              <wp:posOffset>-2761615</wp:posOffset>
            </wp:positionV>
            <wp:extent cx="31750"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7">
                      <a:extLst>
                        <a:ext uri="{28A0092B-C50C-407E-A947-70E740481C1C}"/>
                      </a:extLst>
                    </a:blip>
                    <a:srcRect/>
                    <a:stretch>
                      <a:fillRect/>
                    </a:stretch>
                  </pic:blipFill>
                  <pic:spPr bwMode="auto">
                    <a:xfrm>
                      <a:off x="0" y="0"/>
                      <a:ext cx="31750" cy="3873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-2761615</wp:posOffset>
            </wp:positionV>
            <wp:extent cx="31750"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8">
                      <a:extLst>
                        <a:ext uri="{28A0092B-C50C-407E-A947-70E740481C1C}"/>
                      </a:extLst>
                    </a:blip>
                    <a:srcRect/>
                    <a:stretch>
                      <a:fillRect/>
                    </a:stretch>
                  </pic:blipFill>
                  <pic:spPr bwMode="auto">
                    <a:xfrm>
                      <a:off x="0" y="0"/>
                      <a:ext cx="31750" cy="38735"/>
                    </a:xfrm>
                    <a:prstGeom prst="rect">
                      <a:avLst/>
                    </a:prstGeom>
                    <a:noFill/>
                  </pic:spPr>
                </pic:pic>
              </a:graphicData>
            </a:graphic>
          </wp:anchor>
        </w:drawing>
        <w:drawing>
          <wp:anchor simplePos="0" relativeHeight="251657728" behindDoc="1" locked="0" layoutInCell="0" allowOverlap="1">
            <wp:simplePos x="0" y="0"/>
            <wp:positionH relativeFrom="column">
              <wp:posOffset>1352550</wp:posOffset>
            </wp:positionH>
            <wp:positionV relativeFrom="paragraph">
              <wp:posOffset>-2415540</wp:posOffset>
            </wp:positionV>
            <wp:extent cx="31750"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9">
                      <a:extLst>
                        <a:ext uri="{28A0092B-C50C-407E-A947-70E740481C1C}"/>
                      </a:extLst>
                    </a:blip>
                    <a:srcRect/>
                    <a:stretch>
                      <a:fillRect/>
                    </a:stretch>
                  </pic:blipFill>
                  <pic:spPr bwMode="auto">
                    <a:xfrm>
                      <a:off x="0" y="0"/>
                      <a:ext cx="31750" cy="3873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-2415540</wp:posOffset>
            </wp:positionV>
            <wp:extent cx="31750"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0">
                      <a:extLst>
                        <a:ext uri="{28A0092B-C50C-407E-A947-70E740481C1C}"/>
                      </a:extLst>
                    </a:blip>
                    <a:srcRect/>
                    <a:stretch>
                      <a:fillRect/>
                    </a:stretch>
                  </pic:blipFill>
                  <pic:spPr bwMode="auto">
                    <a:xfrm>
                      <a:off x="0" y="0"/>
                      <a:ext cx="31750" cy="38735"/>
                    </a:xfrm>
                    <a:prstGeom prst="rect">
                      <a:avLst/>
                    </a:prstGeom>
                    <a:noFill/>
                  </pic:spPr>
                </pic:pic>
              </a:graphicData>
            </a:graphic>
          </wp:anchor>
        </w:drawing>
        <w:drawing>
          <wp:anchor simplePos="0" relativeHeight="251657728" behindDoc="1" locked="0" layoutInCell="0" allowOverlap="1">
            <wp:simplePos x="0" y="0"/>
            <wp:positionH relativeFrom="column">
              <wp:posOffset>1352550</wp:posOffset>
            </wp:positionH>
            <wp:positionV relativeFrom="paragraph">
              <wp:posOffset>-2069465</wp:posOffset>
            </wp:positionV>
            <wp:extent cx="31750"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1">
                      <a:extLst>
                        <a:ext uri="{28A0092B-C50C-407E-A947-70E740481C1C}"/>
                      </a:extLst>
                    </a:blip>
                    <a:srcRect/>
                    <a:stretch>
                      <a:fillRect/>
                    </a:stretch>
                  </pic:blipFill>
                  <pic:spPr bwMode="auto">
                    <a:xfrm>
                      <a:off x="0" y="0"/>
                      <a:ext cx="31750" cy="3873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-2069465</wp:posOffset>
            </wp:positionV>
            <wp:extent cx="31750"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2">
                      <a:extLst>
                        <a:ext uri="{28A0092B-C50C-407E-A947-70E740481C1C}"/>
                      </a:extLst>
                    </a:blip>
                    <a:srcRect/>
                    <a:stretch>
                      <a:fillRect/>
                    </a:stretch>
                  </pic:blipFill>
                  <pic:spPr bwMode="auto">
                    <a:xfrm>
                      <a:off x="0" y="0"/>
                      <a:ext cx="31750" cy="38735"/>
                    </a:xfrm>
                    <a:prstGeom prst="rect">
                      <a:avLst/>
                    </a:prstGeom>
                    <a:noFill/>
                  </pic:spPr>
                </pic:pic>
              </a:graphicData>
            </a:graphic>
          </wp:anchor>
        </w:drawing>
        <w:drawing>
          <wp:anchor simplePos="0" relativeHeight="251657728" behindDoc="1" locked="0" layoutInCell="0" allowOverlap="1">
            <wp:simplePos x="0" y="0"/>
            <wp:positionH relativeFrom="column">
              <wp:posOffset>1352550</wp:posOffset>
            </wp:positionH>
            <wp:positionV relativeFrom="paragraph">
              <wp:posOffset>-1723390</wp:posOffset>
            </wp:positionV>
            <wp:extent cx="31750"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3">
                      <a:extLst>
                        <a:ext uri="{28A0092B-C50C-407E-A947-70E740481C1C}"/>
                      </a:extLst>
                    </a:blip>
                    <a:srcRect/>
                    <a:stretch>
                      <a:fillRect/>
                    </a:stretch>
                  </pic:blipFill>
                  <pic:spPr bwMode="auto">
                    <a:xfrm>
                      <a:off x="0" y="0"/>
                      <a:ext cx="31750" cy="3873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-1723390</wp:posOffset>
            </wp:positionV>
            <wp:extent cx="31750"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4">
                      <a:extLst>
                        <a:ext uri="{28A0092B-C50C-407E-A947-70E740481C1C}"/>
                      </a:extLst>
                    </a:blip>
                    <a:srcRect/>
                    <a:stretch>
                      <a:fillRect/>
                    </a:stretch>
                  </pic:blipFill>
                  <pic:spPr bwMode="auto">
                    <a:xfrm>
                      <a:off x="0" y="0"/>
                      <a:ext cx="31750" cy="38735"/>
                    </a:xfrm>
                    <a:prstGeom prst="rect">
                      <a:avLst/>
                    </a:prstGeom>
                    <a:noFill/>
                  </pic:spPr>
                </pic:pic>
              </a:graphicData>
            </a:graphic>
          </wp:anchor>
        </w:drawing>
        <w:drawing>
          <wp:anchor simplePos="0" relativeHeight="251657728" behindDoc="1" locked="0" layoutInCell="0" allowOverlap="1">
            <wp:simplePos x="0" y="0"/>
            <wp:positionH relativeFrom="column">
              <wp:posOffset>1352550</wp:posOffset>
            </wp:positionH>
            <wp:positionV relativeFrom="paragraph">
              <wp:posOffset>-1377315</wp:posOffset>
            </wp:positionV>
            <wp:extent cx="31750"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5">
                      <a:extLst>
                        <a:ext uri="{28A0092B-C50C-407E-A947-70E740481C1C}"/>
                      </a:extLst>
                    </a:blip>
                    <a:srcRect/>
                    <a:stretch>
                      <a:fillRect/>
                    </a:stretch>
                  </pic:blipFill>
                  <pic:spPr bwMode="auto">
                    <a:xfrm>
                      <a:off x="0" y="0"/>
                      <a:ext cx="31750" cy="3873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-1377315</wp:posOffset>
            </wp:positionV>
            <wp:extent cx="31750"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6">
                      <a:extLst>
                        <a:ext uri="{28A0092B-C50C-407E-A947-70E740481C1C}"/>
                      </a:extLst>
                    </a:blip>
                    <a:srcRect/>
                    <a:stretch>
                      <a:fillRect/>
                    </a:stretch>
                  </pic:blipFill>
                  <pic:spPr bwMode="auto">
                    <a:xfrm>
                      <a:off x="0" y="0"/>
                      <a:ext cx="31750" cy="38735"/>
                    </a:xfrm>
                    <a:prstGeom prst="rect">
                      <a:avLst/>
                    </a:prstGeom>
                    <a:noFill/>
                  </pic:spPr>
                </pic:pic>
              </a:graphicData>
            </a:graphic>
          </wp:anchor>
        </w:drawing>
        <w:drawing>
          <wp:anchor simplePos="0" relativeHeight="251657728" behindDoc="1" locked="0" layoutInCell="0" allowOverlap="1">
            <wp:simplePos x="0" y="0"/>
            <wp:positionH relativeFrom="column">
              <wp:posOffset>1352550</wp:posOffset>
            </wp:positionH>
            <wp:positionV relativeFrom="paragraph">
              <wp:posOffset>-1031240</wp:posOffset>
            </wp:positionV>
            <wp:extent cx="31750"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7">
                      <a:extLst>
                        <a:ext uri="{28A0092B-C50C-407E-A947-70E740481C1C}"/>
                      </a:extLst>
                    </a:blip>
                    <a:srcRect/>
                    <a:stretch>
                      <a:fillRect/>
                    </a:stretch>
                  </pic:blipFill>
                  <pic:spPr bwMode="auto">
                    <a:xfrm>
                      <a:off x="0" y="0"/>
                      <a:ext cx="31750" cy="3873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-1031240</wp:posOffset>
            </wp:positionV>
            <wp:extent cx="31750"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8">
                      <a:extLst>
                        <a:ext uri="{28A0092B-C50C-407E-A947-70E740481C1C}"/>
                      </a:extLst>
                    </a:blip>
                    <a:srcRect/>
                    <a:stretch>
                      <a:fillRect/>
                    </a:stretch>
                  </pic:blipFill>
                  <pic:spPr bwMode="auto">
                    <a:xfrm>
                      <a:off x="0" y="0"/>
                      <a:ext cx="31750" cy="38735"/>
                    </a:xfrm>
                    <a:prstGeom prst="rect">
                      <a:avLst/>
                    </a:prstGeom>
                    <a:noFill/>
                  </pic:spPr>
                </pic:pic>
              </a:graphicData>
            </a:graphic>
          </wp:anchor>
        </w:drawing>
        <w:drawing>
          <wp:anchor simplePos="0" relativeHeight="251657728" behindDoc="1" locked="0" layoutInCell="0" allowOverlap="1">
            <wp:simplePos x="0" y="0"/>
            <wp:positionH relativeFrom="column">
              <wp:posOffset>1352550</wp:posOffset>
            </wp:positionH>
            <wp:positionV relativeFrom="paragraph">
              <wp:posOffset>-684530</wp:posOffset>
            </wp:positionV>
            <wp:extent cx="31750"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9">
                      <a:extLst>
                        <a:ext uri="{28A0092B-C50C-407E-A947-70E740481C1C}"/>
                      </a:extLst>
                    </a:blip>
                    <a:srcRect/>
                    <a:stretch>
                      <a:fillRect/>
                    </a:stretch>
                  </pic:blipFill>
                  <pic:spPr bwMode="auto">
                    <a:xfrm>
                      <a:off x="0" y="0"/>
                      <a:ext cx="31750" cy="3873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-684530</wp:posOffset>
            </wp:positionV>
            <wp:extent cx="31750"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0">
                      <a:extLst>
                        <a:ext uri="{28A0092B-C50C-407E-A947-70E740481C1C}"/>
                      </a:extLst>
                    </a:blip>
                    <a:srcRect/>
                    <a:stretch>
                      <a:fillRect/>
                    </a:stretch>
                  </pic:blipFill>
                  <pic:spPr bwMode="auto">
                    <a:xfrm>
                      <a:off x="0" y="0"/>
                      <a:ext cx="31750" cy="38735"/>
                    </a:xfrm>
                    <a:prstGeom prst="rect">
                      <a:avLst/>
                    </a:prstGeom>
                    <a:noFill/>
                  </pic:spPr>
                </pic:pic>
              </a:graphicData>
            </a:graphic>
          </wp:anchor>
        </w:drawing>
        <w:drawing>
          <wp:anchor simplePos="0" relativeHeight="251657728" behindDoc="1" locked="0" layoutInCell="0" allowOverlap="1">
            <wp:simplePos x="0" y="0"/>
            <wp:positionH relativeFrom="column">
              <wp:posOffset>1352550</wp:posOffset>
            </wp:positionH>
            <wp:positionV relativeFrom="paragraph">
              <wp:posOffset>-338455</wp:posOffset>
            </wp:positionV>
            <wp:extent cx="31750"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1">
                      <a:extLst>
                        <a:ext uri="{28A0092B-C50C-407E-A947-70E740481C1C}"/>
                      </a:extLst>
                    </a:blip>
                    <a:srcRect/>
                    <a:stretch>
                      <a:fillRect/>
                    </a:stretch>
                  </pic:blipFill>
                  <pic:spPr bwMode="auto">
                    <a:xfrm>
                      <a:off x="0" y="0"/>
                      <a:ext cx="31750" cy="3873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-338455</wp:posOffset>
            </wp:positionV>
            <wp:extent cx="31750"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2">
                      <a:extLst>
                        <a:ext uri="{28A0092B-C50C-407E-A947-70E740481C1C}"/>
                      </a:extLst>
                    </a:blip>
                    <a:srcRect/>
                    <a:stretch>
                      <a:fillRect/>
                    </a:stretch>
                  </pic:blipFill>
                  <pic:spPr bwMode="auto">
                    <a:xfrm>
                      <a:off x="0" y="0"/>
                      <a:ext cx="31750" cy="38735"/>
                    </a:xfrm>
                    <a:prstGeom prst="rect">
                      <a:avLst/>
                    </a:prstGeom>
                    <a:noFill/>
                  </pic:spPr>
                </pic:pic>
              </a:graphicData>
            </a:graphic>
          </wp:anchor>
        </w:drawing>
      </w:r>
    </w:p>
    <w:p>
      <w:pPr>
        <w:spacing w:after="0" w:line="50" w:lineRule="exact"/>
        <w:rPr>
          <w:sz w:val="20"/>
          <w:szCs w:val="20"/>
          <w:color w:val="auto"/>
        </w:rPr>
      </w:pPr>
    </w:p>
    <w:p>
      <w:pPr>
        <w:ind w:left="2"/>
        <w:spacing w:after="0"/>
        <w:rPr>
          <w:sz w:val="20"/>
          <w:szCs w:val="20"/>
          <w:color w:val="auto"/>
        </w:rPr>
      </w:pPr>
      <w:r>
        <w:rPr>
          <w:rFonts w:ascii="Arial" w:cs="Arial" w:eastAsia="Arial" w:hAnsi="Arial"/>
          <w:sz w:val="14"/>
          <w:szCs w:val="14"/>
          <w:color w:val="auto"/>
        </w:rPr>
        <w:t> </w:t>
      </w:r>
    </w:p>
    <w:p>
      <w:pPr>
        <w:spacing w:after="0" w:line="16" w:lineRule="exact"/>
        <w:rPr>
          <w:sz w:val="20"/>
          <w:szCs w:val="20"/>
          <w:color w:val="auto"/>
        </w:rPr>
      </w:pPr>
    </w:p>
    <w:p>
      <w:pPr>
        <w:ind w:left="2" w:right="3079" w:hanging="2"/>
        <w:spacing w:after="0" w:line="255" w:lineRule="auto"/>
        <w:tabs>
          <w:tab w:leader="none" w:pos="93" w:val="left"/>
        </w:tabs>
        <w:numPr>
          <w:ilvl w:val="0"/>
          <w:numId w:val="111"/>
        </w:numPr>
        <w:rPr>
          <w:rFonts w:ascii="Arial" w:cs="Arial" w:eastAsia="Arial" w:hAnsi="Arial"/>
          <w:sz w:val="14"/>
          <w:szCs w:val="14"/>
          <w:color w:val="auto"/>
        </w:rPr>
      </w:pPr>
      <w:r>
        <w:rPr>
          <w:rFonts w:ascii="Arial" w:cs="Arial" w:eastAsia="Arial" w:hAnsi="Arial"/>
          <w:sz w:val="14"/>
          <w:szCs w:val="14"/>
          <w:color w:val="auto"/>
        </w:rPr>
        <w:t>Brighthouse Life Insurance Company. Executed by Michele H. Abate, Esquire on behalf of those indicated pursuant to powers of attorney filed herewith.</w:t>
      </w:r>
    </w:p>
    <w:p>
      <w:pPr>
        <w:sectPr>
          <w:pgSz w:w="11900" w:h="16838" w:orient="portrait"/>
          <w:cols w:equalWidth="0" w:num="1">
            <w:col w:w="9581"/>
          </w:cols>
          <w:pgMar w:left="878" w:top="742" w:right="1440" w:bottom="1440" w:gutter="0" w:footer="0" w:header="0"/>
        </w:sectPr>
      </w:pPr>
    </w:p>
    <w:bookmarkStart w:id="100" w:name="page101"/>
    <w:bookmarkEnd w:id="100"/>
    <w:p>
      <w:pPr>
        <w:spacing w:after="0" w:line="255" w:lineRule="auto"/>
        <w:tabs>
          <w:tab w:leader="none" w:pos="93"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179070</wp:posOffset>
            </wp:positionH>
            <wp:positionV relativeFrom="page">
              <wp:posOffset>121920</wp:posOffset>
            </wp:positionV>
            <wp:extent cx="719010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3">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jc w:val="right"/>
        <w:ind w:right="541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4">
                      <a:extLst>
                        <a:ext uri="{28A0092B-C50C-407E-A947-70E740481C1C}"/>
                      </a:extLst>
                    </a:blip>
                    <a:srcRect/>
                    <a:stretch>
                      <a:fillRect/>
                    </a:stretch>
                  </pic:blipFill>
                  <pic:spPr bwMode="auto">
                    <a:xfrm>
                      <a:off x="0" y="0"/>
                      <a:ext cx="7203440" cy="32385"/>
                    </a:xfrm>
                    <a:prstGeom prst="rect">
                      <a:avLst/>
                    </a:prstGeom>
                    <a:noFill/>
                  </pic:spPr>
                </pic:pic>
              </a:graphicData>
            </a:graphic>
          </wp:anchor>
        </w:drawing>
        <w:t>INDEX TO EXHIBITS</w:t>
      </w:r>
    </w:p>
    <w:p>
      <w:pPr>
        <w:spacing w:after="0" w:line="88" w:lineRule="exact"/>
        <w:rPr>
          <w:sz w:val="20"/>
          <w:szCs w:val="20"/>
          <w:color w:val="auto"/>
        </w:rPr>
      </w:pPr>
    </w:p>
    <w:p>
      <w:pPr>
        <w:ind w:left="982" w:hanging="982"/>
        <w:spacing w:after="0"/>
        <w:tabs>
          <w:tab w:leader="none" w:pos="982" w:val="left"/>
        </w:tabs>
        <w:numPr>
          <w:ilvl w:val="0"/>
          <w:numId w:val="112"/>
        </w:numPr>
        <w:rPr>
          <w:rFonts w:ascii="Arial" w:cs="Arial" w:eastAsia="Arial" w:hAnsi="Arial"/>
          <w:sz w:val="14"/>
          <w:szCs w:val="14"/>
          <w:color w:val="auto"/>
        </w:rPr>
      </w:pPr>
      <w:r>
        <w:rPr>
          <w:rFonts w:ascii="Arial" w:cs="Arial" w:eastAsia="Arial" w:hAnsi="Arial"/>
          <w:sz w:val="14"/>
          <w:szCs w:val="14"/>
          <w:color w:val="auto"/>
        </w:rPr>
        <w:t>Powers of Attorney</w:t>
      </w:r>
    </w:p>
    <w:p>
      <w:pPr>
        <w:spacing w:after="0" w:line="86" w:lineRule="exact"/>
        <w:rPr>
          <w:sz w:val="20"/>
          <w:szCs w:val="20"/>
          <w:color w:val="auto"/>
        </w:rPr>
      </w:pPr>
    </w:p>
    <w:p>
      <w:pPr>
        <w:ind w:left="982" w:hanging="982"/>
        <w:spacing w:after="0"/>
        <w:tabs>
          <w:tab w:leader="none" w:pos="982" w:val="left"/>
        </w:tabs>
        <w:numPr>
          <w:ilvl w:val="0"/>
          <w:numId w:val="113"/>
        </w:numPr>
        <w:rPr>
          <w:rFonts w:ascii="Arial" w:cs="Arial" w:eastAsia="Arial" w:hAnsi="Arial"/>
          <w:sz w:val="14"/>
          <w:szCs w:val="14"/>
          <w:color w:val="auto"/>
        </w:rPr>
      </w:pPr>
      <w:r>
        <w:rPr>
          <w:rFonts w:ascii="Arial" w:cs="Arial" w:eastAsia="Arial" w:hAnsi="Arial"/>
          <w:sz w:val="14"/>
          <w:szCs w:val="14"/>
          <w:color w:val="auto"/>
        </w:rPr>
        <w:t>Filing Fee Table</w:t>
      </w:r>
    </w:p>
    <w:p>
      <w:pPr>
        <w:sectPr>
          <w:pgSz w:w="11900" w:h="16838" w:orient="portrait"/>
          <w:cols w:equalWidth="0" w:num="1">
            <w:col w:w="9581"/>
          </w:cols>
          <w:pgMar w:left="878" w:top="742" w:right="1440" w:bottom="1440" w:gutter="0" w:footer="0" w:header="0"/>
        </w:sectPr>
      </w:pPr>
    </w:p>
    <w:bookmarkStart w:id="102" w:name="page103"/>
    <w:bookmarkEnd w:id="102"/>
    <w:p>
      <w:pPr>
        <w:spacing w:after="0"/>
        <w:tabs>
          <w:tab w:leader="none" w:pos="982"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179070</wp:posOffset>
            </wp:positionH>
            <wp:positionV relativeFrom="page">
              <wp:posOffset>121920</wp:posOffset>
            </wp:positionV>
            <wp:extent cx="719010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5">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jc w:val="center"/>
        <w:ind w:right="1759"/>
        <w:spacing w:after="0"/>
        <w:rPr>
          <w:sz w:val="20"/>
          <w:szCs w:val="20"/>
          <w:color w:val="auto"/>
        </w:rPr>
      </w:pPr>
      <w:r>
        <w:rPr>
          <w:rFonts w:ascii="Arial" w:cs="Arial" w:eastAsia="Arial" w:hAnsi="Arial"/>
          <w:sz w:val="14"/>
          <w:szCs w:val="14"/>
          <w:color w:val="auto"/>
        </w:rPr>
        <w:t>Brighthouse Life Insurance Company</w:t>
      </w:r>
    </w:p>
    <w:p>
      <w:pPr>
        <w:spacing w:after="0" w:line="159" w:lineRule="exact"/>
        <w:rPr>
          <w:sz w:val="20"/>
          <w:szCs w:val="20"/>
          <w:color w:val="auto"/>
        </w:rPr>
      </w:pPr>
    </w:p>
    <w:p>
      <w:pPr>
        <w:jc w:val="center"/>
        <w:ind w:right="1759"/>
        <w:spacing w:after="0"/>
        <w:rPr>
          <w:sz w:val="20"/>
          <w:szCs w:val="20"/>
          <w:color w:val="auto"/>
        </w:rPr>
      </w:pPr>
      <w:r>
        <w:rPr>
          <w:rFonts w:ascii="Arial" w:cs="Arial" w:eastAsia="Arial" w:hAnsi="Arial"/>
          <w:sz w:val="14"/>
          <w:szCs w:val="14"/>
          <w:color w:val="auto"/>
        </w:rPr>
        <w:t>POWER OF ATTORNEY</w:t>
      </w:r>
    </w:p>
    <w:p>
      <w:pPr>
        <w:spacing w:after="0" w:line="158" w:lineRule="exact"/>
        <w:rPr>
          <w:sz w:val="20"/>
          <w:szCs w:val="20"/>
          <w:color w:val="auto"/>
        </w:rPr>
      </w:pPr>
    </w:p>
    <w:p>
      <w:pPr>
        <w:jc w:val="center"/>
        <w:ind w:right="1759"/>
        <w:spacing w:after="0"/>
        <w:rPr>
          <w:sz w:val="20"/>
          <w:szCs w:val="20"/>
          <w:color w:val="auto"/>
        </w:rPr>
      </w:pPr>
      <w:r>
        <w:rPr>
          <w:rFonts w:ascii="Arial" w:cs="Arial" w:eastAsia="Arial" w:hAnsi="Arial"/>
          <w:sz w:val="14"/>
          <w:szCs w:val="14"/>
          <w:color w:val="auto"/>
        </w:rPr>
        <w:t>Eric Steigerwalt</w:t>
      </w:r>
    </w:p>
    <w:p>
      <w:pPr>
        <w:spacing w:after="0" w:line="5" w:lineRule="exact"/>
        <w:rPr>
          <w:sz w:val="20"/>
          <w:szCs w:val="20"/>
          <w:color w:val="auto"/>
        </w:rPr>
      </w:pPr>
    </w:p>
    <w:p>
      <w:pPr>
        <w:jc w:val="center"/>
        <w:ind w:right="1759"/>
        <w:spacing w:after="0"/>
        <w:rPr>
          <w:sz w:val="20"/>
          <w:szCs w:val="20"/>
          <w:color w:val="auto"/>
        </w:rPr>
      </w:pPr>
      <w:r>
        <w:rPr>
          <w:rFonts w:ascii="Arial" w:cs="Arial" w:eastAsia="Arial" w:hAnsi="Arial"/>
          <w:sz w:val="14"/>
          <w:szCs w:val="14"/>
          <w:color w:val="auto"/>
        </w:rPr>
        <w:t>Chairman of the Board, President, Chief Executive Officer and a Director</w:t>
      </w:r>
    </w:p>
    <w:p>
      <w:pPr>
        <w:spacing w:after="0" w:line="146" w:lineRule="exact"/>
        <w:rPr>
          <w:sz w:val="20"/>
          <w:szCs w:val="20"/>
          <w:color w:val="auto"/>
        </w:rPr>
      </w:pPr>
    </w:p>
    <w:p>
      <w:pPr>
        <w:ind w:right="1859"/>
        <w:spacing w:after="0" w:line="236" w:lineRule="auto"/>
        <w:rPr>
          <w:sz w:val="20"/>
          <w:szCs w:val="20"/>
          <w:color w:val="auto"/>
        </w:rPr>
      </w:pPr>
      <w:r>
        <w:rPr>
          <w:rFonts w:ascii="Arial" w:cs="Arial" w:eastAsia="Arial" w:hAnsi="Arial"/>
          <w:sz w:val="14"/>
          <w:szCs w:val="14"/>
          <w:color w:val="auto"/>
        </w:rPr>
        <w:t>KNOW ALL MEN BY THESE PRESENTS, that I, Eric Steigerwalt, Chairman of the Board, President and Chief Executive Officer and a Director of Brighthouse Life Insurance Company, a Delaware company (the “Company”), do hereby constitute and appoint Michele H. Abate, Allie Lin, and Alexander Ulianov, as my attorney-in-fact and agent, each of whom may act individually and none of whom is required to act jointly with any of the others, to sign and file on my behalf and to execute and file any instrument or document required to be filed as part of or in connection with or in any way related to, the Registration Statements and any and all amendments thereto filed by the Company under the Securities Act of 1933 and/or the Investment Company Act of 1940, pertaining to:</w:t>
      </w:r>
    </w:p>
    <w:p>
      <w:pPr>
        <w:spacing w:after="0" w:line="161" w:lineRule="exact"/>
        <w:rPr>
          <w:sz w:val="20"/>
          <w:szCs w:val="20"/>
          <w:color w:val="auto"/>
        </w:rPr>
      </w:pPr>
    </w:p>
    <w:p>
      <w:pPr>
        <w:ind w:left="440" w:right="6299" w:hanging="438"/>
        <w:spacing w:after="0" w:line="196" w:lineRule="auto"/>
        <w:tabs>
          <w:tab w:leader="none" w:pos="173" w:val="left"/>
        </w:tabs>
        <w:numPr>
          <w:ilvl w:val="0"/>
          <w:numId w:val="114"/>
        </w:numPr>
        <w:rPr>
          <w:rFonts w:ascii="Arial" w:cs="Arial" w:eastAsia="Arial" w:hAnsi="Arial"/>
          <w:sz w:val="14"/>
          <w:szCs w:val="14"/>
          <w:color w:val="auto"/>
        </w:rPr>
      </w:pPr>
      <w:r>
        <w:rPr>
          <w:rFonts w:ascii="Arial" w:cs="Arial" w:eastAsia="Arial" w:hAnsi="Arial"/>
          <w:sz w:val="14"/>
          <w:szCs w:val="14"/>
          <w:color w:val="auto"/>
        </w:rPr>
        <w:t>Brighthouse Fund UL for Variable Life Insurance (811-03927) File No. 002-88637 MarketLife</w:t>
      </w:r>
      <w:r>
        <w:rPr>
          <w:rFonts w:ascii="Arial" w:cs="Arial" w:eastAsia="Arial" w:hAnsi="Arial"/>
          <w:sz w:val="20"/>
          <w:szCs w:val="20"/>
          <w:color w:val="auto"/>
          <w:vertAlign w:val="superscript"/>
        </w:rPr>
        <w:t>SM</w:t>
      </w:r>
      <w:r>
        <w:rPr>
          <w:rFonts w:ascii="Arial" w:cs="Arial" w:eastAsia="Arial" w:hAnsi="Arial"/>
          <w:sz w:val="14"/>
          <w:szCs w:val="14"/>
          <w:color w:val="auto"/>
        </w:rPr>
        <w:t xml:space="preserve"> and Invest</w:t>
      </w:r>
    </w:p>
    <w:p>
      <w:pPr>
        <w:spacing w:after="0" w:line="1" w:lineRule="exact"/>
        <w:rPr>
          <w:rFonts w:ascii="Arial" w:cs="Arial" w:eastAsia="Arial" w:hAnsi="Arial"/>
          <w:sz w:val="14"/>
          <w:szCs w:val="14"/>
          <w:color w:val="auto"/>
        </w:rPr>
      </w:pPr>
    </w:p>
    <w:p>
      <w:pPr>
        <w:ind w:left="440"/>
        <w:spacing w:after="0" w:line="189" w:lineRule="auto"/>
        <w:rPr>
          <w:rFonts w:ascii="Arial" w:cs="Arial" w:eastAsia="Arial" w:hAnsi="Arial"/>
          <w:sz w:val="14"/>
          <w:szCs w:val="14"/>
          <w:color w:val="auto"/>
        </w:rPr>
      </w:pPr>
      <w:r>
        <w:rPr>
          <w:rFonts w:ascii="Arial" w:cs="Arial" w:eastAsia="Arial" w:hAnsi="Arial"/>
          <w:sz w:val="12"/>
          <w:szCs w:val="12"/>
          <w:color w:val="auto"/>
        </w:rPr>
        <w:t>File No. 333-152219 MarketLife</w:t>
      </w:r>
      <w:r>
        <w:rPr>
          <w:rFonts w:ascii="Arial" w:cs="Arial" w:eastAsia="Arial" w:hAnsi="Arial"/>
          <w:sz w:val="17"/>
          <w:szCs w:val="17"/>
          <w:color w:val="auto"/>
          <w:vertAlign w:val="superscript"/>
        </w:rPr>
        <w:t>SM</w:t>
      </w:r>
    </w:p>
    <w:p>
      <w:pPr>
        <w:ind w:left="440" w:right="6099"/>
        <w:spacing w:after="0" w:line="247" w:lineRule="auto"/>
        <w:rPr>
          <w:rFonts w:ascii="Arial" w:cs="Arial" w:eastAsia="Arial" w:hAnsi="Arial"/>
          <w:sz w:val="14"/>
          <w:szCs w:val="14"/>
          <w:color w:val="auto"/>
        </w:rPr>
      </w:pPr>
      <w:r>
        <w:rPr>
          <w:rFonts w:ascii="Arial" w:cs="Arial" w:eastAsia="Arial" w:hAnsi="Arial"/>
          <w:sz w:val="13"/>
          <w:szCs w:val="13"/>
          <w:color w:val="auto"/>
        </w:rPr>
        <w:t>File No. 333-56952 Brighthouse Variable Survivorship Life II File No. 333-69771 Brighthouse Variable Survivorship Life</w:t>
      </w:r>
    </w:p>
    <w:p>
      <w:pPr>
        <w:ind w:left="440" w:right="2939"/>
        <w:spacing w:after="0" w:line="229" w:lineRule="auto"/>
        <w:rPr>
          <w:rFonts w:ascii="Arial" w:cs="Arial" w:eastAsia="Arial" w:hAnsi="Arial"/>
          <w:sz w:val="14"/>
          <w:szCs w:val="14"/>
          <w:color w:val="auto"/>
        </w:rPr>
      </w:pPr>
      <w:r>
        <w:rPr>
          <w:rFonts w:ascii="Arial" w:cs="Arial" w:eastAsia="Arial" w:hAnsi="Arial"/>
          <w:sz w:val="14"/>
          <w:szCs w:val="14"/>
          <w:color w:val="auto"/>
        </w:rPr>
        <w:t>File No. 333-96515 Brighthouse Variable Life Accumulator and Brighthouse Variable Life Accumulator - Series 2 File No. 333-96519 Brighthouse Variable Life</w:t>
      </w:r>
    </w:p>
    <w:p>
      <w:pPr>
        <w:spacing w:after="0" w:line="1" w:lineRule="exact"/>
        <w:rPr>
          <w:rFonts w:ascii="Arial" w:cs="Arial" w:eastAsia="Arial" w:hAnsi="Arial"/>
          <w:sz w:val="14"/>
          <w:szCs w:val="14"/>
          <w:color w:val="auto"/>
        </w:rPr>
      </w:pPr>
    </w:p>
    <w:p>
      <w:pPr>
        <w:ind w:left="440" w:right="5499"/>
        <w:spacing w:after="0" w:line="230" w:lineRule="auto"/>
        <w:rPr>
          <w:rFonts w:ascii="Arial" w:cs="Arial" w:eastAsia="Arial" w:hAnsi="Arial"/>
          <w:sz w:val="14"/>
          <w:szCs w:val="14"/>
          <w:color w:val="auto"/>
        </w:rPr>
      </w:pPr>
      <w:r>
        <w:rPr>
          <w:rFonts w:ascii="Arial" w:cs="Arial" w:eastAsia="Arial" w:hAnsi="Arial"/>
          <w:sz w:val="14"/>
          <w:szCs w:val="14"/>
          <w:color w:val="auto"/>
        </w:rPr>
        <w:t>File No. 333-113109 Brighthouse Variable Life Accumulator - Series 3 File No. 333-152216 Portfolio Architect Life</w:t>
      </w:r>
    </w:p>
    <w:p>
      <w:pPr>
        <w:ind w:left="440"/>
        <w:spacing w:after="0"/>
        <w:rPr>
          <w:rFonts w:ascii="Arial" w:cs="Arial" w:eastAsia="Arial" w:hAnsi="Arial"/>
          <w:sz w:val="14"/>
          <w:szCs w:val="14"/>
          <w:color w:val="auto"/>
        </w:rPr>
      </w:pPr>
      <w:r>
        <w:rPr>
          <w:rFonts w:ascii="Arial" w:cs="Arial" w:eastAsia="Arial" w:hAnsi="Arial"/>
          <w:sz w:val="14"/>
          <w:szCs w:val="14"/>
          <w:color w:val="auto"/>
        </w:rPr>
        <w:t>File No. 333-152217 VintageLife,</w:t>
      </w:r>
    </w:p>
    <w:p>
      <w:pPr>
        <w:spacing w:after="0" w:line="166" w:lineRule="exact"/>
        <w:rPr>
          <w:rFonts w:ascii="Arial" w:cs="Arial" w:eastAsia="Arial" w:hAnsi="Arial"/>
          <w:sz w:val="14"/>
          <w:szCs w:val="14"/>
          <w:color w:val="auto"/>
        </w:rPr>
      </w:pPr>
    </w:p>
    <w:p>
      <w:pPr>
        <w:ind w:left="160" w:hanging="158"/>
        <w:spacing w:after="0"/>
        <w:tabs>
          <w:tab w:leader="none" w:pos="160" w:val="left"/>
        </w:tabs>
        <w:numPr>
          <w:ilvl w:val="0"/>
          <w:numId w:val="114"/>
        </w:numPr>
        <w:rPr>
          <w:rFonts w:ascii="Arial" w:cs="Arial" w:eastAsia="Arial" w:hAnsi="Arial"/>
          <w:sz w:val="14"/>
          <w:szCs w:val="14"/>
          <w:color w:val="auto"/>
        </w:rPr>
      </w:pPr>
      <w:r>
        <w:rPr>
          <w:rFonts w:ascii="Arial" w:cs="Arial" w:eastAsia="Arial" w:hAnsi="Arial"/>
          <w:sz w:val="14"/>
          <w:szCs w:val="14"/>
          <w:color w:val="auto"/>
        </w:rPr>
        <w:t>Brighthouse Fund UL III for Variable Life Insurance (811-09215)</w:t>
      </w:r>
    </w:p>
    <w:p>
      <w:pPr>
        <w:ind w:left="440"/>
        <w:spacing w:after="0" w:line="237" w:lineRule="auto"/>
        <w:rPr>
          <w:sz w:val="20"/>
          <w:szCs w:val="20"/>
          <w:color w:val="auto"/>
        </w:rPr>
      </w:pPr>
      <w:r>
        <w:rPr>
          <w:rFonts w:ascii="Arial" w:cs="Arial" w:eastAsia="Arial" w:hAnsi="Arial"/>
          <w:sz w:val="14"/>
          <w:szCs w:val="14"/>
          <w:color w:val="auto"/>
        </w:rPr>
        <w:t>File No. 333-71349 Corporate Owned VUL Series 1</w:t>
      </w:r>
    </w:p>
    <w:p>
      <w:pPr>
        <w:ind w:left="440"/>
        <w:spacing w:after="0" w:line="230" w:lineRule="auto"/>
        <w:rPr>
          <w:sz w:val="20"/>
          <w:szCs w:val="20"/>
          <w:color w:val="auto"/>
        </w:rPr>
      </w:pPr>
      <w:r>
        <w:rPr>
          <w:rFonts w:ascii="Arial" w:cs="Arial" w:eastAsia="Arial" w:hAnsi="Arial"/>
          <w:sz w:val="14"/>
          <w:szCs w:val="14"/>
          <w:color w:val="auto"/>
        </w:rPr>
        <w:t>File No. 333-94779 Corporate Owned VUL 2000 and Corporate Owned VUL III</w:t>
      </w:r>
    </w:p>
    <w:p>
      <w:pPr>
        <w:ind w:left="440"/>
        <w:spacing w:after="0" w:line="230" w:lineRule="auto"/>
        <w:rPr>
          <w:sz w:val="20"/>
          <w:szCs w:val="20"/>
          <w:color w:val="auto"/>
        </w:rPr>
      </w:pPr>
      <w:r>
        <w:rPr>
          <w:rFonts w:ascii="Arial" w:cs="Arial" w:eastAsia="Arial" w:hAnsi="Arial"/>
          <w:sz w:val="14"/>
          <w:szCs w:val="14"/>
          <w:color w:val="auto"/>
        </w:rPr>
        <w:t>File No. 333-105335 Corporate Select Policy</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4"/>
          <w:szCs w:val="14"/>
          <w:color w:val="auto"/>
        </w:rPr>
        <w:t>File No. 333-113533 Corporate Owned VUL IV,</w:t>
      </w:r>
    </w:p>
    <w:p>
      <w:pPr>
        <w:spacing w:after="0" w:line="166" w:lineRule="exact"/>
        <w:rPr>
          <w:sz w:val="20"/>
          <w:szCs w:val="20"/>
          <w:color w:val="auto"/>
        </w:rPr>
      </w:pPr>
    </w:p>
    <w:p>
      <w:pPr>
        <w:spacing w:after="0"/>
        <w:tabs>
          <w:tab w:leader="none" w:pos="14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3"/>
          <w:szCs w:val="13"/>
          <w:color w:val="auto"/>
        </w:rPr>
        <w:t>Brighthouse Separate Account A (811-03365)</w:t>
      </w:r>
    </w:p>
    <w:p>
      <w:pPr>
        <w:ind w:left="440"/>
        <w:spacing w:after="0" w:line="237" w:lineRule="auto"/>
        <w:rPr>
          <w:sz w:val="20"/>
          <w:szCs w:val="20"/>
          <w:color w:val="auto"/>
        </w:rPr>
      </w:pPr>
      <w:r>
        <w:rPr>
          <w:rFonts w:ascii="Arial" w:cs="Arial" w:eastAsia="Arial" w:hAnsi="Arial"/>
          <w:sz w:val="14"/>
          <w:szCs w:val="14"/>
          <w:color w:val="auto"/>
        </w:rPr>
        <w:t>File No. 333-200231 Series VA (offered between October 7, 2011 and May 1, 2016)</w:t>
      </w:r>
    </w:p>
    <w:p>
      <w:pPr>
        <w:spacing w:after="0" w:line="1" w:lineRule="exact"/>
        <w:rPr>
          <w:sz w:val="20"/>
          <w:szCs w:val="20"/>
          <w:color w:val="auto"/>
        </w:rPr>
      </w:pPr>
    </w:p>
    <w:p>
      <w:pPr>
        <w:ind w:left="580" w:right="1899" w:hanging="155"/>
        <w:spacing w:after="0" w:line="229" w:lineRule="auto"/>
        <w:rPr>
          <w:sz w:val="20"/>
          <w:szCs w:val="20"/>
          <w:color w:val="auto"/>
        </w:rPr>
      </w:pPr>
      <w:r>
        <w:rPr>
          <w:rFonts w:ascii="Arial" w:cs="Arial" w:eastAsia="Arial" w:hAnsi="Arial"/>
          <w:sz w:val="14"/>
          <w:szCs w:val="14"/>
          <w:color w:val="auto"/>
        </w:rPr>
        <w:t>File No. 333-200232 Series S (offered between October 7, 2011 and May 1, 2016) and Series S-L Share Option (offered between October 7, 2011 and May 1, 2016)</w:t>
      </w:r>
    </w:p>
    <w:p>
      <w:pPr>
        <w:ind w:left="440"/>
        <w:spacing w:after="0" w:line="232" w:lineRule="auto"/>
        <w:rPr>
          <w:sz w:val="20"/>
          <w:szCs w:val="20"/>
          <w:color w:val="auto"/>
        </w:rPr>
      </w:pPr>
      <w:r>
        <w:rPr>
          <w:rFonts w:ascii="Arial" w:cs="Arial" w:eastAsia="Arial" w:hAnsi="Arial"/>
          <w:sz w:val="14"/>
          <w:szCs w:val="14"/>
          <w:color w:val="auto"/>
        </w:rPr>
        <w:t>File No. 333-200233 Series VA-4 (offered between October 7, 2011 and May 1, 2016)</w:t>
      </w:r>
    </w:p>
    <w:p>
      <w:pPr>
        <w:ind w:left="440"/>
        <w:spacing w:after="0" w:line="230" w:lineRule="auto"/>
        <w:rPr>
          <w:sz w:val="20"/>
          <w:szCs w:val="20"/>
          <w:color w:val="auto"/>
        </w:rPr>
      </w:pPr>
      <w:r>
        <w:rPr>
          <w:rFonts w:ascii="Arial" w:cs="Arial" w:eastAsia="Arial" w:hAnsi="Arial"/>
          <w:sz w:val="14"/>
          <w:szCs w:val="14"/>
          <w:color w:val="auto"/>
        </w:rPr>
        <w:t>File No. 333-200234 Series O (offered between April 30, 2012 and July 19, 2015)</w:t>
      </w:r>
    </w:p>
    <w:p>
      <w:pPr>
        <w:ind w:left="440"/>
        <w:spacing w:after="0" w:line="230" w:lineRule="auto"/>
        <w:rPr>
          <w:sz w:val="20"/>
          <w:szCs w:val="20"/>
          <w:color w:val="auto"/>
        </w:rPr>
      </w:pPr>
      <w:r>
        <w:rPr>
          <w:rFonts w:ascii="Arial" w:cs="Arial" w:eastAsia="Arial" w:hAnsi="Arial"/>
          <w:sz w:val="14"/>
          <w:szCs w:val="14"/>
          <w:color w:val="auto"/>
        </w:rPr>
        <w:t>File No. 333-200236 Series L - 4 Year (offered on and after April 29, 2013)</w:t>
      </w:r>
    </w:p>
    <w:p>
      <w:pPr>
        <w:ind w:left="440"/>
        <w:spacing w:after="0" w:line="230" w:lineRule="auto"/>
        <w:rPr>
          <w:sz w:val="20"/>
          <w:szCs w:val="20"/>
          <w:color w:val="auto"/>
        </w:rPr>
      </w:pPr>
      <w:r>
        <w:rPr>
          <w:rFonts w:ascii="Arial" w:cs="Arial" w:eastAsia="Arial" w:hAnsi="Arial"/>
          <w:sz w:val="14"/>
          <w:szCs w:val="14"/>
          <w:color w:val="auto"/>
        </w:rPr>
        <w:t>File No. 333-200237 PrimElite IV</w:t>
      </w:r>
    </w:p>
    <w:p>
      <w:pPr>
        <w:ind w:left="440"/>
        <w:spacing w:after="0" w:line="230" w:lineRule="auto"/>
        <w:rPr>
          <w:sz w:val="20"/>
          <w:szCs w:val="20"/>
          <w:color w:val="auto"/>
        </w:rPr>
      </w:pPr>
      <w:r>
        <w:rPr>
          <w:rFonts w:ascii="Arial" w:cs="Arial" w:eastAsia="Arial" w:hAnsi="Arial"/>
          <w:sz w:val="14"/>
          <w:szCs w:val="14"/>
          <w:color w:val="auto"/>
        </w:rPr>
        <w:t>File No. 333-200238 Marquis Portfolios (offered on and after April 30, 2012)</w:t>
      </w:r>
    </w:p>
    <w:p>
      <w:pPr>
        <w:ind w:left="440"/>
        <w:spacing w:after="0" w:line="230" w:lineRule="auto"/>
        <w:rPr>
          <w:sz w:val="20"/>
          <w:szCs w:val="20"/>
          <w:color w:val="auto"/>
        </w:rPr>
      </w:pPr>
      <w:r>
        <w:rPr>
          <w:rFonts w:ascii="Arial" w:cs="Arial" w:eastAsia="Arial" w:hAnsi="Arial"/>
          <w:sz w:val="14"/>
          <w:szCs w:val="14"/>
          <w:color w:val="auto"/>
        </w:rPr>
        <w:t>File No. 333-200239 Brighthouse Growth and Income</w:t>
      </w:r>
    </w:p>
    <w:p>
      <w:pPr>
        <w:ind w:left="440"/>
        <w:spacing w:after="0" w:line="229" w:lineRule="auto"/>
        <w:rPr>
          <w:sz w:val="20"/>
          <w:szCs w:val="20"/>
          <w:color w:val="auto"/>
        </w:rPr>
      </w:pPr>
      <w:r>
        <w:rPr>
          <w:rFonts w:ascii="Arial" w:cs="Arial" w:eastAsia="Arial" w:hAnsi="Arial"/>
          <w:sz w:val="14"/>
          <w:szCs w:val="14"/>
          <w:color w:val="auto"/>
        </w:rPr>
        <w:t>File No. 333-200240 Group Flexible Payment Variable Annuity (Flexible Bonus/Retirement Companion/Smart Choice)</w:t>
      </w:r>
    </w:p>
    <w:p>
      <w:pPr>
        <w:ind w:left="440"/>
        <w:spacing w:after="0" w:line="230" w:lineRule="auto"/>
        <w:rPr>
          <w:sz w:val="20"/>
          <w:szCs w:val="20"/>
          <w:color w:val="auto"/>
        </w:rPr>
      </w:pPr>
      <w:r>
        <w:rPr>
          <w:rFonts w:ascii="Arial" w:cs="Arial" w:eastAsia="Arial" w:hAnsi="Arial"/>
          <w:sz w:val="14"/>
          <w:szCs w:val="14"/>
          <w:color w:val="auto"/>
        </w:rPr>
        <w:t>File No. 333-200243 PrimElite III</w:t>
      </w:r>
    </w:p>
    <w:p>
      <w:pPr>
        <w:ind w:left="440"/>
        <w:spacing w:after="0" w:line="190" w:lineRule="auto"/>
        <w:rPr>
          <w:sz w:val="20"/>
          <w:szCs w:val="20"/>
          <w:color w:val="auto"/>
        </w:rPr>
      </w:pPr>
      <w:r>
        <w:rPr>
          <w:rFonts w:ascii="Arial" w:cs="Arial" w:eastAsia="Arial" w:hAnsi="Arial"/>
          <w:sz w:val="12"/>
          <w:szCs w:val="12"/>
          <w:color w:val="auto"/>
        </w:rPr>
        <w:t>File No. 333-200246 Brighthouse Simple Solutions</w:t>
      </w:r>
      <w:r>
        <w:rPr>
          <w:rFonts w:ascii="Arial" w:cs="Arial" w:eastAsia="Arial" w:hAnsi="Arial"/>
          <w:sz w:val="17"/>
          <w:szCs w:val="17"/>
          <w:color w:val="auto"/>
          <w:vertAlign w:val="superscript"/>
        </w:rPr>
        <w:t>SM</w:t>
      </w:r>
    </w:p>
    <w:p>
      <w:pPr>
        <w:ind w:left="440"/>
        <w:spacing w:after="0" w:line="230" w:lineRule="auto"/>
        <w:rPr>
          <w:sz w:val="20"/>
          <w:szCs w:val="20"/>
          <w:color w:val="auto"/>
        </w:rPr>
      </w:pPr>
      <w:r>
        <w:rPr>
          <w:rFonts w:ascii="Arial" w:cs="Arial" w:eastAsia="Arial" w:hAnsi="Arial"/>
          <w:sz w:val="14"/>
          <w:szCs w:val="14"/>
          <w:color w:val="auto"/>
        </w:rPr>
        <w:t>File No. 333-200250 Marquis Portfolios (offered between November 7, 2005 and April 30, 2012)</w:t>
      </w:r>
    </w:p>
    <w:p>
      <w:pPr>
        <w:ind w:left="440"/>
        <w:spacing w:after="0" w:line="230" w:lineRule="auto"/>
        <w:rPr>
          <w:sz w:val="20"/>
          <w:szCs w:val="20"/>
          <w:color w:val="auto"/>
        </w:rPr>
      </w:pPr>
      <w:r>
        <w:rPr>
          <w:rFonts w:ascii="Arial" w:cs="Arial" w:eastAsia="Arial" w:hAnsi="Arial"/>
          <w:sz w:val="14"/>
          <w:szCs w:val="14"/>
          <w:color w:val="auto"/>
        </w:rPr>
        <w:t>File No. 333-200253 Series XC</w:t>
      </w:r>
    </w:p>
    <w:p>
      <w:pPr>
        <w:ind w:left="440"/>
        <w:spacing w:after="0" w:line="230" w:lineRule="auto"/>
        <w:rPr>
          <w:sz w:val="20"/>
          <w:szCs w:val="20"/>
          <w:color w:val="auto"/>
        </w:rPr>
      </w:pPr>
      <w:r>
        <w:rPr>
          <w:rFonts w:ascii="Arial" w:cs="Arial" w:eastAsia="Arial" w:hAnsi="Arial"/>
          <w:sz w:val="14"/>
          <w:szCs w:val="14"/>
          <w:color w:val="auto"/>
        </w:rPr>
        <w:t>File No. 333-200256 Series VA (offered between March 22, 2001 and October 7, 2011)</w:t>
      </w:r>
    </w:p>
    <w:p>
      <w:pPr>
        <w:ind w:left="440"/>
        <w:spacing w:after="0" w:line="230" w:lineRule="auto"/>
        <w:rPr>
          <w:sz w:val="20"/>
          <w:szCs w:val="20"/>
          <w:color w:val="auto"/>
        </w:rPr>
      </w:pPr>
      <w:r>
        <w:rPr>
          <w:rFonts w:ascii="Arial" w:cs="Arial" w:eastAsia="Arial" w:hAnsi="Arial"/>
          <w:sz w:val="14"/>
          <w:szCs w:val="14"/>
          <w:color w:val="auto"/>
        </w:rPr>
        <w:t>File No. 333-200259 Series L and Series L - 4 Year (offered between November 22, 2004 and October 7, 2011)</w:t>
      </w:r>
    </w:p>
    <w:p>
      <w:pPr>
        <w:ind w:left="440"/>
        <w:spacing w:after="0" w:line="230" w:lineRule="auto"/>
        <w:rPr>
          <w:sz w:val="20"/>
          <w:szCs w:val="20"/>
          <w:color w:val="auto"/>
        </w:rPr>
      </w:pPr>
      <w:r>
        <w:rPr>
          <w:rFonts w:ascii="Arial" w:cs="Arial" w:eastAsia="Arial" w:hAnsi="Arial"/>
          <w:sz w:val="14"/>
          <w:szCs w:val="14"/>
          <w:color w:val="auto"/>
        </w:rPr>
        <w:t>File No. 333-200261 Series C (offered between September 4, 2001 and October 7, 2011)</w:t>
      </w:r>
    </w:p>
    <w:p>
      <w:pPr>
        <w:ind w:left="440"/>
        <w:spacing w:after="0" w:line="230" w:lineRule="auto"/>
        <w:rPr>
          <w:sz w:val="20"/>
          <w:szCs w:val="20"/>
          <w:color w:val="auto"/>
        </w:rPr>
      </w:pPr>
      <w:r>
        <w:rPr>
          <w:rFonts w:ascii="Arial" w:cs="Arial" w:eastAsia="Arial" w:hAnsi="Arial"/>
          <w:sz w:val="14"/>
          <w:szCs w:val="14"/>
          <w:color w:val="auto"/>
        </w:rPr>
        <w:t>File No. 333-200263 Series XTRA</w:t>
      </w:r>
    </w:p>
    <w:p>
      <w:pPr>
        <w:ind w:left="440"/>
        <w:spacing w:after="0" w:line="230" w:lineRule="auto"/>
        <w:rPr>
          <w:sz w:val="20"/>
          <w:szCs w:val="20"/>
          <w:color w:val="auto"/>
        </w:rPr>
      </w:pPr>
      <w:r>
        <w:rPr>
          <w:rFonts w:ascii="Arial" w:cs="Arial" w:eastAsia="Arial" w:hAnsi="Arial"/>
          <w:sz w:val="14"/>
          <w:szCs w:val="14"/>
          <w:color w:val="auto"/>
        </w:rPr>
        <w:t>File No. 333-200265 Series S and Series S-L Share Option (offered between April 30, 2007 and October 7, 2011)</w:t>
      </w:r>
    </w:p>
    <w:p>
      <w:pPr>
        <w:ind w:left="440"/>
        <w:spacing w:after="0" w:line="230" w:lineRule="auto"/>
        <w:rPr>
          <w:sz w:val="20"/>
          <w:szCs w:val="20"/>
          <w:color w:val="auto"/>
        </w:rPr>
      </w:pPr>
      <w:r>
        <w:rPr>
          <w:rFonts w:ascii="Arial" w:cs="Arial" w:eastAsia="Arial" w:hAnsi="Arial"/>
          <w:sz w:val="14"/>
          <w:szCs w:val="14"/>
          <w:color w:val="auto"/>
        </w:rPr>
        <w:t>File No. 333-200268 Series L - 4 Year (offered between October 7, 2011 and April 28, 2013)</w:t>
      </w:r>
    </w:p>
    <w:p>
      <w:pPr>
        <w:ind w:left="440"/>
        <w:spacing w:after="0" w:line="230" w:lineRule="auto"/>
        <w:rPr>
          <w:sz w:val="20"/>
          <w:szCs w:val="20"/>
          <w:color w:val="auto"/>
        </w:rPr>
      </w:pPr>
      <w:r>
        <w:rPr>
          <w:rFonts w:ascii="Arial" w:cs="Arial" w:eastAsia="Arial" w:hAnsi="Arial"/>
          <w:sz w:val="14"/>
          <w:szCs w:val="14"/>
          <w:color w:val="auto"/>
        </w:rPr>
        <w:t>File No. 333-200270 Group Annuity SF 101</w:t>
      </w:r>
    </w:p>
    <w:p>
      <w:pPr>
        <w:ind w:left="440"/>
        <w:spacing w:after="0" w:line="230" w:lineRule="auto"/>
        <w:rPr>
          <w:sz w:val="20"/>
          <w:szCs w:val="20"/>
          <w:color w:val="auto"/>
        </w:rPr>
      </w:pPr>
      <w:r>
        <w:rPr>
          <w:rFonts w:ascii="Arial" w:cs="Arial" w:eastAsia="Arial" w:hAnsi="Arial"/>
          <w:sz w:val="14"/>
          <w:szCs w:val="14"/>
          <w:color w:val="auto"/>
        </w:rPr>
        <w:t>File No. 333-200272 Ultimate Annuity FSL 224</w:t>
      </w:r>
    </w:p>
    <w:p>
      <w:pPr>
        <w:ind w:left="440"/>
        <w:spacing w:after="0" w:line="230" w:lineRule="auto"/>
        <w:rPr>
          <w:sz w:val="20"/>
          <w:szCs w:val="20"/>
          <w:color w:val="auto"/>
        </w:rPr>
      </w:pPr>
      <w:r>
        <w:rPr>
          <w:rFonts w:ascii="Arial" w:cs="Arial" w:eastAsia="Arial" w:hAnsi="Arial"/>
          <w:sz w:val="14"/>
          <w:szCs w:val="14"/>
          <w:color w:val="auto"/>
        </w:rPr>
        <w:t>File No. 333-200275 Foresight SF 137</w:t>
      </w:r>
    </w:p>
    <w:p>
      <w:pPr>
        <w:ind w:left="440"/>
        <w:spacing w:after="0" w:line="230" w:lineRule="auto"/>
        <w:rPr>
          <w:sz w:val="20"/>
          <w:szCs w:val="20"/>
          <w:color w:val="auto"/>
        </w:rPr>
      </w:pPr>
      <w:r>
        <w:rPr>
          <w:rFonts w:ascii="Arial" w:cs="Arial" w:eastAsia="Arial" w:hAnsi="Arial"/>
          <w:sz w:val="14"/>
          <w:szCs w:val="14"/>
          <w:color w:val="auto"/>
        </w:rPr>
        <w:t>File No. 333-200277 SecurAnnuity (CLICO) 224/ SF 1700</w:t>
      </w:r>
    </w:p>
    <w:p>
      <w:pPr>
        <w:ind w:left="440"/>
        <w:spacing w:after="0" w:line="230" w:lineRule="auto"/>
        <w:rPr>
          <w:sz w:val="20"/>
          <w:szCs w:val="20"/>
          <w:color w:val="auto"/>
        </w:rPr>
      </w:pPr>
      <w:r>
        <w:rPr>
          <w:rFonts w:ascii="Arial" w:cs="Arial" w:eastAsia="Arial" w:hAnsi="Arial"/>
          <w:sz w:val="14"/>
          <w:szCs w:val="14"/>
          <w:color w:val="auto"/>
        </w:rPr>
        <w:t>File No. 333-200278 Group VA SF 234 (Texas)</w:t>
      </w:r>
    </w:p>
    <w:p>
      <w:pPr>
        <w:ind w:left="440"/>
        <w:spacing w:after="0" w:line="230" w:lineRule="auto"/>
        <w:rPr>
          <w:sz w:val="20"/>
          <w:szCs w:val="20"/>
          <w:color w:val="auto"/>
        </w:rPr>
      </w:pPr>
      <w:r>
        <w:rPr>
          <w:rFonts w:ascii="Arial" w:cs="Arial" w:eastAsia="Arial" w:hAnsi="Arial"/>
          <w:sz w:val="14"/>
          <w:szCs w:val="14"/>
          <w:color w:val="auto"/>
        </w:rPr>
        <w:t>File No. 333-200280 Sunshine SF 236 FL</w:t>
      </w:r>
    </w:p>
    <w:p>
      <w:pPr>
        <w:ind w:left="440"/>
        <w:spacing w:after="0" w:line="230" w:lineRule="auto"/>
        <w:rPr>
          <w:sz w:val="20"/>
          <w:szCs w:val="20"/>
          <w:color w:val="auto"/>
        </w:rPr>
      </w:pPr>
      <w:r>
        <w:rPr>
          <w:rFonts w:ascii="Arial" w:cs="Arial" w:eastAsia="Arial" w:hAnsi="Arial"/>
          <w:sz w:val="14"/>
          <w:szCs w:val="14"/>
          <w:color w:val="auto"/>
        </w:rPr>
        <w:t>File No. 333-200281 Flexible Value SF 230</w:t>
      </w:r>
    </w:p>
    <w:p>
      <w:pPr>
        <w:ind w:left="440" w:right="3199"/>
        <w:spacing w:after="0"/>
        <w:rPr>
          <w:sz w:val="20"/>
          <w:szCs w:val="20"/>
          <w:color w:val="auto"/>
        </w:rPr>
      </w:pPr>
      <w:r>
        <w:rPr>
          <w:rFonts w:ascii="Arial" w:cs="Arial" w:eastAsia="Arial" w:hAnsi="Arial"/>
          <w:sz w:val="14"/>
          <w:szCs w:val="14"/>
          <w:color w:val="auto"/>
        </w:rPr>
        <w:t>File No. 333-200282 Investors Choice Annuity, Capital Strategist Annuity, Imprint Annuity and Strive Annuity File No. 333-200283 Protected Equity Portfolio (PEP)</w:t>
      </w:r>
    </w:p>
    <w:p>
      <w:pPr>
        <w:sectPr>
          <w:pgSz w:w="11900" w:h="16838" w:orient="portrait"/>
          <w:cols w:equalWidth="0" w:num="1">
            <w:col w:w="10159"/>
          </w:cols>
          <w:pgMar w:left="300" w:top="125" w:right="1440" w:bottom="1440" w:gutter="0" w:footer="0" w:header="0"/>
        </w:sectPr>
      </w:pPr>
    </w:p>
    <w:bookmarkStart w:id="104" w:name="page105"/>
    <w:bookmarkEnd w:id="104"/>
    <w:p>
      <w:pPr>
        <w:ind w:left="44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6">
                      <a:extLst>
                        <a:ext uri="{28A0092B-C50C-407E-A947-70E740481C1C}"/>
                      </a:extLst>
                    </a:blip>
                    <a:srcRect/>
                    <a:stretch>
                      <a:fillRect/>
                    </a:stretch>
                  </pic:blipFill>
                  <pic:spPr bwMode="auto">
                    <a:xfrm>
                      <a:off x="0" y="0"/>
                      <a:ext cx="7203440" cy="32385"/>
                    </a:xfrm>
                    <a:prstGeom prst="rect">
                      <a:avLst/>
                    </a:prstGeom>
                    <a:noFill/>
                  </pic:spPr>
                </pic:pic>
              </a:graphicData>
            </a:graphic>
          </wp:anchor>
        </w:drawing>
        <w:t>File No. 333-200284 Vintage L and Vintage XC</w:t>
      </w:r>
    </w:p>
    <w:p>
      <w:pPr>
        <w:ind w:left="440"/>
        <w:spacing w:after="0" w:line="237" w:lineRule="auto"/>
        <w:rPr>
          <w:sz w:val="20"/>
          <w:szCs w:val="20"/>
          <w:color w:val="auto"/>
        </w:rPr>
      </w:pPr>
      <w:r>
        <w:rPr>
          <w:rFonts w:ascii="Arial" w:cs="Arial" w:eastAsia="Arial" w:hAnsi="Arial"/>
          <w:sz w:val="14"/>
          <w:szCs w:val="14"/>
          <w:color w:val="auto"/>
        </w:rPr>
        <w:t>File No. 333-200285 Series XTRA 6</w:t>
      </w:r>
    </w:p>
    <w:p>
      <w:pPr>
        <w:ind w:left="440"/>
        <w:spacing w:after="0" w:line="230" w:lineRule="auto"/>
        <w:rPr>
          <w:sz w:val="20"/>
          <w:szCs w:val="20"/>
          <w:color w:val="auto"/>
        </w:rPr>
      </w:pPr>
      <w:r>
        <w:rPr>
          <w:rFonts w:ascii="Arial" w:cs="Arial" w:eastAsia="Arial" w:hAnsi="Arial"/>
          <w:sz w:val="14"/>
          <w:szCs w:val="14"/>
          <w:color w:val="auto"/>
        </w:rPr>
        <w:t>File No. 333-200286 Series VA - 4 (offered between May 1, 2011 and October 7, 2011)</w:t>
      </w:r>
    </w:p>
    <w:p>
      <w:pPr>
        <w:ind w:left="440"/>
        <w:spacing w:after="0" w:line="230" w:lineRule="auto"/>
        <w:rPr>
          <w:sz w:val="20"/>
          <w:szCs w:val="20"/>
          <w:color w:val="auto"/>
        </w:rPr>
      </w:pPr>
      <w:r>
        <w:rPr>
          <w:rFonts w:ascii="Arial" w:cs="Arial" w:eastAsia="Arial" w:hAnsi="Arial"/>
          <w:sz w:val="14"/>
          <w:szCs w:val="14"/>
          <w:color w:val="auto"/>
        </w:rPr>
        <w:t>File No. 333-200287 Series C (offered on and after October 7, 2011)</w:t>
      </w:r>
    </w:p>
    <w:p>
      <w:pPr>
        <w:ind w:left="440"/>
        <w:spacing w:after="0" w:line="230" w:lineRule="auto"/>
        <w:rPr>
          <w:sz w:val="20"/>
          <w:szCs w:val="20"/>
          <w:color w:val="auto"/>
        </w:rPr>
      </w:pPr>
      <w:r>
        <w:rPr>
          <w:rFonts w:ascii="Arial" w:cs="Arial" w:eastAsia="Arial" w:hAnsi="Arial"/>
          <w:sz w:val="14"/>
          <w:szCs w:val="14"/>
          <w:color w:val="auto"/>
        </w:rPr>
        <w:t>File No. 333-200288 Pioneer PRISM</w:t>
      </w:r>
    </w:p>
    <w:p>
      <w:pPr>
        <w:ind w:left="440"/>
        <w:spacing w:after="0" w:line="230" w:lineRule="auto"/>
        <w:rPr>
          <w:sz w:val="20"/>
          <w:szCs w:val="20"/>
          <w:color w:val="auto"/>
        </w:rPr>
      </w:pPr>
      <w:r>
        <w:rPr>
          <w:rFonts w:ascii="Arial" w:cs="Arial" w:eastAsia="Arial" w:hAnsi="Arial"/>
          <w:sz w:val="14"/>
          <w:szCs w:val="14"/>
          <w:color w:val="auto"/>
        </w:rPr>
        <w:t>File No. 333-200289 Pioneer PRISM L</w:t>
      </w:r>
    </w:p>
    <w:p>
      <w:pPr>
        <w:ind w:left="440"/>
        <w:spacing w:after="0" w:line="230" w:lineRule="auto"/>
        <w:rPr>
          <w:sz w:val="20"/>
          <w:szCs w:val="20"/>
          <w:color w:val="auto"/>
        </w:rPr>
      </w:pPr>
      <w:r>
        <w:rPr>
          <w:rFonts w:ascii="Arial" w:cs="Arial" w:eastAsia="Arial" w:hAnsi="Arial"/>
          <w:sz w:val="14"/>
          <w:szCs w:val="14"/>
          <w:color w:val="auto"/>
        </w:rPr>
        <w:t>File No. 333-200290 Pioneer PRISM XC</w:t>
      </w:r>
    </w:p>
    <w:p>
      <w:pPr>
        <w:spacing w:after="0" w:line="1" w:lineRule="exact"/>
        <w:rPr>
          <w:sz w:val="20"/>
          <w:szCs w:val="20"/>
          <w:color w:val="auto"/>
        </w:rPr>
      </w:pPr>
    </w:p>
    <w:p>
      <w:pPr>
        <w:ind w:left="580" w:right="2279" w:hanging="155"/>
        <w:spacing w:after="0" w:line="214" w:lineRule="auto"/>
        <w:rPr>
          <w:sz w:val="20"/>
          <w:szCs w:val="20"/>
          <w:color w:val="auto"/>
        </w:rPr>
      </w:pPr>
      <w:r>
        <w:rPr>
          <w:rFonts w:ascii="Arial" w:cs="Arial" w:eastAsia="Arial" w:hAnsi="Arial"/>
          <w:sz w:val="12"/>
          <w:szCs w:val="12"/>
          <w:color w:val="auto"/>
        </w:rPr>
        <w:t>File No. 333-200323 Brighthouse Investment Portfolio Architect</w:t>
      </w:r>
      <w:r>
        <w:rPr>
          <w:rFonts w:ascii="Arial" w:cs="Arial" w:eastAsia="Arial" w:hAnsi="Arial"/>
          <w:sz w:val="18"/>
          <w:szCs w:val="18"/>
          <w:color w:val="auto"/>
          <w:vertAlign w:val="superscript"/>
        </w:rPr>
        <w:t>SM</w:t>
      </w:r>
      <w:r>
        <w:rPr>
          <w:rFonts w:ascii="Arial" w:cs="Arial" w:eastAsia="Arial" w:hAnsi="Arial"/>
          <w:sz w:val="12"/>
          <w:szCs w:val="12"/>
          <w:color w:val="auto"/>
        </w:rPr>
        <w:t xml:space="preserve"> - Standard Version and Brighthouse Investment Portfolio Architect</w:t>
      </w:r>
      <w:r>
        <w:rPr>
          <w:rFonts w:ascii="Arial" w:cs="Arial" w:eastAsia="Arial" w:hAnsi="Arial"/>
          <w:sz w:val="18"/>
          <w:szCs w:val="18"/>
          <w:color w:val="auto"/>
          <w:vertAlign w:val="superscript"/>
        </w:rPr>
        <w:t>SM</w:t>
      </w:r>
      <w:r>
        <w:rPr>
          <w:rFonts w:ascii="Arial" w:cs="Arial" w:eastAsia="Arial" w:hAnsi="Arial"/>
          <w:sz w:val="12"/>
          <w:szCs w:val="12"/>
          <w:color w:val="auto"/>
        </w:rPr>
        <w:t xml:space="preserve"> - C Share Option</w:t>
      </w:r>
    </w:p>
    <w:p>
      <w:pPr>
        <w:ind w:left="440"/>
        <w:spacing w:after="0" w:line="231" w:lineRule="auto"/>
        <w:rPr>
          <w:sz w:val="20"/>
          <w:szCs w:val="20"/>
          <w:color w:val="auto"/>
        </w:rPr>
      </w:pPr>
      <w:r>
        <w:rPr>
          <w:rFonts w:ascii="Arial" w:cs="Arial" w:eastAsia="Arial" w:hAnsi="Arial"/>
          <w:sz w:val="14"/>
          <w:szCs w:val="14"/>
          <w:color w:val="auto"/>
        </w:rPr>
        <w:t>File No. 333-203748 Series O (offered on and after July 20, 2015)</w:t>
      </w:r>
    </w:p>
    <w:p>
      <w:pPr>
        <w:ind w:left="440"/>
        <w:spacing w:after="0" w:line="230" w:lineRule="auto"/>
        <w:rPr>
          <w:sz w:val="20"/>
          <w:szCs w:val="20"/>
          <w:color w:val="auto"/>
        </w:rPr>
      </w:pPr>
      <w:r>
        <w:rPr>
          <w:rFonts w:ascii="Arial" w:cs="Arial" w:eastAsia="Arial" w:hAnsi="Arial"/>
          <w:sz w:val="14"/>
          <w:szCs w:val="14"/>
          <w:color w:val="auto"/>
        </w:rPr>
        <w:t>File No. 333-209053 Series VA (offered on and after May 2, 2016)</w:t>
      </w:r>
    </w:p>
    <w:p>
      <w:pPr>
        <w:ind w:left="440"/>
        <w:spacing w:after="0" w:line="230" w:lineRule="auto"/>
        <w:rPr>
          <w:sz w:val="20"/>
          <w:szCs w:val="20"/>
          <w:color w:val="auto"/>
        </w:rPr>
      </w:pPr>
      <w:r>
        <w:rPr>
          <w:rFonts w:ascii="Arial" w:cs="Arial" w:eastAsia="Arial" w:hAnsi="Arial"/>
          <w:sz w:val="14"/>
          <w:szCs w:val="14"/>
          <w:color w:val="auto"/>
        </w:rPr>
        <w:t>File No. 333-209054 Series VA- 4 (offered on and after May 2, 2016)</w:t>
      </w:r>
    </w:p>
    <w:p>
      <w:pPr>
        <w:ind w:left="440"/>
        <w:spacing w:after="0"/>
        <w:rPr>
          <w:sz w:val="20"/>
          <w:szCs w:val="20"/>
          <w:color w:val="auto"/>
        </w:rPr>
      </w:pPr>
      <w:r>
        <w:rPr>
          <w:rFonts w:ascii="Arial" w:cs="Arial" w:eastAsia="Arial" w:hAnsi="Arial"/>
          <w:sz w:val="13"/>
          <w:szCs w:val="13"/>
          <w:color w:val="auto"/>
        </w:rPr>
        <w:t>File No. 333-209055 Series S (offered on and after May 2, 2016) and Series S-L Share Option (offered on and after May 2, 2016)</w:t>
      </w:r>
    </w:p>
    <w:p>
      <w:pPr>
        <w:spacing w:after="0" w:line="5" w:lineRule="exact"/>
        <w:rPr>
          <w:sz w:val="20"/>
          <w:szCs w:val="20"/>
          <w:color w:val="auto"/>
        </w:rPr>
      </w:pPr>
    </w:p>
    <w:p>
      <w:pPr>
        <w:ind w:left="440"/>
        <w:spacing w:after="0"/>
        <w:rPr>
          <w:sz w:val="20"/>
          <w:szCs w:val="20"/>
          <w:color w:val="auto"/>
        </w:rPr>
      </w:pPr>
      <w:r>
        <w:rPr>
          <w:rFonts w:ascii="Arial" w:cs="Arial" w:eastAsia="Arial" w:hAnsi="Arial"/>
          <w:sz w:val="14"/>
          <w:szCs w:val="14"/>
          <w:color w:val="auto"/>
        </w:rPr>
        <w:t>File No. 333-209411 Brighthouse Prime Options,</w:t>
      </w:r>
    </w:p>
    <w:p>
      <w:pPr>
        <w:spacing w:after="0" w:line="166" w:lineRule="exact"/>
        <w:rPr>
          <w:sz w:val="20"/>
          <w:szCs w:val="20"/>
          <w:color w:val="auto"/>
        </w:rPr>
      </w:pPr>
    </w:p>
    <w:p>
      <w:pPr>
        <w:spacing w:after="0"/>
        <w:tabs>
          <w:tab w:leader="none" w:pos="14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3"/>
          <w:szCs w:val="13"/>
          <w:color w:val="auto"/>
        </w:rPr>
        <w:t>Brighthouse Separate Account Eleven for Variable Annuities (811-21262)</w:t>
      </w:r>
    </w:p>
    <w:p>
      <w:pPr>
        <w:spacing w:after="0" w:line="5" w:lineRule="exact"/>
        <w:rPr>
          <w:sz w:val="20"/>
          <w:szCs w:val="20"/>
          <w:color w:val="auto"/>
        </w:rPr>
      </w:pPr>
    </w:p>
    <w:p>
      <w:pPr>
        <w:ind w:left="580" w:right="2059" w:hanging="155"/>
        <w:spacing w:after="0" w:line="229" w:lineRule="auto"/>
        <w:rPr>
          <w:sz w:val="20"/>
          <w:szCs w:val="20"/>
          <w:color w:val="auto"/>
        </w:rPr>
      </w:pPr>
      <w:r>
        <w:rPr>
          <w:rFonts w:ascii="Arial" w:cs="Arial" w:eastAsia="Arial" w:hAnsi="Arial"/>
          <w:sz w:val="14"/>
          <w:szCs w:val="14"/>
          <w:color w:val="auto"/>
        </w:rPr>
        <w:t>File Nos. 333-101778 and 333-152234 Pioneer AnnuiStar Plus Annuity, Portfolio Architect Plus Annuity and Scudder Advocate Rewards Annuity</w:t>
      </w:r>
    </w:p>
    <w:p>
      <w:pPr>
        <w:ind w:left="440"/>
        <w:spacing w:after="0" w:line="232" w:lineRule="auto"/>
        <w:rPr>
          <w:sz w:val="20"/>
          <w:szCs w:val="20"/>
          <w:color w:val="auto"/>
        </w:rPr>
      </w:pPr>
      <w:r>
        <w:rPr>
          <w:rFonts w:ascii="Arial" w:cs="Arial" w:eastAsia="Arial" w:hAnsi="Arial"/>
          <w:sz w:val="14"/>
          <w:szCs w:val="14"/>
          <w:color w:val="auto"/>
        </w:rPr>
        <w:t>File No. 333-152189 Universal Annuity</w:t>
      </w:r>
    </w:p>
    <w:p>
      <w:pPr>
        <w:ind w:left="440"/>
        <w:spacing w:after="0" w:line="230" w:lineRule="auto"/>
        <w:rPr>
          <w:sz w:val="20"/>
          <w:szCs w:val="20"/>
          <w:color w:val="auto"/>
        </w:rPr>
      </w:pPr>
      <w:r>
        <w:rPr>
          <w:rFonts w:ascii="Arial" w:cs="Arial" w:eastAsia="Arial" w:hAnsi="Arial"/>
          <w:sz w:val="14"/>
          <w:szCs w:val="14"/>
          <w:color w:val="auto"/>
        </w:rPr>
        <w:t>File No. 333-152190 Universal Select Annuity</w:t>
      </w:r>
    </w:p>
    <w:p>
      <w:pPr>
        <w:ind w:left="440"/>
        <w:spacing w:after="0" w:line="230" w:lineRule="auto"/>
        <w:rPr>
          <w:sz w:val="20"/>
          <w:szCs w:val="20"/>
          <w:color w:val="auto"/>
        </w:rPr>
      </w:pPr>
      <w:r>
        <w:rPr>
          <w:rFonts w:ascii="Arial" w:cs="Arial" w:eastAsia="Arial" w:hAnsi="Arial"/>
          <w:sz w:val="14"/>
          <w:szCs w:val="14"/>
          <w:color w:val="auto"/>
        </w:rPr>
        <w:t>File No. 333-152191 Universal Annuity Advantage</w:t>
      </w:r>
    </w:p>
    <w:p>
      <w:pPr>
        <w:ind w:left="440"/>
        <w:spacing w:after="0" w:line="230" w:lineRule="auto"/>
        <w:rPr>
          <w:sz w:val="20"/>
          <w:szCs w:val="20"/>
          <w:color w:val="auto"/>
        </w:rPr>
      </w:pPr>
      <w:r>
        <w:rPr>
          <w:rFonts w:ascii="Arial" w:cs="Arial" w:eastAsia="Arial" w:hAnsi="Arial"/>
          <w:sz w:val="14"/>
          <w:szCs w:val="14"/>
          <w:color w:val="auto"/>
        </w:rPr>
        <w:t>File Nos. 333-152192 and 333-152193 Brighthouse Retirement Account</w:t>
      </w:r>
    </w:p>
    <w:p>
      <w:pPr>
        <w:ind w:left="440"/>
        <w:spacing w:after="0" w:line="230" w:lineRule="auto"/>
        <w:rPr>
          <w:sz w:val="20"/>
          <w:szCs w:val="20"/>
          <w:color w:val="auto"/>
        </w:rPr>
      </w:pPr>
      <w:r>
        <w:rPr>
          <w:rFonts w:ascii="Arial" w:cs="Arial" w:eastAsia="Arial" w:hAnsi="Arial"/>
          <w:sz w:val="14"/>
          <w:szCs w:val="14"/>
          <w:color w:val="auto"/>
        </w:rPr>
        <w:t>File No. 333-152194 Gold Track and Gold Track Select</w:t>
      </w:r>
    </w:p>
    <w:p>
      <w:pPr>
        <w:ind w:left="440" w:right="3219"/>
        <w:spacing w:after="0" w:line="229" w:lineRule="auto"/>
        <w:rPr>
          <w:sz w:val="20"/>
          <w:szCs w:val="20"/>
          <w:color w:val="auto"/>
        </w:rPr>
      </w:pPr>
      <w:r>
        <w:rPr>
          <w:rFonts w:ascii="Arial" w:cs="Arial" w:eastAsia="Arial" w:hAnsi="Arial"/>
          <w:sz w:val="14"/>
          <w:szCs w:val="14"/>
          <w:color w:val="auto"/>
        </w:rPr>
        <w:t>File Nos. 333-152197 and 333-152198 Brighthouse Access Annuity and Brighthouse Access Select Annuity File Nos. 333-152199 and 333-152200 Vintage Annuity File Nos. 333-152201 and 333-152202 Index Annuity</w:t>
      </w:r>
    </w:p>
    <w:p>
      <w:pPr>
        <w:spacing w:after="0" w:line="2" w:lineRule="exact"/>
        <w:rPr>
          <w:sz w:val="20"/>
          <w:szCs w:val="20"/>
          <w:color w:val="auto"/>
        </w:rPr>
      </w:pPr>
    </w:p>
    <w:p>
      <w:pPr>
        <w:ind w:left="440" w:right="3679"/>
        <w:spacing w:after="0" w:line="230" w:lineRule="auto"/>
        <w:rPr>
          <w:sz w:val="20"/>
          <w:szCs w:val="20"/>
          <w:color w:val="auto"/>
        </w:rPr>
      </w:pPr>
      <w:r>
        <w:rPr>
          <w:rFonts w:ascii="Arial" w:cs="Arial" w:eastAsia="Arial" w:hAnsi="Arial"/>
          <w:sz w:val="14"/>
          <w:szCs w:val="14"/>
          <w:color w:val="auto"/>
        </w:rPr>
        <w:t>File Nos. 333-152232 and 333-152233 Portfolio Architect Annuity, Portfolio Architect Select Annuity, Premier Advisers Annuity (Class I) and Premier Advisers Annuity (Class II)</w:t>
      </w:r>
    </w:p>
    <w:p>
      <w:pPr>
        <w:ind w:left="580" w:right="2179" w:hanging="155"/>
        <w:spacing w:after="0" w:line="230" w:lineRule="auto"/>
        <w:rPr>
          <w:sz w:val="20"/>
          <w:szCs w:val="20"/>
          <w:color w:val="auto"/>
        </w:rPr>
      </w:pPr>
      <w:r>
        <w:rPr>
          <w:rFonts w:ascii="Arial" w:cs="Arial" w:eastAsia="Arial" w:hAnsi="Arial"/>
          <w:sz w:val="14"/>
          <w:szCs w:val="14"/>
          <w:color w:val="auto"/>
        </w:rPr>
        <w:t>File Nos. 333-152235 and 333-152236 Pioneer AnnuiStar Annuity, Portfolio Architect II Annuity and Pioneer AnnuiStar Value Annuity</w:t>
      </w:r>
    </w:p>
    <w:p>
      <w:pPr>
        <w:ind w:left="580" w:right="1839" w:hanging="155"/>
        <w:spacing w:after="0" w:line="229" w:lineRule="auto"/>
        <w:rPr>
          <w:sz w:val="20"/>
          <w:szCs w:val="20"/>
          <w:color w:val="auto"/>
        </w:rPr>
      </w:pPr>
      <w:r>
        <w:rPr>
          <w:rFonts w:ascii="Arial" w:cs="Arial" w:eastAsia="Arial" w:hAnsi="Arial"/>
          <w:sz w:val="14"/>
          <w:szCs w:val="14"/>
          <w:color w:val="auto"/>
        </w:rPr>
        <w:t>File Nos. 333-152237 and 333-152238 Premier Advisers II Annuity, Premier Advisers III (Series I) and Premier Advisers III Annuity (Series II)</w:t>
      </w:r>
    </w:p>
    <w:p>
      <w:pPr>
        <w:spacing w:after="0" w:line="1" w:lineRule="exact"/>
        <w:rPr>
          <w:sz w:val="20"/>
          <w:szCs w:val="20"/>
          <w:color w:val="auto"/>
        </w:rPr>
      </w:pPr>
    </w:p>
    <w:p>
      <w:pPr>
        <w:ind w:left="580" w:right="1779" w:hanging="155"/>
        <w:spacing w:after="0" w:line="230" w:lineRule="auto"/>
        <w:rPr>
          <w:sz w:val="20"/>
          <w:szCs w:val="20"/>
          <w:color w:val="auto"/>
        </w:rPr>
      </w:pPr>
      <w:r>
        <w:rPr>
          <w:rFonts w:ascii="Arial" w:cs="Arial" w:eastAsia="Arial" w:hAnsi="Arial"/>
          <w:sz w:val="14"/>
          <w:szCs w:val="14"/>
          <w:color w:val="auto"/>
        </w:rPr>
        <w:t>File Nos. 333-152239 and 333-152240 Premier Advisers AssetManager Annuity, Premier Advisers L Annuity (Series I) and Premier Advisers L Annuity (Series II)</w:t>
      </w:r>
    </w:p>
    <w:p>
      <w:pPr>
        <w:ind w:left="580" w:right="1819" w:hanging="155"/>
        <w:spacing w:after="0" w:line="230" w:lineRule="auto"/>
        <w:rPr>
          <w:sz w:val="20"/>
          <w:szCs w:val="20"/>
          <w:color w:val="auto"/>
        </w:rPr>
      </w:pPr>
      <w:r>
        <w:rPr>
          <w:rFonts w:ascii="Arial" w:cs="Arial" w:eastAsia="Arial" w:hAnsi="Arial"/>
          <w:sz w:val="14"/>
          <w:szCs w:val="14"/>
          <w:color w:val="auto"/>
        </w:rPr>
        <w:t>File Nos. 333-152255 and 333-152265 Vintage XTRA Annuity, Portfolio Architect XTRA Annuity and Vintage XTRA Annuity (Series II)</w:t>
      </w:r>
    </w:p>
    <w:p>
      <w:pPr>
        <w:ind w:left="580" w:right="2119" w:hanging="155"/>
        <w:spacing w:after="0" w:line="229" w:lineRule="auto"/>
        <w:rPr>
          <w:sz w:val="20"/>
          <w:szCs w:val="20"/>
          <w:color w:val="auto"/>
        </w:rPr>
      </w:pPr>
      <w:r>
        <w:rPr>
          <w:rFonts w:ascii="Arial" w:cs="Arial" w:eastAsia="Arial" w:hAnsi="Arial"/>
          <w:sz w:val="14"/>
          <w:szCs w:val="14"/>
          <w:color w:val="auto"/>
        </w:rPr>
        <w:t>File Nos. 333-152256 and 333-152292 Vintage 3 Annuity, Portfolio Architect 3 Annuity, Portfolio Architect L Annuity, Vintage L Annuity and Pioneer AnnuiStar Flex Annuity</w:t>
      </w:r>
    </w:p>
    <w:p>
      <w:pPr>
        <w:ind w:left="440"/>
        <w:spacing w:after="0" w:line="232" w:lineRule="auto"/>
        <w:rPr>
          <w:sz w:val="20"/>
          <w:szCs w:val="20"/>
          <w:color w:val="auto"/>
        </w:rPr>
      </w:pPr>
      <w:r>
        <w:rPr>
          <w:rFonts w:ascii="Arial" w:cs="Arial" w:eastAsia="Arial" w:hAnsi="Arial"/>
          <w:sz w:val="14"/>
          <w:szCs w:val="14"/>
          <w:color w:val="auto"/>
        </w:rPr>
        <w:t>File Nos. 333-152258 and 333-152261 PrimElite Annuity</w:t>
      </w:r>
    </w:p>
    <w:p>
      <w:pPr>
        <w:ind w:left="440"/>
        <w:spacing w:after="0" w:line="230" w:lineRule="auto"/>
        <w:rPr>
          <w:sz w:val="20"/>
          <w:szCs w:val="20"/>
          <w:color w:val="auto"/>
        </w:rPr>
      </w:pPr>
      <w:r>
        <w:rPr>
          <w:rFonts w:ascii="Arial" w:cs="Arial" w:eastAsia="Arial" w:hAnsi="Arial"/>
          <w:sz w:val="14"/>
          <w:szCs w:val="14"/>
          <w:color w:val="auto"/>
        </w:rPr>
        <w:t>File Nos. 333-152259 and 333-152262 PrimElite II Annuity</w:t>
      </w:r>
    </w:p>
    <w:p>
      <w:pPr>
        <w:ind w:left="440"/>
        <w:spacing w:after="0" w:line="230" w:lineRule="auto"/>
        <w:rPr>
          <w:sz w:val="20"/>
          <w:szCs w:val="20"/>
          <w:color w:val="auto"/>
        </w:rPr>
      </w:pPr>
      <w:r>
        <w:rPr>
          <w:rFonts w:ascii="Arial" w:cs="Arial" w:eastAsia="Arial" w:hAnsi="Arial"/>
          <w:sz w:val="14"/>
          <w:szCs w:val="14"/>
          <w:color w:val="auto"/>
        </w:rPr>
        <w:t>File Nos. 333-152260 and 333-152266 Protected Equity Portfolio Annuity</w:t>
      </w:r>
    </w:p>
    <w:p>
      <w:pPr>
        <w:ind w:left="440"/>
        <w:spacing w:after="0" w:line="230" w:lineRule="auto"/>
        <w:rPr>
          <w:sz w:val="20"/>
          <w:szCs w:val="20"/>
          <w:color w:val="auto"/>
        </w:rPr>
      </w:pPr>
      <w:r>
        <w:rPr>
          <w:rFonts w:ascii="Arial" w:cs="Arial" w:eastAsia="Arial" w:hAnsi="Arial"/>
          <w:sz w:val="14"/>
          <w:szCs w:val="14"/>
          <w:color w:val="auto"/>
        </w:rPr>
        <w:t>File Nos. 333-152263 and 333-152269 Marquis Portfolios</w:t>
      </w:r>
    </w:p>
    <w:p>
      <w:pPr>
        <w:ind w:left="580" w:right="2259" w:hanging="155"/>
        <w:spacing w:after="0" w:line="230" w:lineRule="auto"/>
        <w:rPr>
          <w:sz w:val="20"/>
          <w:szCs w:val="20"/>
          <w:color w:val="auto"/>
        </w:rPr>
      </w:pPr>
      <w:r>
        <w:rPr>
          <w:rFonts w:ascii="Arial" w:cs="Arial" w:eastAsia="Arial" w:hAnsi="Arial"/>
          <w:sz w:val="14"/>
          <w:szCs w:val="14"/>
          <w:color w:val="auto"/>
        </w:rPr>
        <w:t>File Nos. 333-152264 and 333-152270 Vintage Access, Portfolio Architect Access, Scudder Advocate Advisor and Scudder Advocate Advisor - ST1 Annuity</w:t>
      </w:r>
    </w:p>
    <w:p>
      <w:pPr>
        <w:ind w:left="440"/>
        <w:spacing w:after="0" w:line="230" w:lineRule="auto"/>
        <w:rPr>
          <w:sz w:val="20"/>
          <w:szCs w:val="20"/>
          <w:color w:val="auto"/>
        </w:rPr>
      </w:pPr>
      <w:r>
        <w:rPr>
          <w:rFonts w:ascii="Arial" w:cs="Arial" w:eastAsia="Arial" w:hAnsi="Arial"/>
          <w:sz w:val="14"/>
          <w:szCs w:val="14"/>
          <w:color w:val="auto"/>
        </w:rPr>
        <w:t>File Nos. 333-152267 and 333-152268 Vintage II Annuity and Vintage II Annuity (Series II)</w:t>
      </w:r>
    </w:p>
    <w:p>
      <w:pPr>
        <w:ind w:left="440"/>
        <w:spacing w:after="0" w:line="230" w:lineRule="auto"/>
        <w:rPr>
          <w:sz w:val="20"/>
          <w:szCs w:val="20"/>
          <w:color w:val="auto"/>
        </w:rPr>
      </w:pPr>
      <w:r>
        <w:rPr>
          <w:rFonts w:ascii="Arial" w:cs="Arial" w:eastAsia="Arial" w:hAnsi="Arial"/>
          <w:sz w:val="14"/>
          <w:szCs w:val="14"/>
          <w:color w:val="auto"/>
        </w:rPr>
        <w:t>File No. 333-197658 Brighthouse Accumulation Annuity</w:t>
      </w:r>
    </w:p>
    <w:p>
      <w:pPr>
        <w:ind w:left="440"/>
        <w:spacing w:after="0"/>
        <w:rPr>
          <w:sz w:val="20"/>
          <w:szCs w:val="20"/>
          <w:color w:val="auto"/>
        </w:rPr>
      </w:pPr>
      <w:r>
        <w:rPr>
          <w:rFonts w:ascii="Arial" w:cs="Arial" w:eastAsia="Arial" w:hAnsi="Arial"/>
          <w:sz w:val="14"/>
          <w:szCs w:val="14"/>
          <w:color w:val="auto"/>
        </w:rPr>
        <w:t>File No. 333-208464 Brighthouse Premier Variable Annuity</w:t>
      </w:r>
      <w:r>
        <w:rPr>
          <w:rFonts w:ascii="Arial" w:cs="Arial" w:eastAsia="Arial" w:hAnsi="Arial"/>
          <w:sz w:val="20"/>
          <w:szCs w:val="20"/>
          <w:color w:val="auto"/>
          <w:vertAlign w:val="superscript"/>
        </w:rPr>
        <w:t>SM</w:t>
      </w:r>
      <w:r>
        <w:rPr>
          <w:rFonts w:ascii="Arial" w:cs="Arial" w:eastAsia="Arial" w:hAnsi="Arial"/>
          <w:sz w:val="14"/>
          <w:szCs w:val="14"/>
          <w:color w:val="auto"/>
        </w:rPr>
        <w:t>,</w:t>
      </w:r>
    </w:p>
    <w:p>
      <w:pPr>
        <w:spacing w:after="0" w:line="77" w:lineRule="exact"/>
        <w:rPr>
          <w:sz w:val="20"/>
          <w:szCs w:val="20"/>
          <w:color w:val="auto"/>
        </w:rPr>
      </w:pPr>
    </w:p>
    <w:p>
      <w:pPr>
        <w:ind w:left="440" w:right="6159" w:hanging="438"/>
        <w:spacing w:after="0" w:line="244" w:lineRule="auto"/>
        <w:tabs>
          <w:tab w:leader="none" w:pos="95" w:val="left"/>
        </w:tabs>
        <w:numPr>
          <w:ilvl w:val="0"/>
          <w:numId w:val="115"/>
        </w:numPr>
        <w:rPr>
          <w:rFonts w:ascii="Arial" w:cs="Arial" w:eastAsia="Arial" w:hAnsi="Arial"/>
          <w:sz w:val="14"/>
          <w:szCs w:val="14"/>
          <w:color w:val="auto"/>
        </w:rPr>
      </w:pPr>
      <w:r>
        <w:rPr>
          <w:rFonts w:ascii="Arial" w:cs="Arial" w:eastAsia="Arial" w:hAnsi="Arial"/>
          <w:sz w:val="14"/>
          <w:szCs w:val="14"/>
          <w:color w:val="auto"/>
        </w:rPr>
        <w:t>Brighthouse Separate Account QPN for Variable Annuities File No. 333-156867 Unallocated Group Variable Annuity File No. 333-156911 Brighthouse Retirement Perspectives,</w:t>
      </w:r>
    </w:p>
    <w:p>
      <w:pPr>
        <w:spacing w:after="0" w:line="136" w:lineRule="exact"/>
        <w:rPr>
          <w:rFonts w:ascii="Arial" w:cs="Arial" w:eastAsia="Arial" w:hAnsi="Arial"/>
          <w:sz w:val="14"/>
          <w:szCs w:val="14"/>
          <w:color w:val="auto"/>
        </w:rPr>
      </w:pPr>
    </w:p>
    <w:p>
      <w:pPr>
        <w:ind w:left="80" w:hanging="78"/>
        <w:spacing w:after="0"/>
        <w:tabs>
          <w:tab w:leader="none" w:pos="80" w:val="left"/>
        </w:tabs>
        <w:numPr>
          <w:ilvl w:val="0"/>
          <w:numId w:val="115"/>
        </w:numPr>
        <w:rPr>
          <w:rFonts w:ascii="Arial" w:cs="Arial" w:eastAsia="Arial" w:hAnsi="Arial"/>
          <w:sz w:val="14"/>
          <w:szCs w:val="14"/>
          <w:color w:val="auto"/>
        </w:rPr>
      </w:pPr>
      <w:r>
        <w:rPr>
          <w:rFonts w:ascii="Arial" w:cs="Arial" w:eastAsia="Arial" w:hAnsi="Arial"/>
          <w:sz w:val="14"/>
          <w:szCs w:val="14"/>
          <w:color w:val="auto"/>
        </w:rPr>
        <w:t>Brighthouse Variable Annuity Account C (811-05200)</w:t>
      </w:r>
    </w:p>
    <w:p>
      <w:pPr>
        <w:ind w:left="440"/>
        <w:spacing w:after="0" w:line="237" w:lineRule="auto"/>
        <w:rPr>
          <w:sz w:val="20"/>
          <w:szCs w:val="20"/>
          <w:color w:val="auto"/>
        </w:rPr>
      </w:pPr>
      <w:r>
        <w:rPr>
          <w:rFonts w:ascii="Arial" w:cs="Arial" w:eastAsia="Arial" w:hAnsi="Arial"/>
          <w:sz w:val="14"/>
          <w:szCs w:val="14"/>
          <w:color w:val="auto"/>
        </w:rPr>
        <w:t>File No. 333-200244 Class XC</w:t>
      </w:r>
    </w:p>
    <w:p>
      <w:pPr>
        <w:ind w:left="440"/>
        <w:spacing w:after="0" w:line="230" w:lineRule="auto"/>
        <w:rPr>
          <w:sz w:val="20"/>
          <w:szCs w:val="20"/>
          <w:color w:val="auto"/>
        </w:rPr>
      </w:pPr>
      <w:r>
        <w:rPr>
          <w:rFonts w:ascii="Arial" w:cs="Arial" w:eastAsia="Arial" w:hAnsi="Arial"/>
          <w:sz w:val="14"/>
          <w:szCs w:val="14"/>
          <w:color w:val="auto"/>
        </w:rPr>
        <w:t>File No. 333-200247 Class VA, Class AA and Class B</w:t>
      </w:r>
    </w:p>
    <w:p>
      <w:pPr>
        <w:ind w:left="440"/>
        <w:spacing w:after="0" w:line="230" w:lineRule="auto"/>
        <w:rPr>
          <w:sz w:val="20"/>
          <w:szCs w:val="20"/>
          <w:color w:val="auto"/>
        </w:rPr>
      </w:pPr>
      <w:r>
        <w:rPr>
          <w:rFonts w:ascii="Arial" w:cs="Arial" w:eastAsia="Arial" w:hAnsi="Arial"/>
          <w:sz w:val="14"/>
          <w:szCs w:val="14"/>
          <w:color w:val="auto"/>
        </w:rPr>
        <w:t>File No. 333-200249 Class L and Class L - 4 Year</w:t>
      </w:r>
    </w:p>
    <w:p>
      <w:pPr>
        <w:ind w:left="440"/>
        <w:spacing w:after="0" w:line="230" w:lineRule="auto"/>
        <w:rPr>
          <w:sz w:val="20"/>
          <w:szCs w:val="20"/>
          <w:color w:val="auto"/>
        </w:rPr>
      </w:pPr>
      <w:r>
        <w:rPr>
          <w:rFonts w:ascii="Arial" w:cs="Arial" w:eastAsia="Arial" w:hAnsi="Arial"/>
          <w:sz w:val="14"/>
          <w:szCs w:val="14"/>
          <w:color w:val="auto"/>
        </w:rPr>
        <w:t>File No. 333-200252 Class A</w:t>
      </w:r>
    </w:p>
    <w:p>
      <w:pPr>
        <w:ind w:left="440"/>
        <w:spacing w:after="0" w:line="230" w:lineRule="auto"/>
        <w:rPr>
          <w:sz w:val="20"/>
          <w:szCs w:val="20"/>
          <w:color w:val="auto"/>
        </w:rPr>
      </w:pPr>
      <w:r>
        <w:rPr>
          <w:rFonts w:ascii="Arial" w:cs="Arial" w:eastAsia="Arial" w:hAnsi="Arial"/>
          <w:sz w:val="14"/>
          <w:szCs w:val="14"/>
          <w:color w:val="auto"/>
        </w:rPr>
        <w:t>File No. 333-200255 COVA VA, Firstar Summit VA, Premier Advisor VA, Destiny Select VA and Prevail VA</w:t>
      </w:r>
    </w:p>
    <w:p>
      <w:pPr>
        <w:ind w:left="440"/>
        <w:spacing w:after="0" w:line="230" w:lineRule="auto"/>
        <w:rPr>
          <w:sz w:val="20"/>
          <w:szCs w:val="20"/>
          <w:color w:val="auto"/>
        </w:rPr>
      </w:pPr>
      <w:r>
        <w:rPr>
          <w:rFonts w:ascii="Arial" w:cs="Arial" w:eastAsia="Arial" w:hAnsi="Arial"/>
          <w:sz w:val="14"/>
          <w:szCs w:val="14"/>
          <w:color w:val="auto"/>
        </w:rPr>
        <w:t>File No. 333-200258 COVA VA SPDA</w:t>
      </w:r>
    </w:p>
    <w:p>
      <w:pPr>
        <w:ind w:left="440"/>
        <w:spacing w:after="0" w:line="230" w:lineRule="auto"/>
        <w:rPr>
          <w:sz w:val="20"/>
          <w:szCs w:val="20"/>
          <w:color w:val="auto"/>
        </w:rPr>
      </w:pPr>
      <w:r>
        <w:rPr>
          <w:rFonts w:ascii="Arial" w:cs="Arial" w:eastAsia="Arial" w:hAnsi="Arial"/>
          <w:sz w:val="14"/>
          <w:szCs w:val="14"/>
          <w:color w:val="auto"/>
        </w:rPr>
        <w:t>File No. 333-200260 COVA Series A</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4"/>
          <w:szCs w:val="14"/>
          <w:color w:val="auto"/>
        </w:rPr>
        <w:t>File No. 333-200262 Navigator-Select/Custom-Select/Russell-Select</w:t>
      </w:r>
    </w:p>
    <w:p>
      <w:pPr>
        <w:sectPr>
          <w:pgSz w:w="11900" w:h="16838" w:orient="portrait"/>
          <w:cols w:equalWidth="0" w:num="1">
            <w:col w:w="10159"/>
          </w:cols>
          <w:pgMar w:left="300" w:top="240" w:right="1440" w:bottom="1440" w:gutter="0" w:footer="0" w:header="0"/>
        </w:sectPr>
      </w:pPr>
    </w:p>
    <w:bookmarkStart w:id="105" w:name="page106"/>
    <w:bookmarkEnd w:id="105"/>
    <w:p>
      <w:pPr>
        <w:ind w:left="44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7">
                      <a:extLst>
                        <a:ext uri="{28A0092B-C50C-407E-A947-70E740481C1C}"/>
                      </a:extLst>
                    </a:blip>
                    <a:srcRect/>
                    <a:stretch>
                      <a:fillRect/>
                    </a:stretch>
                  </pic:blipFill>
                  <pic:spPr bwMode="auto">
                    <a:xfrm>
                      <a:off x="0" y="0"/>
                      <a:ext cx="7203440" cy="32385"/>
                    </a:xfrm>
                    <a:prstGeom prst="rect">
                      <a:avLst/>
                    </a:prstGeom>
                    <a:noFill/>
                  </pic:spPr>
                </pic:pic>
              </a:graphicData>
            </a:graphic>
          </wp:anchor>
        </w:drawing>
        <w:t>File No. 333-200264 Navigator-Select/Custom-Select/Russell-Select (CA)</w:t>
      </w:r>
    </w:p>
    <w:p>
      <w:pPr>
        <w:ind w:left="440"/>
        <w:spacing w:after="0" w:line="237" w:lineRule="auto"/>
        <w:rPr>
          <w:sz w:val="20"/>
          <w:szCs w:val="20"/>
          <w:color w:val="auto"/>
        </w:rPr>
      </w:pPr>
      <w:r>
        <w:rPr>
          <w:rFonts w:ascii="Arial" w:cs="Arial" w:eastAsia="Arial" w:hAnsi="Arial"/>
          <w:sz w:val="14"/>
          <w:szCs w:val="14"/>
          <w:color w:val="auto"/>
        </w:rPr>
        <w:t>File No. 333-200266 COVA VA and Premier Advisor (CA)</w:t>
      </w:r>
    </w:p>
    <w:p>
      <w:pPr>
        <w:ind w:left="440"/>
        <w:spacing w:after="0" w:line="230" w:lineRule="auto"/>
        <w:rPr>
          <w:sz w:val="20"/>
          <w:szCs w:val="20"/>
          <w:color w:val="auto"/>
        </w:rPr>
      </w:pPr>
      <w:r>
        <w:rPr>
          <w:rFonts w:ascii="Arial" w:cs="Arial" w:eastAsia="Arial" w:hAnsi="Arial"/>
          <w:sz w:val="14"/>
          <w:szCs w:val="14"/>
          <w:color w:val="auto"/>
        </w:rPr>
        <w:t>File No. 333-200267 COVA Series A (CA)</w:t>
      </w:r>
    </w:p>
    <w:p>
      <w:pPr>
        <w:ind w:left="440"/>
        <w:spacing w:after="0" w:line="230" w:lineRule="auto"/>
        <w:rPr>
          <w:sz w:val="20"/>
          <w:szCs w:val="20"/>
          <w:color w:val="auto"/>
        </w:rPr>
      </w:pPr>
      <w:r>
        <w:rPr>
          <w:rFonts w:ascii="Arial" w:cs="Arial" w:eastAsia="Arial" w:hAnsi="Arial"/>
          <w:sz w:val="14"/>
          <w:szCs w:val="14"/>
          <w:color w:val="auto"/>
        </w:rPr>
        <w:t>File No. 333-200269 Class C</w:t>
      </w:r>
    </w:p>
    <w:p>
      <w:pPr>
        <w:ind w:left="440"/>
        <w:spacing w:after="0" w:line="230" w:lineRule="auto"/>
        <w:rPr>
          <w:sz w:val="20"/>
          <w:szCs w:val="20"/>
          <w:color w:val="auto"/>
        </w:rPr>
      </w:pPr>
      <w:r>
        <w:rPr>
          <w:rFonts w:ascii="Arial" w:cs="Arial" w:eastAsia="Arial" w:hAnsi="Arial"/>
          <w:sz w:val="14"/>
          <w:szCs w:val="14"/>
          <w:color w:val="auto"/>
        </w:rPr>
        <w:t>File No. 333-200271 Class VA (CA), Class AA (CA), and Class B (CA)</w:t>
      </w:r>
    </w:p>
    <w:p>
      <w:pPr>
        <w:ind w:left="440"/>
        <w:spacing w:after="0" w:line="230" w:lineRule="auto"/>
        <w:rPr>
          <w:sz w:val="20"/>
          <w:szCs w:val="20"/>
          <w:color w:val="auto"/>
        </w:rPr>
      </w:pPr>
      <w:r>
        <w:rPr>
          <w:rFonts w:ascii="Arial" w:cs="Arial" w:eastAsia="Arial" w:hAnsi="Arial"/>
          <w:sz w:val="14"/>
          <w:szCs w:val="14"/>
          <w:color w:val="auto"/>
        </w:rPr>
        <w:t>File No. 333-200273 Class XC (CA)</w:t>
      </w:r>
    </w:p>
    <w:p>
      <w:pPr>
        <w:ind w:left="440"/>
        <w:spacing w:after="0" w:line="230" w:lineRule="auto"/>
        <w:rPr>
          <w:sz w:val="20"/>
          <w:szCs w:val="20"/>
          <w:color w:val="auto"/>
        </w:rPr>
      </w:pPr>
      <w:r>
        <w:rPr>
          <w:rFonts w:ascii="Arial" w:cs="Arial" w:eastAsia="Arial" w:hAnsi="Arial"/>
          <w:sz w:val="14"/>
          <w:szCs w:val="14"/>
          <w:color w:val="auto"/>
        </w:rPr>
        <w:t>File No. 333-200274 Class L (CA) and Class L - 4 Year (CA)</w:t>
      </w:r>
    </w:p>
    <w:p>
      <w:pPr>
        <w:ind w:left="440"/>
        <w:spacing w:after="0" w:line="230" w:lineRule="auto"/>
        <w:rPr>
          <w:sz w:val="20"/>
          <w:szCs w:val="20"/>
          <w:color w:val="auto"/>
        </w:rPr>
      </w:pPr>
      <w:r>
        <w:rPr>
          <w:rFonts w:ascii="Arial" w:cs="Arial" w:eastAsia="Arial" w:hAnsi="Arial"/>
          <w:sz w:val="14"/>
          <w:szCs w:val="14"/>
          <w:color w:val="auto"/>
        </w:rPr>
        <w:t>File No. 333-200276 Class A (CA)</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4"/>
          <w:szCs w:val="14"/>
          <w:color w:val="auto"/>
        </w:rPr>
        <w:t>File No. 333-200279 Class C (CA),</w:t>
      </w:r>
    </w:p>
    <w:p>
      <w:pPr>
        <w:spacing w:after="0" w:line="166" w:lineRule="exact"/>
        <w:rPr>
          <w:sz w:val="20"/>
          <w:szCs w:val="20"/>
          <w:color w:val="auto"/>
        </w:rPr>
      </w:pPr>
    </w:p>
    <w:p>
      <w:pPr>
        <w:spacing w:after="0"/>
        <w:tabs>
          <w:tab w:leader="none" w:pos="14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3"/>
          <w:szCs w:val="13"/>
          <w:color w:val="auto"/>
        </w:rPr>
        <w:t>Brighthouse Variable Life Account A (811-21851)</w:t>
      </w:r>
    </w:p>
    <w:p>
      <w:pPr>
        <w:spacing w:after="0" w:line="5" w:lineRule="exact"/>
        <w:rPr>
          <w:sz w:val="20"/>
          <w:szCs w:val="20"/>
          <w:color w:val="auto"/>
        </w:rPr>
      </w:pPr>
    </w:p>
    <w:p>
      <w:pPr>
        <w:ind w:left="440"/>
        <w:spacing w:after="0"/>
        <w:rPr>
          <w:sz w:val="20"/>
          <w:szCs w:val="20"/>
          <w:color w:val="auto"/>
        </w:rPr>
      </w:pPr>
      <w:r>
        <w:rPr>
          <w:rFonts w:ascii="Arial" w:cs="Arial" w:eastAsia="Arial" w:hAnsi="Arial"/>
          <w:sz w:val="14"/>
          <w:szCs w:val="14"/>
          <w:color w:val="auto"/>
        </w:rPr>
        <w:t>File No. 333-200241 Equity Advantage Variable Universal Life,</w:t>
      </w:r>
    </w:p>
    <w:p>
      <w:pPr>
        <w:spacing w:after="0" w:line="166" w:lineRule="exact"/>
        <w:rPr>
          <w:sz w:val="20"/>
          <w:szCs w:val="20"/>
          <w:color w:val="auto"/>
        </w:rPr>
      </w:pPr>
    </w:p>
    <w:p>
      <w:pPr>
        <w:ind w:left="440" w:right="6859" w:hanging="438"/>
        <w:spacing w:after="0" w:line="238" w:lineRule="auto"/>
        <w:tabs>
          <w:tab w:leader="none" w:pos="173" w:val="left"/>
        </w:tabs>
        <w:numPr>
          <w:ilvl w:val="0"/>
          <w:numId w:val="116"/>
        </w:numPr>
        <w:rPr>
          <w:rFonts w:ascii="Arial" w:cs="Arial" w:eastAsia="Arial" w:hAnsi="Arial"/>
          <w:sz w:val="14"/>
          <w:szCs w:val="14"/>
          <w:color w:val="auto"/>
        </w:rPr>
      </w:pPr>
      <w:r>
        <w:rPr>
          <w:rFonts w:ascii="Arial" w:cs="Arial" w:eastAsia="Arial" w:hAnsi="Arial"/>
          <w:sz w:val="14"/>
          <w:szCs w:val="14"/>
          <w:color w:val="auto"/>
        </w:rPr>
        <w:t>Brighthouse Variable Life Account One (811-07971) File No. 333-200242 Class VL</w:t>
      </w:r>
    </w:p>
    <w:p>
      <w:pPr>
        <w:spacing w:after="0" w:line="1" w:lineRule="exact"/>
        <w:rPr>
          <w:rFonts w:ascii="Arial" w:cs="Arial" w:eastAsia="Arial" w:hAnsi="Arial"/>
          <w:sz w:val="14"/>
          <w:szCs w:val="14"/>
          <w:color w:val="auto"/>
        </w:rPr>
      </w:pPr>
    </w:p>
    <w:p>
      <w:pPr>
        <w:ind w:left="440"/>
        <w:spacing w:after="0" w:line="230" w:lineRule="auto"/>
        <w:rPr>
          <w:rFonts w:ascii="Arial" w:cs="Arial" w:eastAsia="Arial" w:hAnsi="Arial"/>
          <w:sz w:val="14"/>
          <w:szCs w:val="14"/>
          <w:color w:val="auto"/>
        </w:rPr>
      </w:pPr>
      <w:r>
        <w:rPr>
          <w:rFonts w:ascii="Arial" w:cs="Arial" w:eastAsia="Arial" w:hAnsi="Arial"/>
          <w:sz w:val="14"/>
          <w:szCs w:val="14"/>
          <w:color w:val="auto"/>
        </w:rPr>
        <w:t>File No. 333-200245 Class VL (CA)</w:t>
      </w:r>
    </w:p>
    <w:p>
      <w:pPr>
        <w:ind w:left="440"/>
        <w:spacing w:after="0" w:line="229" w:lineRule="auto"/>
        <w:rPr>
          <w:rFonts w:ascii="Arial" w:cs="Arial" w:eastAsia="Arial" w:hAnsi="Arial"/>
          <w:sz w:val="14"/>
          <w:szCs w:val="14"/>
          <w:color w:val="auto"/>
        </w:rPr>
      </w:pPr>
      <w:r>
        <w:rPr>
          <w:rFonts w:ascii="Arial" w:cs="Arial" w:eastAsia="Arial" w:hAnsi="Arial"/>
          <w:sz w:val="14"/>
          <w:szCs w:val="14"/>
          <w:color w:val="auto"/>
        </w:rPr>
        <w:t>File No. 333-200248 Modified Single Premium Variable Life</w:t>
      </w:r>
    </w:p>
    <w:p>
      <w:pPr>
        <w:ind w:left="440" w:right="5599"/>
        <w:spacing w:after="0" w:line="236" w:lineRule="auto"/>
        <w:rPr>
          <w:rFonts w:ascii="Arial" w:cs="Arial" w:eastAsia="Arial" w:hAnsi="Arial"/>
          <w:sz w:val="14"/>
          <w:szCs w:val="14"/>
          <w:color w:val="auto"/>
        </w:rPr>
      </w:pPr>
      <w:r>
        <w:rPr>
          <w:rFonts w:ascii="Arial" w:cs="Arial" w:eastAsia="Arial" w:hAnsi="Arial"/>
          <w:sz w:val="14"/>
          <w:szCs w:val="14"/>
          <w:color w:val="auto"/>
        </w:rPr>
        <w:t>File No. 333-200251 Custom Select and Russell Select Variable Life File No. 333-200254 Modified Single Premium Variable Life (CA) File No. 333-200257 Custom Select Variable Life,</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color w:val="auto"/>
        </w:rPr>
        <w:t>And pertaining to:</w:t>
      </w:r>
    </w:p>
    <w:p>
      <w:pPr>
        <w:ind w:left="440"/>
        <w:spacing w:after="0" w:line="185" w:lineRule="auto"/>
        <w:rPr>
          <w:sz w:val="20"/>
          <w:szCs w:val="20"/>
          <w:color w:val="auto"/>
        </w:rPr>
      </w:pPr>
      <w:r>
        <w:rPr>
          <w:rFonts w:ascii="Arial" w:cs="Arial" w:eastAsia="Arial" w:hAnsi="Arial"/>
          <w:sz w:val="12"/>
          <w:szCs w:val="12"/>
          <w:color w:val="auto"/>
        </w:rPr>
        <w:t>File No. 333-268618 Brighthouse SmartGuard Plus</w:t>
      </w:r>
      <w:r>
        <w:rPr>
          <w:rFonts w:ascii="Arial" w:cs="Arial" w:eastAsia="Arial" w:hAnsi="Arial"/>
          <w:sz w:val="18"/>
          <w:szCs w:val="18"/>
          <w:color w:val="auto"/>
          <w:vertAlign w:val="superscript"/>
        </w:rPr>
        <w:t>SM</w:t>
      </w:r>
    </w:p>
    <w:p>
      <w:pPr>
        <w:ind w:left="440" w:right="1939"/>
        <w:spacing w:after="0" w:line="189" w:lineRule="auto"/>
        <w:rPr>
          <w:sz w:val="20"/>
          <w:szCs w:val="20"/>
          <w:color w:val="auto"/>
        </w:rPr>
      </w:pPr>
      <w:r>
        <w:rPr>
          <w:rFonts w:ascii="Arial" w:cs="Arial" w:eastAsia="Arial" w:hAnsi="Arial"/>
          <w:sz w:val="13"/>
          <w:szCs w:val="13"/>
          <w:color w:val="auto"/>
        </w:rPr>
        <w:t>File No. 333-262390 Brighthouse Shield</w:t>
      </w:r>
      <w:r>
        <w:rPr>
          <w:rFonts w:ascii="Arial" w:cs="Arial" w:eastAsia="Arial" w:hAnsi="Arial"/>
          <w:sz w:val="19"/>
          <w:szCs w:val="19"/>
          <w:color w:val="auto"/>
          <w:vertAlign w:val="superscript"/>
        </w:rPr>
        <w:t>®</w:t>
      </w:r>
      <w:r>
        <w:rPr>
          <w:rFonts w:ascii="Arial" w:cs="Arial" w:eastAsia="Arial" w:hAnsi="Arial"/>
          <w:sz w:val="13"/>
          <w:szCs w:val="13"/>
          <w:color w:val="auto"/>
        </w:rPr>
        <w:t xml:space="preserve"> Level Pay Plus</w:t>
      </w:r>
      <w:r>
        <w:rPr>
          <w:rFonts w:ascii="Arial" w:cs="Arial" w:eastAsia="Arial" w:hAnsi="Arial"/>
          <w:sz w:val="19"/>
          <w:szCs w:val="19"/>
          <w:color w:val="auto"/>
          <w:vertAlign w:val="superscript"/>
        </w:rPr>
        <w:t>SM</w:t>
      </w:r>
      <w:r>
        <w:rPr>
          <w:rFonts w:ascii="Arial" w:cs="Arial" w:eastAsia="Arial" w:hAnsi="Arial"/>
          <w:sz w:val="13"/>
          <w:szCs w:val="13"/>
          <w:color w:val="auto"/>
        </w:rPr>
        <w:t xml:space="preserve"> Annuity and Brighthouse Shield</w:t>
      </w:r>
      <w:r>
        <w:rPr>
          <w:rFonts w:ascii="Arial" w:cs="Arial" w:eastAsia="Arial" w:hAnsi="Arial"/>
          <w:sz w:val="19"/>
          <w:szCs w:val="19"/>
          <w:color w:val="auto"/>
          <w:vertAlign w:val="superscript"/>
        </w:rPr>
        <w:t>®</w:t>
      </w:r>
      <w:r>
        <w:rPr>
          <w:rFonts w:ascii="Arial" w:cs="Arial" w:eastAsia="Arial" w:hAnsi="Arial"/>
          <w:sz w:val="13"/>
          <w:szCs w:val="13"/>
          <w:color w:val="auto"/>
        </w:rPr>
        <w:t xml:space="preserve"> Level Pay Plus</w:t>
      </w:r>
      <w:r>
        <w:rPr>
          <w:rFonts w:ascii="Arial" w:cs="Arial" w:eastAsia="Arial" w:hAnsi="Arial"/>
          <w:sz w:val="19"/>
          <w:szCs w:val="19"/>
          <w:color w:val="auto"/>
          <w:vertAlign w:val="superscript"/>
        </w:rPr>
        <w:t>SM</w:t>
      </w:r>
      <w:r>
        <w:rPr>
          <w:rFonts w:ascii="Arial" w:cs="Arial" w:eastAsia="Arial" w:hAnsi="Arial"/>
          <w:sz w:val="13"/>
          <w:szCs w:val="13"/>
          <w:color w:val="auto"/>
        </w:rPr>
        <w:t xml:space="preserve"> Advisory Annuity File No. 333-259505 Brighthouse Shield</w:t>
      </w:r>
      <w:r>
        <w:rPr>
          <w:rFonts w:ascii="Arial" w:cs="Arial" w:eastAsia="Arial" w:hAnsi="Arial"/>
          <w:sz w:val="19"/>
          <w:szCs w:val="19"/>
          <w:color w:val="auto"/>
          <w:vertAlign w:val="superscript"/>
        </w:rPr>
        <w:t>®</w:t>
      </w:r>
      <w:r>
        <w:rPr>
          <w:rFonts w:ascii="Arial" w:cs="Arial" w:eastAsia="Arial" w:hAnsi="Arial"/>
          <w:sz w:val="13"/>
          <w:szCs w:val="13"/>
          <w:color w:val="auto"/>
        </w:rPr>
        <w:t xml:space="preserve"> Level Select 6-Year Annuity v.3 File No. 333-233240 Brighthouse Shield</w:t>
      </w:r>
      <w:r>
        <w:rPr>
          <w:rFonts w:ascii="Arial" w:cs="Arial" w:eastAsia="Arial" w:hAnsi="Arial"/>
          <w:sz w:val="19"/>
          <w:szCs w:val="19"/>
          <w:color w:val="auto"/>
          <w:vertAlign w:val="superscript"/>
        </w:rPr>
        <w:t>®</w:t>
      </w:r>
      <w:r>
        <w:rPr>
          <w:rFonts w:ascii="Arial" w:cs="Arial" w:eastAsia="Arial" w:hAnsi="Arial"/>
          <w:sz w:val="13"/>
          <w:szCs w:val="13"/>
          <w:color w:val="auto"/>
        </w:rPr>
        <w:t xml:space="preserve"> Level 10 Advisory Annuity</w:t>
      </w:r>
    </w:p>
    <w:p>
      <w:pPr>
        <w:ind w:left="440"/>
        <w:spacing w:after="0" w:line="180" w:lineRule="auto"/>
        <w:rPr>
          <w:sz w:val="20"/>
          <w:szCs w:val="20"/>
          <w:color w:val="auto"/>
        </w:rPr>
      </w:pPr>
      <w:r>
        <w:rPr>
          <w:rFonts w:ascii="Arial" w:cs="Arial" w:eastAsia="Arial" w:hAnsi="Arial"/>
          <w:sz w:val="12"/>
          <w:szCs w:val="12"/>
          <w:color w:val="auto"/>
        </w:rPr>
        <w:t>File No. 333-268427 Brighthouse Shield</w:t>
      </w:r>
      <w:r>
        <w:rPr>
          <w:rFonts w:ascii="Arial" w:cs="Arial" w:eastAsia="Arial" w:hAnsi="Arial"/>
          <w:sz w:val="18"/>
          <w:szCs w:val="18"/>
          <w:color w:val="auto"/>
          <w:vertAlign w:val="superscript"/>
        </w:rPr>
        <w:t>®</w:t>
      </w:r>
      <w:r>
        <w:rPr>
          <w:rFonts w:ascii="Arial" w:cs="Arial" w:eastAsia="Arial" w:hAnsi="Arial"/>
          <w:sz w:val="12"/>
          <w:szCs w:val="12"/>
          <w:color w:val="auto"/>
        </w:rPr>
        <w:t xml:space="preserve"> Level Select Advisory Annuity</w:t>
      </w:r>
    </w:p>
    <w:p>
      <w:pPr>
        <w:ind w:left="440"/>
        <w:spacing w:after="0" w:line="189" w:lineRule="auto"/>
        <w:rPr>
          <w:sz w:val="20"/>
          <w:szCs w:val="20"/>
          <w:color w:val="auto"/>
        </w:rPr>
      </w:pPr>
      <w:r>
        <w:rPr>
          <w:rFonts w:ascii="Arial" w:cs="Arial" w:eastAsia="Arial" w:hAnsi="Arial"/>
          <w:sz w:val="12"/>
          <w:szCs w:val="12"/>
          <w:color w:val="auto"/>
        </w:rPr>
        <w:t>File No. 333-263492 Brighthouse Shield</w:t>
      </w:r>
      <w:r>
        <w:rPr>
          <w:rFonts w:ascii="Arial" w:cs="Arial" w:eastAsia="Arial" w:hAnsi="Arial"/>
          <w:sz w:val="17"/>
          <w:szCs w:val="17"/>
          <w:color w:val="auto"/>
          <w:vertAlign w:val="superscript"/>
        </w:rPr>
        <w:t>®</w:t>
      </w:r>
      <w:r>
        <w:rPr>
          <w:rFonts w:ascii="Arial" w:cs="Arial" w:eastAsia="Arial" w:hAnsi="Arial"/>
          <w:sz w:val="12"/>
          <w:szCs w:val="12"/>
          <w:color w:val="auto"/>
        </w:rPr>
        <w:t xml:space="preserve"> Level Select 6-Year Annuity</w:t>
      </w:r>
    </w:p>
    <w:p>
      <w:pPr>
        <w:ind w:left="440"/>
        <w:spacing w:after="0" w:line="189" w:lineRule="auto"/>
        <w:rPr>
          <w:sz w:val="20"/>
          <w:szCs w:val="20"/>
          <w:color w:val="auto"/>
        </w:rPr>
      </w:pPr>
      <w:r>
        <w:rPr>
          <w:rFonts w:ascii="Arial" w:cs="Arial" w:eastAsia="Arial" w:hAnsi="Arial"/>
          <w:sz w:val="12"/>
          <w:szCs w:val="12"/>
          <w:color w:val="auto"/>
        </w:rPr>
        <w:t>File No. 333-263495 Brighthouse Shield</w:t>
      </w:r>
      <w:r>
        <w:rPr>
          <w:rFonts w:ascii="Arial" w:cs="Arial" w:eastAsia="Arial" w:hAnsi="Arial"/>
          <w:sz w:val="17"/>
          <w:szCs w:val="17"/>
          <w:color w:val="auto"/>
          <w:vertAlign w:val="superscript"/>
        </w:rPr>
        <w:t>®</w:t>
      </w:r>
      <w:r>
        <w:rPr>
          <w:rFonts w:ascii="Arial" w:cs="Arial" w:eastAsia="Arial" w:hAnsi="Arial"/>
          <w:sz w:val="12"/>
          <w:szCs w:val="12"/>
          <w:color w:val="auto"/>
        </w:rPr>
        <w:t xml:space="preserve"> Level Select 3-Year Annuity</w:t>
      </w:r>
    </w:p>
    <w:p>
      <w:pPr>
        <w:ind w:left="440"/>
        <w:spacing w:after="0" w:line="190" w:lineRule="auto"/>
        <w:rPr>
          <w:sz w:val="20"/>
          <w:szCs w:val="20"/>
          <w:color w:val="auto"/>
        </w:rPr>
      </w:pPr>
      <w:r>
        <w:rPr>
          <w:rFonts w:ascii="Arial" w:cs="Arial" w:eastAsia="Arial" w:hAnsi="Arial"/>
          <w:sz w:val="12"/>
          <w:szCs w:val="12"/>
          <w:color w:val="auto"/>
        </w:rPr>
        <w:t>File No. 333-238213 Brighthouse Shield</w:t>
      </w:r>
      <w:r>
        <w:rPr>
          <w:rFonts w:ascii="Arial" w:cs="Arial" w:eastAsia="Arial" w:hAnsi="Arial"/>
          <w:sz w:val="17"/>
          <w:szCs w:val="17"/>
          <w:color w:val="auto"/>
          <w:vertAlign w:val="superscript"/>
        </w:rPr>
        <w:t>®</w:t>
      </w:r>
      <w:r>
        <w:rPr>
          <w:rFonts w:ascii="Arial" w:cs="Arial" w:eastAsia="Arial" w:hAnsi="Arial"/>
          <w:sz w:val="12"/>
          <w:szCs w:val="12"/>
          <w:color w:val="auto"/>
        </w:rPr>
        <w:t xml:space="preserve"> Level 10 Annuity</w:t>
      </w:r>
    </w:p>
    <w:p>
      <w:pPr>
        <w:ind w:left="440"/>
        <w:spacing w:after="0" w:line="189" w:lineRule="auto"/>
        <w:rPr>
          <w:sz w:val="20"/>
          <w:szCs w:val="20"/>
          <w:color w:val="auto"/>
        </w:rPr>
      </w:pPr>
      <w:r>
        <w:rPr>
          <w:rFonts w:ascii="Arial" w:cs="Arial" w:eastAsia="Arial" w:hAnsi="Arial"/>
          <w:sz w:val="12"/>
          <w:szCs w:val="12"/>
          <w:color w:val="auto"/>
        </w:rPr>
        <w:t>File No. 333-208664 Brighthouse Shield Level Selector</w:t>
      </w:r>
      <w:r>
        <w:rPr>
          <w:rFonts w:ascii="Arial" w:cs="Arial" w:eastAsia="Arial" w:hAnsi="Arial"/>
          <w:sz w:val="17"/>
          <w:szCs w:val="17"/>
          <w:color w:val="auto"/>
          <w:vertAlign w:val="superscript"/>
        </w:rPr>
        <w:t>®</w:t>
      </w:r>
      <w:r>
        <w:rPr>
          <w:rFonts w:ascii="Arial" w:cs="Arial" w:eastAsia="Arial" w:hAnsi="Arial"/>
          <w:sz w:val="12"/>
          <w:szCs w:val="12"/>
          <w:color w:val="auto"/>
        </w:rPr>
        <w:t xml:space="preserve"> Annuity</w:t>
      </w:r>
    </w:p>
    <w:p>
      <w:pPr>
        <w:ind w:left="440"/>
        <w:spacing w:after="0" w:line="190" w:lineRule="auto"/>
        <w:rPr>
          <w:sz w:val="20"/>
          <w:szCs w:val="20"/>
          <w:color w:val="auto"/>
        </w:rPr>
      </w:pPr>
      <w:r>
        <w:rPr>
          <w:rFonts w:ascii="Arial" w:cs="Arial" w:eastAsia="Arial" w:hAnsi="Arial"/>
          <w:sz w:val="12"/>
          <w:szCs w:val="12"/>
          <w:color w:val="auto"/>
        </w:rPr>
        <w:t>File No. 333-207091 Brighthouse Shield Level Selector</w:t>
      </w:r>
      <w:r>
        <w:rPr>
          <w:rFonts w:ascii="Arial" w:cs="Arial" w:eastAsia="Arial" w:hAnsi="Arial"/>
          <w:sz w:val="17"/>
          <w:szCs w:val="17"/>
          <w:color w:val="auto"/>
          <w:vertAlign w:val="superscript"/>
        </w:rPr>
        <w:t>®</w:t>
      </w:r>
      <w:r>
        <w:rPr>
          <w:rFonts w:ascii="Arial" w:cs="Arial" w:eastAsia="Arial" w:hAnsi="Arial"/>
          <w:sz w:val="12"/>
          <w:szCs w:val="12"/>
          <w:color w:val="auto"/>
        </w:rPr>
        <w:t xml:space="preserve"> 3-Year Annuity</w:t>
      </w:r>
    </w:p>
    <w:p>
      <w:pPr>
        <w:ind w:left="440"/>
        <w:spacing w:after="0" w:line="230" w:lineRule="auto"/>
        <w:rPr>
          <w:sz w:val="20"/>
          <w:szCs w:val="20"/>
          <w:color w:val="auto"/>
        </w:rPr>
      </w:pPr>
      <w:r>
        <w:rPr>
          <w:rFonts w:ascii="Arial" w:cs="Arial" w:eastAsia="Arial" w:hAnsi="Arial"/>
          <w:sz w:val="14"/>
          <w:szCs w:val="14"/>
          <w:color w:val="auto"/>
        </w:rPr>
        <w:t>File No. 333-276468 Registered Fixed Account Option</w:t>
      </w:r>
    </w:p>
    <w:p>
      <w:pPr>
        <w:ind w:left="440"/>
        <w:spacing w:after="0" w:line="230" w:lineRule="auto"/>
        <w:rPr>
          <w:sz w:val="20"/>
          <w:szCs w:val="20"/>
          <w:color w:val="auto"/>
        </w:rPr>
      </w:pPr>
      <w:r>
        <w:rPr>
          <w:rFonts w:ascii="Arial" w:cs="Arial" w:eastAsia="Arial" w:hAnsi="Arial"/>
          <w:sz w:val="14"/>
          <w:szCs w:val="14"/>
          <w:color w:val="auto"/>
        </w:rPr>
        <w:t>File No. 333-276469 Fixed Annuity (Strategic Value Annuity)</w:t>
      </w:r>
    </w:p>
    <w:p>
      <w:pPr>
        <w:ind w:left="440"/>
        <w:spacing w:after="0" w:line="230" w:lineRule="auto"/>
        <w:rPr>
          <w:sz w:val="20"/>
          <w:szCs w:val="20"/>
          <w:color w:val="auto"/>
        </w:rPr>
      </w:pPr>
      <w:r>
        <w:rPr>
          <w:rFonts w:ascii="Arial" w:cs="Arial" w:eastAsia="Arial" w:hAnsi="Arial"/>
          <w:sz w:val="14"/>
          <w:szCs w:val="14"/>
          <w:color w:val="auto"/>
        </w:rPr>
        <w:t>File No. 333-276470 Brighthouse Retirement Account Liquidity Benefit</w:t>
      </w:r>
    </w:p>
    <w:p>
      <w:pPr>
        <w:ind w:left="440"/>
        <w:spacing w:after="0" w:line="189" w:lineRule="auto"/>
        <w:rPr>
          <w:sz w:val="20"/>
          <w:szCs w:val="20"/>
          <w:color w:val="auto"/>
        </w:rPr>
      </w:pPr>
      <w:r>
        <w:rPr>
          <w:rFonts w:ascii="Arial" w:cs="Arial" w:eastAsia="Arial" w:hAnsi="Arial"/>
          <w:sz w:val="12"/>
          <w:szCs w:val="12"/>
          <w:color w:val="auto"/>
        </w:rPr>
        <w:t>File No. 333-276599 Brighthouse Shield</w:t>
      </w:r>
      <w:r>
        <w:rPr>
          <w:rFonts w:ascii="Arial" w:cs="Arial" w:eastAsia="Arial" w:hAnsi="Arial"/>
          <w:sz w:val="17"/>
          <w:szCs w:val="17"/>
          <w:color w:val="auto"/>
          <w:vertAlign w:val="superscript"/>
        </w:rPr>
        <w:t>®</w:t>
      </w:r>
      <w:r>
        <w:rPr>
          <w:rFonts w:ascii="Arial" w:cs="Arial" w:eastAsia="Arial" w:hAnsi="Arial"/>
          <w:sz w:val="12"/>
          <w:szCs w:val="12"/>
          <w:color w:val="auto"/>
        </w:rPr>
        <w:t xml:space="preserve"> Level II 6-Year Annuity</w:t>
      </w:r>
    </w:p>
    <w:p>
      <w:pPr>
        <w:ind w:left="440"/>
        <w:spacing w:after="0" w:line="190" w:lineRule="auto"/>
        <w:rPr>
          <w:sz w:val="20"/>
          <w:szCs w:val="20"/>
          <w:color w:val="auto"/>
        </w:rPr>
      </w:pPr>
      <w:r>
        <w:rPr>
          <w:rFonts w:ascii="Arial" w:cs="Arial" w:eastAsia="Arial" w:hAnsi="Arial"/>
          <w:sz w:val="12"/>
          <w:szCs w:val="12"/>
          <w:color w:val="auto"/>
        </w:rPr>
        <w:t>File No. 333-276762 Brighthouse Shield</w:t>
      </w:r>
      <w:r>
        <w:rPr>
          <w:rFonts w:ascii="Arial" w:cs="Arial" w:eastAsia="Arial" w:hAnsi="Arial"/>
          <w:sz w:val="17"/>
          <w:szCs w:val="17"/>
          <w:color w:val="auto"/>
          <w:vertAlign w:val="superscript"/>
        </w:rPr>
        <w:t>®</w:t>
      </w:r>
      <w:r>
        <w:rPr>
          <w:rFonts w:ascii="Arial" w:cs="Arial" w:eastAsia="Arial" w:hAnsi="Arial"/>
          <w:sz w:val="12"/>
          <w:szCs w:val="12"/>
          <w:color w:val="auto"/>
        </w:rPr>
        <w:t xml:space="preserve"> Level II Advisory Annuity</w:t>
      </w:r>
    </w:p>
    <w:p>
      <w:pPr>
        <w:ind w:left="440" w:right="2019"/>
        <w:spacing w:after="0"/>
        <w:rPr>
          <w:sz w:val="20"/>
          <w:szCs w:val="20"/>
          <w:color w:val="auto"/>
        </w:rPr>
      </w:pPr>
      <w:r>
        <w:rPr>
          <w:rFonts w:ascii="Arial" w:cs="Arial" w:eastAsia="Arial" w:hAnsi="Arial"/>
          <w:sz w:val="14"/>
          <w:szCs w:val="14"/>
          <w:color w:val="auto"/>
        </w:rPr>
        <w:t>File No. 333-276763 Brighthouse Shield Level Pay Plus</w:t>
      </w:r>
      <w:r>
        <w:rPr>
          <w:rFonts w:ascii="Arial" w:cs="Arial" w:eastAsia="Arial" w:hAnsi="Arial"/>
          <w:sz w:val="20"/>
          <w:szCs w:val="20"/>
          <w:color w:val="auto"/>
          <w:vertAlign w:val="superscript"/>
        </w:rPr>
        <w:t>®</w:t>
      </w:r>
      <w:r>
        <w:rPr>
          <w:rFonts w:ascii="Arial" w:cs="Arial" w:eastAsia="Arial" w:hAnsi="Arial"/>
          <w:sz w:val="14"/>
          <w:szCs w:val="14"/>
          <w:color w:val="auto"/>
        </w:rPr>
        <w:t xml:space="preserve"> II Annuity and Brighthouse Shield Level Pay Plus</w:t>
      </w:r>
      <w:r>
        <w:rPr>
          <w:rFonts w:ascii="Arial" w:cs="Arial" w:eastAsia="Arial" w:hAnsi="Arial"/>
          <w:sz w:val="20"/>
          <w:szCs w:val="20"/>
          <w:color w:val="auto"/>
          <w:vertAlign w:val="superscript"/>
        </w:rPr>
        <w:t>®</w:t>
      </w:r>
      <w:r>
        <w:rPr>
          <w:rFonts w:ascii="Arial" w:cs="Arial" w:eastAsia="Arial" w:hAnsi="Arial"/>
          <w:sz w:val="14"/>
          <w:szCs w:val="14"/>
          <w:color w:val="auto"/>
        </w:rPr>
        <w:t xml:space="preserve"> II Advisory Annuity File No. 333-279302 Brighthouse Shield</w:t>
      </w:r>
      <w:r>
        <w:rPr>
          <w:rFonts w:ascii="Arial" w:cs="Arial" w:eastAsia="Arial" w:hAnsi="Arial"/>
          <w:sz w:val="20"/>
          <w:szCs w:val="20"/>
          <w:color w:val="auto"/>
          <w:vertAlign w:val="superscript"/>
        </w:rPr>
        <w:t>®</w:t>
      </w:r>
      <w:r>
        <w:rPr>
          <w:rFonts w:ascii="Arial" w:cs="Arial" w:eastAsia="Arial" w:hAnsi="Arial"/>
          <w:sz w:val="14"/>
          <w:szCs w:val="14"/>
          <w:color w:val="auto"/>
        </w:rPr>
        <w:t xml:space="preserve"> Level II 3-Year Annuity T-Mark Fixed Annuity</w:t>
      </w:r>
    </w:p>
    <w:p>
      <w:pPr>
        <w:spacing w:after="0" w:line="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Target Maturity,</w:t>
      </w:r>
    </w:p>
    <w:p>
      <w:pPr>
        <w:spacing w:after="0" w:line="166" w:lineRule="exact"/>
        <w:rPr>
          <w:sz w:val="20"/>
          <w:szCs w:val="20"/>
          <w:color w:val="auto"/>
        </w:rPr>
      </w:pPr>
    </w:p>
    <w:p>
      <w:pPr>
        <w:spacing w:after="0"/>
        <w:tabs>
          <w:tab w:leader="none" w:pos="14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3"/>
          <w:szCs w:val="13"/>
          <w:color w:val="auto"/>
        </w:rPr>
        <w:t>Brighthouse Life Insurance Company (RILA MVA)</w:t>
      </w:r>
    </w:p>
    <w:p>
      <w:pPr>
        <w:spacing w:after="0" w:line="5" w:lineRule="exact"/>
        <w:rPr>
          <w:sz w:val="20"/>
          <w:szCs w:val="20"/>
          <w:color w:val="auto"/>
        </w:rPr>
      </w:pPr>
    </w:p>
    <w:p>
      <w:pPr>
        <w:ind w:left="440" w:right="2019"/>
        <w:spacing w:after="0"/>
        <w:rPr>
          <w:sz w:val="20"/>
          <w:szCs w:val="20"/>
          <w:color w:val="auto"/>
        </w:rPr>
      </w:pPr>
      <w:r>
        <w:rPr>
          <w:rFonts w:ascii="Arial" w:cs="Arial" w:eastAsia="Arial" w:hAnsi="Arial"/>
          <w:sz w:val="13"/>
          <w:szCs w:val="13"/>
          <w:color w:val="auto"/>
        </w:rPr>
        <w:t>File No. 333-282752 Brighthouse Shield Level Pay Plus</w:t>
      </w:r>
      <w:r>
        <w:rPr>
          <w:rFonts w:ascii="Arial" w:cs="Arial" w:eastAsia="Arial" w:hAnsi="Arial"/>
          <w:sz w:val="19"/>
          <w:szCs w:val="19"/>
          <w:color w:val="auto"/>
          <w:vertAlign w:val="superscript"/>
        </w:rPr>
        <w:t>®</w:t>
      </w:r>
      <w:r>
        <w:rPr>
          <w:rFonts w:ascii="Arial" w:cs="Arial" w:eastAsia="Arial" w:hAnsi="Arial"/>
          <w:sz w:val="13"/>
          <w:szCs w:val="13"/>
          <w:color w:val="auto"/>
        </w:rPr>
        <w:t xml:space="preserve"> II Annuity and Brighthouse Shield Level Pay Plus</w:t>
      </w:r>
      <w:r>
        <w:rPr>
          <w:rFonts w:ascii="Arial" w:cs="Arial" w:eastAsia="Arial" w:hAnsi="Arial"/>
          <w:sz w:val="19"/>
          <w:szCs w:val="19"/>
          <w:color w:val="auto"/>
          <w:vertAlign w:val="superscript"/>
        </w:rPr>
        <w:t>®</w:t>
      </w:r>
      <w:r>
        <w:rPr>
          <w:rFonts w:ascii="Arial" w:cs="Arial" w:eastAsia="Arial" w:hAnsi="Arial"/>
          <w:sz w:val="13"/>
          <w:szCs w:val="13"/>
          <w:color w:val="auto"/>
        </w:rPr>
        <w:t xml:space="preserve"> II Advisory Annuity File No. 333-282871 Brighthouse Shield</w:t>
      </w:r>
      <w:r>
        <w:rPr>
          <w:rFonts w:ascii="Arial" w:cs="Arial" w:eastAsia="Arial" w:hAnsi="Arial"/>
          <w:sz w:val="19"/>
          <w:szCs w:val="19"/>
          <w:color w:val="auto"/>
          <w:vertAlign w:val="superscript"/>
        </w:rPr>
        <w:t>®</w:t>
      </w:r>
      <w:r>
        <w:rPr>
          <w:rFonts w:ascii="Arial" w:cs="Arial" w:eastAsia="Arial" w:hAnsi="Arial"/>
          <w:sz w:val="13"/>
          <w:szCs w:val="13"/>
          <w:color w:val="auto"/>
        </w:rPr>
        <w:t xml:space="preserve"> Level II Advisory Annuity File No. 333-283023 Brighthouse Shield</w:t>
      </w:r>
      <w:r>
        <w:rPr>
          <w:rFonts w:ascii="Arial" w:cs="Arial" w:eastAsia="Arial" w:hAnsi="Arial"/>
          <w:sz w:val="19"/>
          <w:szCs w:val="19"/>
          <w:color w:val="auto"/>
          <w:vertAlign w:val="superscript"/>
        </w:rPr>
        <w:t>®</w:t>
      </w:r>
      <w:r>
        <w:rPr>
          <w:rFonts w:ascii="Arial" w:cs="Arial" w:eastAsia="Arial" w:hAnsi="Arial"/>
          <w:sz w:val="13"/>
          <w:szCs w:val="13"/>
          <w:color w:val="auto"/>
        </w:rPr>
        <w:t xml:space="preserve"> Level II 6-Year Annuity</w:t>
      </w:r>
    </w:p>
    <w:p>
      <w:pPr>
        <w:ind w:left="440"/>
        <w:spacing w:after="0" w:line="188" w:lineRule="auto"/>
        <w:rPr>
          <w:sz w:val="20"/>
          <w:szCs w:val="20"/>
          <w:color w:val="auto"/>
        </w:rPr>
      </w:pPr>
      <w:r>
        <w:rPr>
          <w:rFonts w:ascii="Arial" w:cs="Arial" w:eastAsia="Arial" w:hAnsi="Arial"/>
          <w:sz w:val="14"/>
          <w:szCs w:val="14"/>
          <w:color w:val="auto"/>
        </w:rPr>
        <w:t>File No. 333-283024 Brighthouse Shield</w:t>
      </w:r>
      <w:r>
        <w:rPr>
          <w:rFonts w:ascii="Arial" w:cs="Arial" w:eastAsia="Arial" w:hAnsi="Arial"/>
          <w:sz w:val="20"/>
          <w:szCs w:val="20"/>
          <w:color w:val="auto"/>
          <w:vertAlign w:val="superscript"/>
        </w:rPr>
        <w:t>®</w:t>
      </w:r>
      <w:r>
        <w:rPr>
          <w:rFonts w:ascii="Arial" w:cs="Arial" w:eastAsia="Arial" w:hAnsi="Arial"/>
          <w:sz w:val="14"/>
          <w:szCs w:val="14"/>
          <w:color w:val="auto"/>
        </w:rPr>
        <w:t xml:space="preserve"> Level II 3-Year Annuity</w:t>
      </w:r>
    </w:p>
    <w:p>
      <w:pPr>
        <w:ind w:left="440"/>
        <w:spacing w:after="0" w:line="230" w:lineRule="auto"/>
        <w:rPr>
          <w:sz w:val="20"/>
          <w:szCs w:val="20"/>
          <w:color w:val="auto"/>
        </w:rPr>
      </w:pPr>
      <w:r>
        <w:rPr>
          <w:rFonts w:ascii="Arial" w:cs="Arial" w:eastAsia="Arial" w:hAnsi="Arial"/>
          <w:sz w:val="14"/>
          <w:szCs w:val="14"/>
          <w:color w:val="auto"/>
        </w:rPr>
        <w:t>File No. 333-290021 Fixed Account Annuity (Strategic Value Annuity)</w:t>
      </w:r>
    </w:p>
    <w:p>
      <w:pPr>
        <w:ind w:left="580" w:right="2199" w:hanging="155"/>
        <w:spacing w:after="0" w:line="230" w:lineRule="auto"/>
        <w:rPr>
          <w:sz w:val="20"/>
          <w:szCs w:val="20"/>
          <w:color w:val="auto"/>
        </w:rPr>
      </w:pPr>
      <w:r>
        <w:rPr>
          <w:rFonts w:ascii="Arial" w:cs="Arial" w:eastAsia="Arial" w:hAnsi="Arial"/>
          <w:sz w:val="14"/>
          <w:szCs w:val="14"/>
          <w:color w:val="auto"/>
        </w:rPr>
        <w:t>File No. 333-290022 Gold Track and Registered Fixed Account Option and Gold Track Select and Registered Fixed Account Option</w:t>
      </w:r>
    </w:p>
    <w:p>
      <w:pPr>
        <w:ind w:left="440" w:right="3859"/>
        <w:spacing w:after="0" w:line="247" w:lineRule="auto"/>
        <w:rPr>
          <w:sz w:val="20"/>
          <w:szCs w:val="20"/>
          <w:color w:val="auto"/>
        </w:rPr>
      </w:pPr>
      <w:r>
        <w:rPr>
          <w:rFonts w:ascii="Arial" w:cs="Arial" w:eastAsia="Arial" w:hAnsi="Arial"/>
          <w:sz w:val="13"/>
          <w:szCs w:val="13"/>
          <w:color w:val="auto"/>
        </w:rPr>
        <w:t>File No. 333-290023 Brighthouse Retirement Perspectives and Registered Fixed Account Option File No. 333-290024 Unallocated Group Variable Annuity and Registered Fixed Account Option</w:t>
      </w:r>
    </w:p>
    <w:p>
      <w:pPr>
        <w:spacing w:after="0" w:line="1" w:lineRule="exact"/>
        <w:rPr>
          <w:sz w:val="20"/>
          <w:szCs w:val="20"/>
          <w:color w:val="auto"/>
        </w:rPr>
      </w:pPr>
    </w:p>
    <w:p>
      <w:pPr>
        <w:ind w:left="580" w:right="2159" w:hanging="155"/>
        <w:spacing w:after="0"/>
        <w:rPr>
          <w:sz w:val="20"/>
          <w:szCs w:val="20"/>
          <w:color w:val="auto"/>
        </w:rPr>
      </w:pPr>
      <w:r>
        <w:rPr>
          <w:rFonts w:ascii="Arial" w:cs="Arial" w:eastAsia="Arial" w:hAnsi="Arial"/>
          <w:sz w:val="14"/>
          <w:szCs w:val="14"/>
          <w:color w:val="auto"/>
        </w:rPr>
        <w:t>File No. 333-290025 Brighthouse Retirement Account Annuity, Registered Fixed Account Option and Brighthouse Retirement Account Liquidity Benefit</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color w:val="auto"/>
        </w:rPr>
        <w:t>And new annuities and life products such as:</w:t>
      </w:r>
    </w:p>
    <w:p>
      <w:pPr>
        <w:ind w:left="440"/>
        <w:spacing w:after="0" w:line="237" w:lineRule="auto"/>
        <w:rPr>
          <w:sz w:val="20"/>
          <w:szCs w:val="20"/>
          <w:color w:val="auto"/>
        </w:rPr>
      </w:pPr>
      <w:r>
        <w:rPr>
          <w:rFonts w:ascii="Arial" w:cs="Arial" w:eastAsia="Arial" w:hAnsi="Arial"/>
          <w:sz w:val="14"/>
          <w:szCs w:val="14"/>
          <w:color w:val="auto"/>
        </w:rPr>
        <w:t>Brighthouse Shield Annuity</w:t>
      </w:r>
    </w:p>
    <w:p>
      <w:pPr>
        <w:ind w:left="440"/>
        <w:spacing w:after="0" w:line="230" w:lineRule="auto"/>
        <w:rPr>
          <w:sz w:val="20"/>
          <w:szCs w:val="20"/>
          <w:color w:val="auto"/>
        </w:rPr>
      </w:pPr>
      <w:r>
        <w:rPr>
          <w:rFonts w:ascii="Arial" w:cs="Arial" w:eastAsia="Arial" w:hAnsi="Arial"/>
          <w:sz w:val="14"/>
          <w:szCs w:val="14"/>
          <w:color w:val="auto"/>
        </w:rPr>
        <w:t>Brighthouse Shield 3-Year Annuity</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4"/>
          <w:szCs w:val="14"/>
          <w:color w:val="auto"/>
        </w:rPr>
        <w:t>Brighthouse Shield 6-Year Annuity</w:t>
      </w:r>
    </w:p>
    <w:p>
      <w:pPr>
        <w:sectPr>
          <w:pgSz w:w="11900" w:h="16838" w:orient="portrait"/>
          <w:cols w:equalWidth="0" w:num="1">
            <w:col w:w="10159"/>
          </w:cols>
          <w:pgMar w:left="300" w:top="240" w:right="1440" w:bottom="1440" w:gutter="0" w:footer="0" w:header="0"/>
        </w:sectPr>
      </w:pPr>
    </w:p>
    <w:bookmarkStart w:id="106" w:name="page107"/>
    <w:bookmarkEnd w:id="106"/>
    <w:p>
      <w:pPr>
        <w:ind w:left="44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8">
                      <a:extLst>
                        <a:ext uri="{28A0092B-C50C-407E-A947-70E740481C1C}"/>
                      </a:extLst>
                    </a:blip>
                    <a:srcRect/>
                    <a:stretch>
                      <a:fillRect/>
                    </a:stretch>
                  </pic:blipFill>
                  <pic:spPr bwMode="auto">
                    <a:xfrm>
                      <a:off x="0" y="0"/>
                      <a:ext cx="7203440" cy="32385"/>
                    </a:xfrm>
                    <a:prstGeom prst="rect">
                      <a:avLst/>
                    </a:prstGeom>
                    <a:noFill/>
                  </pic:spPr>
                </pic:pic>
              </a:graphicData>
            </a:graphic>
          </wp:anchor>
        </w:drawing>
        <w:t>Brighthouse Index-linked Life Insurance Policy,</w:t>
      </w:r>
    </w:p>
    <w:p>
      <w:pPr>
        <w:spacing w:after="0" w:line="158" w:lineRule="exact"/>
        <w:rPr>
          <w:sz w:val="20"/>
          <w:szCs w:val="20"/>
          <w:color w:val="auto"/>
        </w:rPr>
      </w:pPr>
    </w:p>
    <w:p>
      <w:pPr>
        <w:ind w:right="1979"/>
        <w:spacing w:after="0" w:line="239" w:lineRule="auto"/>
        <w:rPr>
          <w:sz w:val="20"/>
          <w:szCs w:val="20"/>
          <w:color w:val="auto"/>
        </w:rPr>
      </w:pPr>
      <w:r>
        <w:rPr>
          <w:rFonts w:ascii="Arial" w:cs="Arial" w:eastAsia="Arial" w:hAnsi="Arial"/>
          <w:sz w:val="14"/>
          <w:szCs w:val="14"/>
          <w:color w:val="auto"/>
        </w:rPr>
        <w:t>and to have full power and authority to do or cause to be done in my name, place and stead each and every act and thing necessary or appropriate in order to effectuate the same, as fully to all intents and purposes as I might or could do in person, hereby ratifying and confirming all that said attorneys-in-fact or any of them, may do or cause to be done by virtue hereof. This Power of Attorney does not revoke any prior powers of attorney.</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color w:val="auto"/>
        </w:rPr>
        <w:t>IN WITNESS WHEREOF, I have hereunto set my hand this 3rd day of November 2025.</w:t>
      </w:r>
    </w:p>
    <w:p>
      <w:pPr>
        <w:spacing w:after="0" w:line="374"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/s/ Eric Steigerwalt</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Eric Steigerwalt</w:t>
      </w:r>
    </w:p>
    <w:p>
      <w:pPr>
        <w:sectPr>
          <w:pgSz w:w="11900" w:h="16838" w:orient="portrait"/>
          <w:cols w:equalWidth="0" w:num="1">
            <w:col w:w="10159"/>
          </w:cols>
          <w:pgMar w:left="300" w:top="240" w:right="1440" w:bottom="1440" w:gutter="0" w:footer="0" w:header="0"/>
        </w:sectPr>
      </w:pPr>
    </w:p>
    <w:bookmarkStart w:id="107" w:name="page108"/>
    <w:bookmarkEnd w:id="107"/>
    <w:p>
      <w:pPr>
        <w:jc w:val="center"/>
        <w:ind w:right="1759"/>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9">
                      <a:extLst>
                        <a:ext uri="{28A0092B-C50C-407E-A947-70E740481C1C}"/>
                      </a:extLst>
                    </a:blip>
                    <a:srcRect/>
                    <a:stretch>
                      <a:fillRect/>
                    </a:stretch>
                  </pic:blipFill>
                  <pic:spPr bwMode="auto">
                    <a:xfrm>
                      <a:off x="0" y="0"/>
                      <a:ext cx="7203440" cy="32385"/>
                    </a:xfrm>
                    <a:prstGeom prst="rect">
                      <a:avLst/>
                    </a:prstGeom>
                    <a:noFill/>
                  </pic:spPr>
                </pic:pic>
              </a:graphicData>
            </a:graphic>
          </wp:anchor>
        </w:drawing>
        <w:t>Brighthouse Life Insurance Company</w:t>
      </w:r>
    </w:p>
    <w:p>
      <w:pPr>
        <w:spacing w:after="0" w:line="158" w:lineRule="exact"/>
        <w:rPr>
          <w:sz w:val="20"/>
          <w:szCs w:val="20"/>
          <w:color w:val="auto"/>
        </w:rPr>
      </w:pPr>
    </w:p>
    <w:p>
      <w:pPr>
        <w:jc w:val="center"/>
        <w:ind w:right="1759"/>
        <w:spacing w:after="0"/>
        <w:rPr>
          <w:sz w:val="20"/>
          <w:szCs w:val="20"/>
          <w:color w:val="auto"/>
        </w:rPr>
      </w:pPr>
      <w:r>
        <w:rPr>
          <w:rFonts w:ascii="Arial" w:cs="Arial" w:eastAsia="Arial" w:hAnsi="Arial"/>
          <w:sz w:val="14"/>
          <w:szCs w:val="14"/>
          <w:color w:val="auto"/>
        </w:rPr>
        <w:t>POWER OF ATTORNEY</w:t>
      </w:r>
    </w:p>
    <w:p>
      <w:pPr>
        <w:spacing w:after="0" w:line="158" w:lineRule="exact"/>
        <w:rPr>
          <w:sz w:val="20"/>
          <w:szCs w:val="20"/>
          <w:color w:val="auto"/>
        </w:rPr>
      </w:pPr>
    </w:p>
    <w:p>
      <w:pPr>
        <w:jc w:val="center"/>
        <w:ind w:right="1759"/>
        <w:spacing w:after="0"/>
        <w:rPr>
          <w:sz w:val="20"/>
          <w:szCs w:val="20"/>
          <w:color w:val="auto"/>
        </w:rPr>
      </w:pPr>
      <w:r>
        <w:rPr>
          <w:rFonts w:ascii="Arial" w:cs="Arial" w:eastAsia="Arial" w:hAnsi="Arial"/>
          <w:sz w:val="14"/>
          <w:szCs w:val="14"/>
          <w:color w:val="auto"/>
        </w:rPr>
        <w:t>Myles Lambert</w:t>
      </w:r>
    </w:p>
    <w:p>
      <w:pPr>
        <w:spacing w:after="0" w:line="5" w:lineRule="exact"/>
        <w:rPr>
          <w:sz w:val="20"/>
          <w:szCs w:val="20"/>
          <w:color w:val="auto"/>
        </w:rPr>
      </w:pPr>
    </w:p>
    <w:p>
      <w:pPr>
        <w:jc w:val="center"/>
        <w:ind w:right="1759"/>
        <w:spacing w:after="0"/>
        <w:rPr>
          <w:sz w:val="20"/>
          <w:szCs w:val="20"/>
          <w:color w:val="auto"/>
        </w:rPr>
      </w:pPr>
      <w:r>
        <w:rPr>
          <w:rFonts w:ascii="Arial" w:cs="Arial" w:eastAsia="Arial" w:hAnsi="Arial"/>
          <w:sz w:val="14"/>
          <w:szCs w:val="14"/>
          <w:color w:val="auto"/>
        </w:rPr>
        <w:t>Director and Vice President</w:t>
      </w:r>
    </w:p>
    <w:p>
      <w:pPr>
        <w:spacing w:after="0" w:line="146" w:lineRule="exact"/>
        <w:rPr>
          <w:sz w:val="20"/>
          <w:szCs w:val="20"/>
          <w:color w:val="auto"/>
        </w:rPr>
      </w:pPr>
    </w:p>
    <w:p>
      <w:pPr>
        <w:jc w:val="both"/>
        <w:ind w:right="1759"/>
        <w:spacing w:after="0" w:line="236" w:lineRule="auto"/>
        <w:rPr>
          <w:sz w:val="20"/>
          <w:szCs w:val="20"/>
          <w:color w:val="auto"/>
        </w:rPr>
      </w:pPr>
      <w:r>
        <w:rPr>
          <w:rFonts w:ascii="Arial" w:cs="Arial" w:eastAsia="Arial" w:hAnsi="Arial"/>
          <w:sz w:val="14"/>
          <w:szCs w:val="14"/>
          <w:color w:val="auto"/>
        </w:rPr>
        <w:t>KNOW ALL MEN BY THESE PRESENTS, that I, Myles Lambert, a Director and Vice President of Brighthouse Life Insurance Company, a Delaware company (the “Company”), do hereby constitute and appoint Michele H. Abate, Allie Lin, and Alexander Ulianov, as my attorney-in-fact and agent, each of whom may act individually and none of whom is required to act jointly with any of the others, to sign and file on my behalf and to execute and file any instrument or document required to be filed as part of or in connection with or in any way related to, the Registration Statements and any and all amendments thereto filed by the Company under the Securities Act of 1933 and/or the Investment Company Act of 1940, pertaining to:</w:t>
      </w:r>
    </w:p>
    <w:p>
      <w:pPr>
        <w:spacing w:after="0" w:line="161" w:lineRule="exact"/>
        <w:rPr>
          <w:sz w:val="20"/>
          <w:szCs w:val="20"/>
          <w:color w:val="auto"/>
        </w:rPr>
      </w:pPr>
    </w:p>
    <w:p>
      <w:pPr>
        <w:ind w:left="440" w:right="6299" w:hanging="438"/>
        <w:spacing w:after="0" w:line="196" w:lineRule="auto"/>
        <w:tabs>
          <w:tab w:leader="none" w:pos="173" w:val="left"/>
        </w:tabs>
        <w:numPr>
          <w:ilvl w:val="0"/>
          <w:numId w:val="117"/>
        </w:numPr>
        <w:rPr>
          <w:rFonts w:ascii="Arial" w:cs="Arial" w:eastAsia="Arial" w:hAnsi="Arial"/>
          <w:sz w:val="14"/>
          <w:szCs w:val="14"/>
          <w:color w:val="auto"/>
        </w:rPr>
      </w:pPr>
      <w:r>
        <w:rPr>
          <w:rFonts w:ascii="Arial" w:cs="Arial" w:eastAsia="Arial" w:hAnsi="Arial"/>
          <w:sz w:val="14"/>
          <w:szCs w:val="14"/>
          <w:color w:val="auto"/>
        </w:rPr>
        <w:t>Brighthouse Fund UL for Variable Life Insurance (811-03927) File No. 002-88637 MarketLife</w:t>
      </w:r>
      <w:r>
        <w:rPr>
          <w:rFonts w:ascii="Arial" w:cs="Arial" w:eastAsia="Arial" w:hAnsi="Arial"/>
          <w:sz w:val="20"/>
          <w:szCs w:val="20"/>
          <w:color w:val="auto"/>
          <w:vertAlign w:val="superscript"/>
        </w:rPr>
        <w:t>SM</w:t>
      </w:r>
      <w:r>
        <w:rPr>
          <w:rFonts w:ascii="Arial" w:cs="Arial" w:eastAsia="Arial" w:hAnsi="Arial"/>
          <w:sz w:val="14"/>
          <w:szCs w:val="14"/>
          <w:color w:val="auto"/>
        </w:rPr>
        <w:t xml:space="preserve"> and Invest</w:t>
      </w:r>
    </w:p>
    <w:p>
      <w:pPr>
        <w:spacing w:after="0" w:line="1" w:lineRule="exact"/>
        <w:rPr>
          <w:rFonts w:ascii="Arial" w:cs="Arial" w:eastAsia="Arial" w:hAnsi="Arial"/>
          <w:sz w:val="14"/>
          <w:szCs w:val="14"/>
          <w:color w:val="auto"/>
        </w:rPr>
      </w:pPr>
    </w:p>
    <w:p>
      <w:pPr>
        <w:ind w:left="440"/>
        <w:spacing w:after="0" w:line="189" w:lineRule="auto"/>
        <w:rPr>
          <w:rFonts w:ascii="Arial" w:cs="Arial" w:eastAsia="Arial" w:hAnsi="Arial"/>
          <w:sz w:val="14"/>
          <w:szCs w:val="14"/>
          <w:color w:val="auto"/>
        </w:rPr>
      </w:pPr>
      <w:r>
        <w:rPr>
          <w:rFonts w:ascii="Arial" w:cs="Arial" w:eastAsia="Arial" w:hAnsi="Arial"/>
          <w:sz w:val="12"/>
          <w:szCs w:val="12"/>
          <w:color w:val="auto"/>
        </w:rPr>
        <w:t>File No. 333-152219 MarketLife</w:t>
      </w:r>
      <w:r>
        <w:rPr>
          <w:rFonts w:ascii="Arial" w:cs="Arial" w:eastAsia="Arial" w:hAnsi="Arial"/>
          <w:sz w:val="17"/>
          <w:szCs w:val="17"/>
          <w:color w:val="auto"/>
          <w:vertAlign w:val="superscript"/>
        </w:rPr>
        <w:t>SM</w:t>
      </w:r>
    </w:p>
    <w:p>
      <w:pPr>
        <w:ind w:left="440" w:right="6099"/>
        <w:spacing w:after="0" w:line="247" w:lineRule="auto"/>
        <w:rPr>
          <w:rFonts w:ascii="Arial" w:cs="Arial" w:eastAsia="Arial" w:hAnsi="Arial"/>
          <w:sz w:val="14"/>
          <w:szCs w:val="14"/>
          <w:color w:val="auto"/>
        </w:rPr>
      </w:pPr>
      <w:r>
        <w:rPr>
          <w:rFonts w:ascii="Arial" w:cs="Arial" w:eastAsia="Arial" w:hAnsi="Arial"/>
          <w:sz w:val="13"/>
          <w:szCs w:val="13"/>
          <w:color w:val="auto"/>
        </w:rPr>
        <w:t>File No. 333-56952 Brighthouse Variable Survivorship Life II File No. 333-69771 Brighthouse Variable Survivorship Life</w:t>
      </w:r>
    </w:p>
    <w:p>
      <w:pPr>
        <w:ind w:left="440" w:right="2939"/>
        <w:spacing w:after="0" w:line="229" w:lineRule="auto"/>
        <w:rPr>
          <w:rFonts w:ascii="Arial" w:cs="Arial" w:eastAsia="Arial" w:hAnsi="Arial"/>
          <w:sz w:val="14"/>
          <w:szCs w:val="14"/>
          <w:color w:val="auto"/>
        </w:rPr>
      </w:pPr>
      <w:r>
        <w:rPr>
          <w:rFonts w:ascii="Arial" w:cs="Arial" w:eastAsia="Arial" w:hAnsi="Arial"/>
          <w:sz w:val="14"/>
          <w:szCs w:val="14"/>
          <w:color w:val="auto"/>
        </w:rPr>
        <w:t>File No. 333-96515 Brighthouse Variable Life Accumulator and Brighthouse Variable Life Accumulator - Series 2 File No. 333-96519 Brighthouse Variable Life</w:t>
      </w:r>
    </w:p>
    <w:p>
      <w:pPr>
        <w:spacing w:after="0" w:line="1" w:lineRule="exact"/>
        <w:rPr>
          <w:rFonts w:ascii="Arial" w:cs="Arial" w:eastAsia="Arial" w:hAnsi="Arial"/>
          <w:sz w:val="14"/>
          <w:szCs w:val="14"/>
          <w:color w:val="auto"/>
        </w:rPr>
      </w:pPr>
    </w:p>
    <w:p>
      <w:pPr>
        <w:ind w:left="440" w:right="5499"/>
        <w:spacing w:after="0" w:line="230" w:lineRule="auto"/>
        <w:rPr>
          <w:rFonts w:ascii="Arial" w:cs="Arial" w:eastAsia="Arial" w:hAnsi="Arial"/>
          <w:sz w:val="14"/>
          <w:szCs w:val="14"/>
          <w:color w:val="auto"/>
        </w:rPr>
      </w:pPr>
      <w:r>
        <w:rPr>
          <w:rFonts w:ascii="Arial" w:cs="Arial" w:eastAsia="Arial" w:hAnsi="Arial"/>
          <w:sz w:val="14"/>
          <w:szCs w:val="14"/>
          <w:color w:val="auto"/>
        </w:rPr>
        <w:t>File No. 333-113109 Brighthouse Variable Life Accumulator - Series 3 File No. 333-152216 Portfolio Architect Life</w:t>
      </w:r>
    </w:p>
    <w:p>
      <w:pPr>
        <w:ind w:left="440"/>
        <w:spacing w:after="0"/>
        <w:rPr>
          <w:rFonts w:ascii="Arial" w:cs="Arial" w:eastAsia="Arial" w:hAnsi="Arial"/>
          <w:sz w:val="14"/>
          <w:szCs w:val="14"/>
          <w:color w:val="auto"/>
        </w:rPr>
      </w:pPr>
      <w:r>
        <w:rPr>
          <w:rFonts w:ascii="Arial" w:cs="Arial" w:eastAsia="Arial" w:hAnsi="Arial"/>
          <w:sz w:val="14"/>
          <w:szCs w:val="14"/>
          <w:color w:val="auto"/>
        </w:rPr>
        <w:t>File No. 333-152217 VintageLife,</w:t>
      </w:r>
    </w:p>
    <w:p>
      <w:pPr>
        <w:spacing w:after="0" w:line="166" w:lineRule="exact"/>
        <w:rPr>
          <w:rFonts w:ascii="Arial" w:cs="Arial" w:eastAsia="Arial" w:hAnsi="Arial"/>
          <w:sz w:val="14"/>
          <w:szCs w:val="14"/>
          <w:color w:val="auto"/>
        </w:rPr>
      </w:pPr>
    </w:p>
    <w:p>
      <w:pPr>
        <w:ind w:left="160" w:hanging="158"/>
        <w:spacing w:after="0"/>
        <w:tabs>
          <w:tab w:leader="none" w:pos="160" w:val="left"/>
        </w:tabs>
        <w:numPr>
          <w:ilvl w:val="0"/>
          <w:numId w:val="117"/>
        </w:numPr>
        <w:rPr>
          <w:rFonts w:ascii="Arial" w:cs="Arial" w:eastAsia="Arial" w:hAnsi="Arial"/>
          <w:sz w:val="14"/>
          <w:szCs w:val="14"/>
          <w:color w:val="auto"/>
        </w:rPr>
      </w:pPr>
      <w:r>
        <w:rPr>
          <w:rFonts w:ascii="Arial" w:cs="Arial" w:eastAsia="Arial" w:hAnsi="Arial"/>
          <w:sz w:val="14"/>
          <w:szCs w:val="14"/>
          <w:color w:val="auto"/>
        </w:rPr>
        <w:t>Brighthouse Fund UL III for Variable Life Insurance (811-09215)</w:t>
      </w:r>
    </w:p>
    <w:p>
      <w:pPr>
        <w:ind w:left="440"/>
        <w:spacing w:after="0" w:line="237" w:lineRule="auto"/>
        <w:rPr>
          <w:sz w:val="20"/>
          <w:szCs w:val="20"/>
          <w:color w:val="auto"/>
        </w:rPr>
      </w:pPr>
      <w:r>
        <w:rPr>
          <w:rFonts w:ascii="Arial" w:cs="Arial" w:eastAsia="Arial" w:hAnsi="Arial"/>
          <w:sz w:val="14"/>
          <w:szCs w:val="14"/>
          <w:color w:val="auto"/>
        </w:rPr>
        <w:t>File No. 333-71349 Corporate Owned VUL Series 1</w:t>
      </w:r>
    </w:p>
    <w:p>
      <w:pPr>
        <w:ind w:left="440"/>
        <w:spacing w:after="0" w:line="230" w:lineRule="auto"/>
        <w:rPr>
          <w:sz w:val="20"/>
          <w:szCs w:val="20"/>
          <w:color w:val="auto"/>
        </w:rPr>
      </w:pPr>
      <w:r>
        <w:rPr>
          <w:rFonts w:ascii="Arial" w:cs="Arial" w:eastAsia="Arial" w:hAnsi="Arial"/>
          <w:sz w:val="14"/>
          <w:szCs w:val="14"/>
          <w:color w:val="auto"/>
        </w:rPr>
        <w:t>File No. 333-94779 Corporate Owned VUL 2000 and Corporate Owned VUL III</w:t>
      </w:r>
    </w:p>
    <w:p>
      <w:pPr>
        <w:ind w:left="440"/>
        <w:spacing w:after="0" w:line="230" w:lineRule="auto"/>
        <w:rPr>
          <w:sz w:val="20"/>
          <w:szCs w:val="20"/>
          <w:color w:val="auto"/>
        </w:rPr>
      </w:pPr>
      <w:r>
        <w:rPr>
          <w:rFonts w:ascii="Arial" w:cs="Arial" w:eastAsia="Arial" w:hAnsi="Arial"/>
          <w:sz w:val="14"/>
          <w:szCs w:val="14"/>
          <w:color w:val="auto"/>
        </w:rPr>
        <w:t>File No. 333-105335 Corporate Select Policy</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4"/>
          <w:szCs w:val="14"/>
          <w:color w:val="auto"/>
        </w:rPr>
        <w:t>File No. 333-113533 Corporate Owned VUL IV,</w:t>
      </w:r>
    </w:p>
    <w:p>
      <w:pPr>
        <w:spacing w:after="0" w:line="166" w:lineRule="exact"/>
        <w:rPr>
          <w:sz w:val="20"/>
          <w:szCs w:val="20"/>
          <w:color w:val="auto"/>
        </w:rPr>
      </w:pPr>
    </w:p>
    <w:p>
      <w:pPr>
        <w:spacing w:after="0"/>
        <w:tabs>
          <w:tab w:leader="none" w:pos="14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3"/>
          <w:szCs w:val="13"/>
          <w:color w:val="auto"/>
        </w:rPr>
        <w:t>Brighthouse Separate Account A (811-03365)</w:t>
      </w:r>
    </w:p>
    <w:p>
      <w:pPr>
        <w:ind w:left="440"/>
        <w:spacing w:after="0" w:line="237" w:lineRule="auto"/>
        <w:rPr>
          <w:sz w:val="20"/>
          <w:szCs w:val="20"/>
          <w:color w:val="auto"/>
        </w:rPr>
      </w:pPr>
      <w:r>
        <w:rPr>
          <w:rFonts w:ascii="Arial" w:cs="Arial" w:eastAsia="Arial" w:hAnsi="Arial"/>
          <w:sz w:val="14"/>
          <w:szCs w:val="14"/>
          <w:color w:val="auto"/>
        </w:rPr>
        <w:t>File No. 333-200231 Series VA (offered between October 7, 2011 and May 1, 2016)</w:t>
      </w:r>
    </w:p>
    <w:p>
      <w:pPr>
        <w:spacing w:after="0" w:line="1" w:lineRule="exact"/>
        <w:rPr>
          <w:sz w:val="20"/>
          <w:szCs w:val="20"/>
          <w:color w:val="auto"/>
        </w:rPr>
      </w:pPr>
    </w:p>
    <w:p>
      <w:pPr>
        <w:ind w:left="580" w:right="1899" w:hanging="155"/>
        <w:spacing w:after="0" w:line="230" w:lineRule="auto"/>
        <w:rPr>
          <w:sz w:val="20"/>
          <w:szCs w:val="20"/>
          <w:color w:val="auto"/>
        </w:rPr>
      </w:pPr>
      <w:r>
        <w:rPr>
          <w:rFonts w:ascii="Arial" w:cs="Arial" w:eastAsia="Arial" w:hAnsi="Arial"/>
          <w:sz w:val="14"/>
          <w:szCs w:val="14"/>
          <w:color w:val="auto"/>
        </w:rPr>
        <w:t>File No. 333-200232 Series S (offered between October 7, 2011 and May 1, 2016) and Series S-L Share Option (offered between October 7, 2011 and May 1, 2016)</w:t>
      </w:r>
    </w:p>
    <w:p>
      <w:pPr>
        <w:ind w:left="440"/>
        <w:spacing w:after="0" w:line="230" w:lineRule="auto"/>
        <w:rPr>
          <w:sz w:val="20"/>
          <w:szCs w:val="20"/>
          <w:color w:val="auto"/>
        </w:rPr>
      </w:pPr>
      <w:r>
        <w:rPr>
          <w:rFonts w:ascii="Arial" w:cs="Arial" w:eastAsia="Arial" w:hAnsi="Arial"/>
          <w:sz w:val="14"/>
          <w:szCs w:val="14"/>
          <w:color w:val="auto"/>
        </w:rPr>
        <w:t>File No. 333-200233 Series VA-4 (offered between October 7, 2011 and May 1, 2016)</w:t>
      </w:r>
    </w:p>
    <w:p>
      <w:pPr>
        <w:ind w:left="440"/>
        <w:spacing w:after="0" w:line="230" w:lineRule="auto"/>
        <w:rPr>
          <w:sz w:val="20"/>
          <w:szCs w:val="20"/>
          <w:color w:val="auto"/>
        </w:rPr>
      </w:pPr>
      <w:r>
        <w:rPr>
          <w:rFonts w:ascii="Arial" w:cs="Arial" w:eastAsia="Arial" w:hAnsi="Arial"/>
          <w:sz w:val="14"/>
          <w:szCs w:val="14"/>
          <w:color w:val="auto"/>
        </w:rPr>
        <w:t>File No. 333-200234 Series O (offered between April 30, 2012 and July 19, 2015)</w:t>
      </w:r>
    </w:p>
    <w:p>
      <w:pPr>
        <w:ind w:left="440"/>
        <w:spacing w:after="0" w:line="230" w:lineRule="auto"/>
        <w:rPr>
          <w:sz w:val="20"/>
          <w:szCs w:val="20"/>
          <w:color w:val="auto"/>
        </w:rPr>
      </w:pPr>
      <w:r>
        <w:rPr>
          <w:rFonts w:ascii="Arial" w:cs="Arial" w:eastAsia="Arial" w:hAnsi="Arial"/>
          <w:sz w:val="14"/>
          <w:szCs w:val="14"/>
          <w:color w:val="auto"/>
        </w:rPr>
        <w:t>File No. 333-200236 Series L - 4 Year (offered on and after April 29, 2013)</w:t>
      </w:r>
    </w:p>
    <w:p>
      <w:pPr>
        <w:ind w:left="440"/>
        <w:spacing w:after="0" w:line="230" w:lineRule="auto"/>
        <w:rPr>
          <w:sz w:val="20"/>
          <w:szCs w:val="20"/>
          <w:color w:val="auto"/>
        </w:rPr>
      </w:pPr>
      <w:r>
        <w:rPr>
          <w:rFonts w:ascii="Arial" w:cs="Arial" w:eastAsia="Arial" w:hAnsi="Arial"/>
          <w:sz w:val="14"/>
          <w:szCs w:val="14"/>
          <w:color w:val="auto"/>
        </w:rPr>
        <w:t>File No. 333-200237 PrimElite IV</w:t>
      </w:r>
    </w:p>
    <w:p>
      <w:pPr>
        <w:ind w:left="440"/>
        <w:spacing w:after="0" w:line="230" w:lineRule="auto"/>
        <w:rPr>
          <w:sz w:val="20"/>
          <w:szCs w:val="20"/>
          <w:color w:val="auto"/>
        </w:rPr>
      </w:pPr>
      <w:r>
        <w:rPr>
          <w:rFonts w:ascii="Arial" w:cs="Arial" w:eastAsia="Arial" w:hAnsi="Arial"/>
          <w:sz w:val="14"/>
          <w:szCs w:val="14"/>
          <w:color w:val="auto"/>
        </w:rPr>
        <w:t>File No. 333-200238 Marquis Portfolios (offered on and after April 30, 2012)</w:t>
      </w:r>
    </w:p>
    <w:p>
      <w:pPr>
        <w:ind w:left="440"/>
        <w:spacing w:after="0" w:line="229" w:lineRule="auto"/>
        <w:rPr>
          <w:sz w:val="20"/>
          <w:szCs w:val="20"/>
          <w:color w:val="auto"/>
        </w:rPr>
      </w:pPr>
      <w:r>
        <w:rPr>
          <w:rFonts w:ascii="Arial" w:cs="Arial" w:eastAsia="Arial" w:hAnsi="Arial"/>
          <w:sz w:val="14"/>
          <w:szCs w:val="14"/>
          <w:color w:val="auto"/>
        </w:rPr>
        <w:t>File No. 333-200239 Brighthouse Growth and Income</w:t>
      </w:r>
    </w:p>
    <w:p>
      <w:pPr>
        <w:ind w:left="440"/>
        <w:spacing w:after="0" w:line="231" w:lineRule="auto"/>
        <w:rPr>
          <w:sz w:val="20"/>
          <w:szCs w:val="20"/>
          <w:color w:val="auto"/>
        </w:rPr>
      </w:pPr>
      <w:r>
        <w:rPr>
          <w:rFonts w:ascii="Arial" w:cs="Arial" w:eastAsia="Arial" w:hAnsi="Arial"/>
          <w:sz w:val="14"/>
          <w:szCs w:val="14"/>
          <w:color w:val="auto"/>
        </w:rPr>
        <w:t>File No. 333-200240 Group Flexible Payment Variable Annuity (Flexible Bonus/Retirement Companion/Smart Choice)</w:t>
      </w:r>
    </w:p>
    <w:p>
      <w:pPr>
        <w:ind w:left="440"/>
        <w:spacing w:after="0" w:line="230" w:lineRule="auto"/>
        <w:rPr>
          <w:sz w:val="20"/>
          <w:szCs w:val="20"/>
          <w:color w:val="auto"/>
        </w:rPr>
      </w:pPr>
      <w:r>
        <w:rPr>
          <w:rFonts w:ascii="Arial" w:cs="Arial" w:eastAsia="Arial" w:hAnsi="Arial"/>
          <w:sz w:val="14"/>
          <w:szCs w:val="14"/>
          <w:color w:val="auto"/>
        </w:rPr>
        <w:t>File No. 333-200243 PrimElite III</w:t>
      </w:r>
    </w:p>
    <w:p>
      <w:pPr>
        <w:ind w:left="440"/>
        <w:spacing w:after="0" w:line="189" w:lineRule="auto"/>
        <w:rPr>
          <w:sz w:val="20"/>
          <w:szCs w:val="20"/>
          <w:color w:val="auto"/>
        </w:rPr>
      </w:pPr>
      <w:r>
        <w:rPr>
          <w:rFonts w:ascii="Arial" w:cs="Arial" w:eastAsia="Arial" w:hAnsi="Arial"/>
          <w:sz w:val="12"/>
          <w:szCs w:val="12"/>
          <w:color w:val="auto"/>
        </w:rPr>
        <w:t>File No. 333-200246 Brighthouse Simple Solutions</w:t>
      </w:r>
      <w:r>
        <w:rPr>
          <w:rFonts w:ascii="Arial" w:cs="Arial" w:eastAsia="Arial" w:hAnsi="Arial"/>
          <w:sz w:val="17"/>
          <w:szCs w:val="17"/>
          <w:color w:val="auto"/>
          <w:vertAlign w:val="superscript"/>
        </w:rPr>
        <w:t>SM</w:t>
      </w:r>
    </w:p>
    <w:p>
      <w:pPr>
        <w:ind w:left="440"/>
        <w:spacing w:after="0" w:line="230" w:lineRule="auto"/>
        <w:rPr>
          <w:sz w:val="20"/>
          <w:szCs w:val="20"/>
          <w:color w:val="auto"/>
        </w:rPr>
      </w:pPr>
      <w:r>
        <w:rPr>
          <w:rFonts w:ascii="Arial" w:cs="Arial" w:eastAsia="Arial" w:hAnsi="Arial"/>
          <w:sz w:val="14"/>
          <w:szCs w:val="14"/>
          <w:color w:val="auto"/>
        </w:rPr>
        <w:t>File No. 333-200250 Marquis Portfolios (offered between November 7, 2005 and April 30, 2012)</w:t>
      </w:r>
    </w:p>
    <w:p>
      <w:pPr>
        <w:ind w:left="440"/>
        <w:spacing w:after="0" w:line="230" w:lineRule="auto"/>
        <w:rPr>
          <w:sz w:val="20"/>
          <w:szCs w:val="20"/>
          <w:color w:val="auto"/>
        </w:rPr>
      </w:pPr>
      <w:r>
        <w:rPr>
          <w:rFonts w:ascii="Arial" w:cs="Arial" w:eastAsia="Arial" w:hAnsi="Arial"/>
          <w:sz w:val="14"/>
          <w:szCs w:val="14"/>
          <w:color w:val="auto"/>
        </w:rPr>
        <w:t>File No. 333-200253 Series XC</w:t>
      </w:r>
    </w:p>
    <w:p>
      <w:pPr>
        <w:ind w:left="440"/>
        <w:spacing w:after="0" w:line="230" w:lineRule="auto"/>
        <w:rPr>
          <w:sz w:val="20"/>
          <w:szCs w:val="20"/>
          <w:color w:val="auto"/>
        </w:rPr>
      </w:pPr>
      <w:r>
        <w:rPr>
          <w:rFonts w:ascii="Arial" w:cs="Arial" w:eastAsia="Arial" w:hAnsi="Arial"/>
          <w:sz w:val="14"/>
          <w:szCs w:val="14"/>
          <w:color w:val="auto"/>
        </w:rPr>
        <w:t>File No. 333-200256 Series VA (offered between March 22, 2001 and October 7, 2011)</w:t>
      </w:r>
    </w:p>
    <w:p>
      <w:pPr>
        <w:ind w:left="440"/>
        <w:spacing w:after="0" w:line="230" w:lineRule="auto"/>
        <w:rPr>
          <w:sz w:val="20"/>
          <w:szCs w:val="20"/>
          <w:color w:val="auto"/>
        </w:rPr>
      </w:pPr>
      <w:r>
        <w:rPr>
          <w:rFonts w:ascii="Arial" w:cs="Arial" w:eastAsia="Arial" w:hAnsi="Arial"/>
          <w:sz w:val="14"/>
          <w:szCs w:val="14"/>
          <w:color w:val="auto"/>
        </w:rPr>
        <w:t>File No. 333-200259 Series L and Series L - 4 Year (offered between November 22, 2004 and October 7, 2011)</w:t>
      </w:r>
    </w:p>
    <w:p>
      <w:pPr>
        <w:ind w:left="440"/>
        <w:spacing w:after="0" w:line="230" w:lineRule="auto"/>
        <w:rPr>
          <w:sz w:val="20"/>
          <w:szCs w:val="20"/>
          <w:color w:val="auto"/>
        </w:rPr>
      </w:pPr>
      <w:r>
        <w:rPr>
          <w:rFonts w:ascii="Arial" w:cs="Arial" w:eastAsia="Arial" w:hAnsi="Arial"/>
          <w:sz w:val="14"/>
          <w:szCs w:val="14"/>
          <w:color w:val="auto"/>
        </w:rPr>
        <w:t>File No. 333-200261 Series C (offered between September 4, 2001 and October 7, 2011)</w:t>
      </w:r>
    </w:p>
    <w:p>
      <w:pPr>
        <w:ind w:left="440"/>
        <w:spacing w:after="0" w:line="230" w:lineRule="auto"/>
        <w:rPr>
          <w:sz w:val="20"/>
          <w:szCs w:val="20"/>
          <w:color w:val="auto"/>
        </w:rPr>
      </w:pPr>
      <w:r>
        <w:rPr>
          <w:rFonts w:ascii="Arial" w:cs="Arial" w:eastAsia="Arial" w:hAnsi="Arial"/>
          <w:sz w:val="14"/>
          <w:szCs w:val="14"/>
          <w:color w:val="auto"/>
        </w:rPr>
        <w:t>File No. 333-200263 Series XTRA</w:t>
      </w:r>
    </w:p>
    <w:p>
      <w:pPr>
        <w:ind w:left="440"/>
        <w:spacing w:after="0" w:line="230" w:lineRule="auto"/>
        <w:rPr>
          <w:sz w:val="20"/>
          <w:szCs w:val="20"/>
          <w:color w:val="auto"/>
        </w:rPr>
      </w:pPr>
      <w:r>
        <w:rPr>
          <w:rFonts w:ascii="Arial" w:cs="Arial" w:eastAsia="Arial" w:hAnsi="Arial"/>
          <w:sz w:val="14"/>
          <w:szCs w:val="14"/>
          <w:color w:val="auto"/>
        </w:rPr>
        <w:t>File No. 333-200265 Series S and Series S-L Share Option (offered between April 30, 2007 and October 7, 2011)</w:t>
      </w:r>
    </w:p>
    <w:p>
      <w:pPr>
        <w:ind w:left="440"/>
        <w:spacing w:after="0" w:line="230" w:lineRule="auto"/>
        <w:rPr>
          <w:sz w:val="20"/>
          <w:szCs w:val="20"/>
          <w:color w:val="auto"/>
        </w:rPr>
      </w:pPr>
      <w:r>
        <w:rPr>
          <w:rFonts w:ascii="Arial" w:cs="Arial" w:eastAsia="Arial" w:hAnsi="Arial"/>
          <w:sz w:val="14"/>
          <w:szCs w:val="14"/>
          <w:color w:val="auto"/>
        </w:rPr>
        <w:t>File No. 333-200268 Series L - 4 Year (offered between October 7, 2011 and April 28, 2013)</w:t>
      </w:r>
    </w:p>
    <w:p>
      <w:pPr>
        <w:ind w:left="440"/>
        <w:spacing w:after="0" w:line="230" w:lineRule="auto"/>
        <w:rPr>
          <w:sz w:val="20"/>
          <w:szCs w:val="20"/>
          <w:color w:val="auto"/>
        </w:rPr>
      </w:pPr>
      <w:r>
        <w:rPr>
          <w:rFonts w:ascii="Arial" w:cs="Arial" w:eastAsia="Arial" w:hAnsi="Arial"/>
          <w:sz w:val="14"/>
          <w:szCs w:val="14"/>
          <w:color w:val="auto"/>
        </w:rPr>
        <w:t>File No. 333-200270 Group Annuity SF 101</w:t>
      </w:r>
    </w:p>
    <w:p>
      <w:pPr>
        <w:ind w:left="440"/>
        <w:spacing w:after="0" w:line="230" w:lineRule="auto"/>
        <w:rPr>
          <w:sz w:val="20"/>
          <w:szCs w:val="20"/>
          <w:color w:val="auto"/>
        </w:rPr>
      </w:pPr>
      <w:r>
        <w:rPr>
          <w:rFonts w:ascii="Arial" w:cs="Arial" w:eastAsia="Arial" w:hAnsi="Arial"/>
          <w:sz w:val="14"/>
          <w:szCs w:val="14"/>
          <w:color w:val="auto"/>
        </w:rPr>
        <w:t>File No. 333-200272 Ultimate Annuity FSL 224</w:t>
      </w:r>
    </w:p>
    <w:p>
      <w:pPr>
        <w:ind w:left="440"/>
        <w:spacing w:after="0" w:line="230" w:lineRule="auto"/>
        <w:rPr>
          <w:sz w:val="20"/>
          <w:szCs w:val="20"/>
          <w:color w:val="auto"/>
        </w:rPr>
      </w:pPr>
      <w:r>
        <w:rPr>
          <w:rFonts w:ascii="Arial" w:cs="Arial" w:eastAsia="Arial" w:hAnsi="Arial"/>
          <w:sz w:val="14"/>
          <w:szCs w:val="14"/>
          <w:color w:val="auto"/>
        </w:rPr>
        <w:t>File No. 333-200275 Foresight SF 137</w:t>
      </w:r>
    </w:p>
    <w:p>
      <w:pPr>
        <w:ind w:left="440"/>
        <w:spacing w:after="0" w:line="230" w:lineRule="auto"/>
        <w:rPr>
          <w:sz w:val="20"/>
          <w:szCs w:val="20"/>
          <w:color w:val="auto"/>
        </w:rPr>
      </w:pPr>
      <w:r>
        <w:rPr>
          <w:rFonts w:ascii="Arial" w:cs="Arial" w:eastAsia="Arial" w:hAnsi="Arial"/>
          <w:sz w:val="14"/>
          <w:szCs w:val="14"/>
          <w:color w:val="auto"/>
        </w:rPr>
        <w:t>File No. 333-200277 SecurAnnuity (CLICO) 224/ SF 1700</w:t>
      </w:r>
    </w:p>
    <w:p>
      <w:pPr>
        <w:ind w:left="440"/>
        <w:spacing w:after="0" w:line="230" w:lineRule="auto"/>
        <w:rPr>
          <w:sz w:val="20"/>
          <w:szCs w:val="20"/>
          <w:color w:val="auto"/>
        </w:rPr>
      </w:pPr>
      <w:r>
        <w:rPr>
          <w:rFonts w:ascii="Arial" w:cs="Arial" w:eastAsia="Arial" w:hAnsi="Arial"/>
          <w:sz w:val="14"/>
          <w:szCs w:val="14"/>
          <w:color w:val="auto"/>
        </w:rPr>
        <w:t>File No. 333-200278 Group VA SF 234 (Texas)</w:t>
      </w:r>
    </w:p>
    <w:p>
      <w:pPr>
        <w:ind w:left="440"/>
        <w:spacing w:after="0" w:line="230" w:lineRule="auto"/>
        <w:rPr>
          <w:sz w:val="20"/>
          <w:szCs w:val="20"/>
          <w:color w:val="auto"/>
        </w:rPr>
      </w:pPr>
      <w:r>
        <w:rPr>
          <w:rFonts w:ascii="Arial" w:cs="Arial" w:eastAsia="Arial" w:hAnsi="Arial"/>
          <w:sz w:val="14"/>
          <w:szCs w:val="14"/>
          <w:color w:val="auto"/>
        </w:rPr>
        <w:t>File No. 333-200280 Sunshine SF 236 FL</w:t>
      </w:r>
    </w:p>
    <w:p>
      <w:pPr>
        <w:ind w:left="440"/>
        <w:spacing w:after="0" w:line="230" w:lineRule="auto"/>
        <w:rPr>
          <w:sz w:val="20"/>
          <w:szCs w:val="20"/>
          <w:color w:val="auto"/>
        </w:rPr>
      </w:pPr>
      <w:r>
        <w:rPr>
          <w:rFonts w:ascii="Arial" w:cs="Arial" w:eastAsia="Arial" w:hAnsi="Arial"/>
          <w:sz w:val="14"/>
          <w:szCs w:val="14"/>
          <w:color w:val="auto"/>
        </w:rPr>
        <w:t>File No. 333-200281 Flexible Value SF 230</w:t>
      </w:r>
    </w:p>
    <w:p>
      <w:pPr>
        <w:ind w:left="440" w:right="3199"/>
        <w:spacing w:after="0"/>
        <w:rPr>
          <w:sz w:val="20"/>
          <w:szCs w:val="20"/>
          <w:color w:val="auto"/>
        </w:rPr>
      </w:pPr>
      <w:r>
        <w:rPr>
          <w:rFonts w:ascii="Arial" w:cs="Arial" w:eastAsia="Arial" w:hAnsi="Arial"/>
          <w:sz w:val="14"/>
          <w:szCs w:val="14"/>
          <w:color w:val="auto"/>
        </w:rPr>
        <w:t>File No. 333-200282 Investors Choice Annuity, Capital Strategist Annuity, Imprint Annuity and Strive Annuity File No. 333-200283 Protected Equity Portfolio (PEP)</w:t>
      </w:r>
    </w:p>
    <w:p>
      <w:pPr>
        <w:sectPr>
          <w:pgSz w:w="11900" w:h="16838" w:orient="portrait"/>
          <w:cols w:equalWidth="0" w:num="1">
            <w:col w:w="10159"/>
          </w:cols>
          <w:pgMar w:left="300" w:top="240" w:right="1440" w:bottom="1440" w:gutter="0" w:footer="0" w:header="0"/>
        </w:sectPr>
      </w:pPr>
    </w:p>
    <w:bookmarkStart w:id="108" w:name="page109"/>
    <w:bookmarkEnd w:id="108"/>
    <w:p>
      <w:pPr>
        <w:ind w:left="44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0">
                      <a:extLst>
                        <a:ext uri="{28A0092B-C50C-407E-A947-70E740481C1C}"/>
                      </a:extLst>
                    </a:blip>
                    <a:srcRect/>
                    <a:stretch>
                      <a:fillRect/>
                    </a:stretch>
                  </pic:blipFill>
                  <pic:spPr bwMode="auto">
                    <a:xfrm>
                      <a:off x="0" y="0"/>
                      <a:ext cx="7203440" cy="32385"/>
                    </a:xfrm>
                    <a:prstGeom prst="rect">
                      <a:avLst/>
                    </a:prstGeom>
                    <a:noFill/>
                  </pic:spPr>
                </pic:pic>
              </a:graphicData>
            </a:graphic>
          </wp:anchor>
        </w:drawing>
        <w:t>File No. 333-200284 Vintage L and Vintage XC</w:t>
      </w:r>
    </w:p>
    <w:p>
      <w:pPr>
        <w:ind w:left="440"/>
        <w:spacing w:after="0" w:line="237" w:lineRule="auto"/>
        <w:rPr>
          <w:sz w:val="20"/>
          <w:szCs w:val="20"/>
          <w:color w:val="auto"/>
        </w:rPr>
      </w:pPr>
      <w:r>
        <w:rPr>
          <w:rFonts w:ascii="Arial" w:cs="Arial" w:eastAsia="Arial" w:hAnsi="Arial"/>
          <w:sz w:val="14"/>
          <w:szCs w:val="14"/>
          <w:color w:val="auto"/>
        </w:rPr>
        <w:t>File No. 333-200285 Series XTRA 6</w:t>
      </w:r>
    </w:p>
    <w:p>
      <w:pPr>
        <w:ind w:left="440"/>
        <w:spacing w:after="0" w:line="230" w:lineRule="auto"/>
        <w:rPr>
          <w:sz w:val="20"/>
          <w:szCs w:val="20"/>
          <w:color w:val="auto"/>
        </w:rPr>
      </w:pPr>
      <w:r>
        <w:rPr>
          <w:rFonts w:ascii="Arial" w:cs="Arial" w:eastAsia="Arial" w:hAnsi="Arial"/>
          <w:sz w:val="14"/>
          <w:szCs w:val="14"/>
          <w:color w:val="auto"/>
        </w:rPr>
        <w:t>File No. 333-200286 Series VA - 4 (offered between May 1, 2011 and October 7, 2011)</w:t>
      </w:r>
    </w:p>
    <w:p>
      <w:pPr>
        <w:ind w:left="440"/>
        <w:spacing w:after="0" w:line="230" w:lineRule="auto"/>
        <w:rPr>
          <w:sz w:val="20"/>
          <w:szCs w:val="20"/>
          <w:color w:val="auto"/>
        </w:rPr>
      </w:pPr>
      <w:r>
        <w:rPr>
          <w:rFonts w:ascii="Arial" w:cs="Arial" w:eastAsia="Arial" w:hAnsi="Arial"/>
          <w:sz w:val="14"/>
          <w:szCs w:val="14"/>
          <w:color w:val="auto"/>
        </w:rPr>
        <w:t>File No. 333-200287 Series C (offered on and after October 7, 2011)</w:t>
      </w:r>
    </w:p>
    <w:p>
      <w:pPr>
        <w:ind w:left="440"/>
        <w:spacing w:after="0" w:line="230" w:lineRule="auto"/>
        <w:rPr>
          <w:sz w:val="20"/>
          <w:szCs w:val="20"/>
          <w:color w:val="auto"/>
        </w:rPr>
      </w:pPr>
      <w:r>
        <w:rPr>
          <w:rFonts w:ascii="Arial" w:cs="Arial" w:eastAsia="Arial" w:hAnsi="Arial"/>
          <w:sz w:val="14"/>
          <w:szCs w:val="14"/>
          <w:color w:val="auto"/>
        </w:rPr>
        <w:t>File No. 333-200288 Pioneer PRISM</w:t>
      </w:r>
    </w:p>
    <w:p>
      <w:pPr>
        <w:ind w:left="440"/>
        <w:spacing w:after="0" w:line="230" w:lineRule="auto"/>
        <w:rPr>
          <w:sz w:val="20"/>
          <w:szCs w:val="20"/>
          <w:color w:val="auto"/>
        </w:rPr>
      </w:pPr>
      <w:r>
        <w:rPr>
          <w:rFonts w:ascii="Arial" w:cs="Arial" w:eastAsia="Arial" w:hAnsi="Arial"/>
          <w:sz w:val="14"/>
          <w:szCs w:val="14"/>
          <w:color w:val="auto"/>
        </w:rPr>
        <w:t>File No. 333-200289 Pioneer PRISM L</w:t>
      </w:r>
    </w:p>
    <w:p>
      <w:pPr>
        <w:ind w:left="440"/>
        <w:spacing w:after="0" w:line="230" w:lineRule="auto"/>
        <w:rPr>
          <w:sz w:val="20"/>
          <w:szCs w:val="20"/>
          <w:color w:val="auto"/>
        </w:rPr>
      </w:pPr>
      <w:r>
        <w:rPr>
          <w:rFonts w:ascii="Arial" w:cs="Arial" w:eastAsia="Arial" w:hAnsi="Arial"/>
          <w:sz w:val="14"/>
          <w:szCs w:val="14"/>
          <w:color w:val="auto"/>
        </w:rPr>
        <w:t>File No. 333-200290 Pioneer PRISM XC</w:t>
      </w:r>
    </w:p>
    <w:p>
      <w:pPr>
        <w:spacing w:after="0" w:line="1" w:lineRule="exact"/>
        <w:rPr>
          <w:sz w:val="20"/>
          <w:szCs w:val="20"/>
          <w:color w:val="auto"/>
        </w:rPr>
      </w:pPr>
    </w:p>
    <w:p>
      <w:pPr>
        <w:ind w:left="580" w:right="2279" w:hanging="155"/>
        <w:spacing w:after="0" w:line="214" w:lineRule="auto"/>
        <w:rPr>
          <w:sz w:val="20"/>
          <w:szCs w:val="20"/>
          <w:color w:val="auto"/>
        </w:rPr>
      </w:pPr>
      <w:r>
        <w:rPr>
          <w:rFonts w:ascii="Arial" w:cs="Arial" w:eastAsia="Arial" w:hAnsi="Arial"/>
          <w:sz w:val="12"/>
          <w:szCs w:val="12"/>
          <w:color w:val="auto"/>
        </w:rPr>
        <w:t>File No. 333-200323 Brighthouse Investment Portfolio Architect</w:t>
      </w:r>
      <w:r>
        <w:rPr>
          <w:rFonts w:ascii="Arial" w:cs="Arial" w:eastAsia="Arial" w:hAnsi="Arial"/>
          <w:sz w:val="18"/>
          <w:szCs w:val="18"/>
          <w:color w:val="auto"/>
          <w:vertAlign w:val="superscript"/>
        </w:rPr>
        <w:t>SM</w:t>
      </w:r>
      <w:r>
        <w:rPr>
          <w:rFonts w:ascii="Arial" w:cs="Arial" w:eastAsia="Arial" w:hAnsi="Arial"/>
          <w:sz w:val="12"/>
          <w:szCs w:val="12"/>
          <w:color w:val="auto"/>
        </w:rPr>
        <w:t xml:space="preserve"> - Standard Version and Brighthouse Investment Portfolio Architect</w:t>
      </w:r>
      <w:r>
        <w:rPr>
          <w:rFonts w:ascii="Arial" w:cs="Arial" w:eastAsia="Arial" w:hAnsi="Arial"/>
          <w:sz w:val="18"/>
          <w:szCs w:val="18"/>
          <w:color w:val="auto"/>
          <w:vertAlign w:val="superscript"/>
        </w:rPr>
        <w:t>SM</w:t>
      </w:r>
      <w:r>
        <w:rPr>
          <w:rFonts w:ascii="Arial" w:cs="Arial" w:eastAsia="Arial" w:hAnsi="Arial"/>
          <w:sz w:val="12"/>
          <w:szCs w:val="12"/>
          <w:color w:val="auto"/>
        </w:rPr>
        <w:t xml:space="preserve"> - C Share Option</w:t>
      </w:r>
    </w:p>
    <w:p>
      <w:pPr>
        <w:ind w:left="440"/>
        <w:spacing w:after="0" w:line="231" w:lineRule="auto"/>
        <w:rPr>
          <w:sz w:val="20"/>
          <w:szCs w:val="20"/>
          <w:color w:val="auto"/>
        </w:rPr>
      </w:pPr>
      <w:r>
        <w:rPr>
          <w:rFonts w:ascii="Arial" w:cs="Arial" w:eastAsia="Arial" w:hAnsi="Arial"/>
          <w:sz w:val="14"/>
          <w:szCs w:val="14"/>
          <w:color w:val="auto"/>
        </w:rPr>
        <w:t>File No. 333-203748 Series O (offered on and after July 20, 2015)</w:t>
      </w:r>
    </w:p>
    <w:p>
      <w:pPr>
        <w:ind w:left="440"/>
        <w:spacing w:after="0" w:line="230" w:lineRule="auto"/>
        <w:rPr>
          <w:sz w:val="20"/>
          <w:szCs w:val="20"/>
          <w:color w:val="auto"/>
        </w:rPr>
      </w:pPr>
      <w:r>
        <w:rPr>
          <w:rFonts w:ascii="Arial" w:cs="Arial" w:eastAsia="Arial" w:hAnsi="Arial"/>
          <w:sz w:val="14"/>
          <w:szCs w:val="14"/>
          <w:color w:val="auto"/>
        </w:rPr>
        <w:t>File No. 333-209053 Series VA (offered on and after May 2, 2016)</w:t>
      </w:r>
    </w:p>
    <w:p>
      <w:pPr>
        <w:ind w:left="440"/>
        <w:spacing w:after="0" w:line="230" w:lineRule="auto"/>
        <w:rPr>
          <w:sz w:val="20"/>
          <w:szCs w:val="20"/>
          <w:color w:val="auto"/>
        </w:rPr>
      </w:pPr>
      <w:r>
        <w:rPr>
          <w:rFonts w:ascii="Arial" w:cs="Arial" w:eastAsia="Arial" w:hAnsi="Arial"/>
          <w:sz w:val="14"/>
          <w:szCs w:val="14"/>
          <w:color w:val="auto"/>
        </w:rPr>
        <w:t>File No. 333-209054 Series VA- 4 (offered on and after May 2, 2016)</w:t>
      </w:r>
    </w:p>
    <w:p>
      <w:pPr>
        <w:ind w:left="440"/>
        <w:spacing w:after="0"/>
        <w:rPr>
          <w:sz w:val="20"/>
          <w:szCs w:val="20"/>
          <w:color w:val="auto"/>
        </w:rPr>
      </w:pPr>
      <w:r>
        <w:rPr>
          <w:rFonts w:ascii="Arial" w:cs="Arial" w:eastAsia="Arial" w:hAnsi="Arial"/>
          <w:sz w:val="13"/>
          <w:szCs w:val="13"/>
          <w:color w:val="auto"/>
        </w:rPr>
        <w:t>File No. 333-209055 Series S (offered on and after May 2, 2016) and Series S-L Share Option (offered on and after May 2, 2016)</w:t>
      </w:r>
    </w:p>
    <w:p>
      <w:pPr>
        <w:spacing w:after="0" w:line="5" w:lineRule="exact"/>
        <w:rPr>
          <w:sz w:val="20"/>
          <w:szCs w:val="20"/>
          <w:color w:val="auto"/>
        </w:rPr>
      </w:pPr>
    </w:p>
    <w:p>
      <w:pPr>
        <w:ind w:left="440"/>
        <w:spacing w:after="0"/>
        <w:rPr>
          <w:sz w:val="20"/>
          <w:szCs w:val="20"/>
          <w:color w:val="auto"/>
        </w:rPr>
      </w:pPr>
      <w:r>
        <w:rPr>
          <w:rFonts w:ascii="Arial" w:cs="Arial" w:eastAsia="Arial" w:hAnsi="Arial"/>
          <w:sz w:val="14"/>
          <w:szCs w:val="14"/>
          <w:color w:val="auto"/>
        </w:rPr>
        <w:t>File No. 333-209411 Brighthouse Prime Options,</w:t>
      </w:r>
    </w:p>
    <w:p>
      <w:pPr>
        <w:spacing w:after="0" w:line="166" w:lineRule="exact"/>
        <w:rPr>
          <w:sz w:val="20"/>
          <w:szCs w:val="20"/>
          <w:color w:val="auto"/>
        </w:rPr>
      </w:pPr>
    </w:p>
    <w:p>
      <w:pPr>
        <w:spacing w:after="0"/>
        <w:tabs>
          <w:tab w:leader="none" w:pos="14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3"/>
          <w:szCs w:val="13"/>
          <w:color w:val="auto"/>
        </w:rPr>
        <w:t>Brighthouse Separate Account Eleven for Variable Annuities (811-21262)</w:t>
      </w:r>
    </w:p>
    <w:p>
      <w:pPr>
        <w:spacing w:after="0" w:line="5" w:lineRule="exact"/>
        <w:rPr>
          <w:sz w:val="20"/>
          <w:szCs w:val="20"/>
          <w:color w:val="auto"/>
        </w:rPr>
      </w:pPr>
    </w:p>
    <w:p>
      <w:pPr>
        <w:ind w:left="580" w:right="2059" w:hanging="155"/>
        <w:spacing w:after="0" w:line="229" w:lineRule="auto"/>
        <w:rPr>
          <w:sz w:val="20"/>
          <w:szCs w:val="20"/>
          <w:color w:val="auto"/>
        </w:rPr>
      </w:pPr>
      <w:r>
        <w:rPr>
          <w:rFonts w:ascii="Arial" w:cs="Arial" w:eastAsia="Arial" w:hAnsi="Arial"/>
          <w:sz w:val="14"/>
          <w:szCs w:val="14"/>
          <w:color w:val="auto"/>
        </w:rPr>
        <w:t>File Nos. 333-101778 and 333-152234 Pioneer AnnuiStar Plus Annuity, Portfolio Architect Plus Annuity and Scudder Advocate Rewards Annuity</w:t>
      </w:r>
    </w:p>
    <w:p>
      <w:pPr>
        <w:ind w:left="440"/>
        <w:spacing w:after="0" w:line="232" w:lineRule="auto"/>
        <w:rPr>
          <w:sz w:val="20"/>
          <w:szCs w:val="20"/>
          <w:color w:val="auto"/>
        </w:rPr>
      </w:pPr>
      <w:r>
        <w:rPr>
          <w:rFonts w:ascii="Arial" w:cs="Arial" w:eastAsia="Arial" w:hAnsi="Arial"/>
          <w:sz w:val="14"/>
          <w:szCs w:val="14"/>
          <w:color w:val="auto"/>
        </w:rPr>
        <w:t>File No. 333-152189 Universal Annuity</w:t>
      </w:r>
    </w:p>
    <w:p>
      <w:pPr>
        <w:ind w:left="440"/>
        <w:spacing w:after="0" w:line="230" w:lineRule="auto"/>
        <w:rPr>
          <w:sz w:val="20"/>
          <w:szCs w:val="20"/>
          <w:color w:val="auto"/>
        </w:rPr>
      </w:pPr>
      <w:r>
        <w:rPr>
          <w:rFonts w:ascii="Arial" w:cs="Arial" w:eastAsia="Arial" w:hAnsi="Arial"/>
          <w:sz w:val="14"/>
          <w:szCs w:val="14"/>
          <w:color w:val="auto"/>
        </w:rPr>
        <w:t>File No. 333-152190 Universal Select Annuity</w:t>
      </w:r>
    </w:p>
    <w:p>
      <w:pPr>
        <w:ind w:left="440"/>
        <w:spacing w:after="0" w:line="230" w:lineRule="auto"/>
        <w:rPr>
          <w:sz w:val="20"/>
          <w:szCs w:val="20"/>
          <w:color w:val="auto"/>
        </w:rPr>
      </w:pPr>
      <w:r>
        <w:rPr>
          <w:rFonts w:ascii="Arial" w:cs="Arial" w:eastAsia="Arial" w:hAnsi="Arial"/>
          <w:sz w:val="14"/>
          <w:szCs w:val="14"/>
          <w:color w:val="auto"/>
        </w:rPr>
        <w:t>File No. 333-152191 Universal Annuity Advantage</w:t>
      </w:r>
    </w:p>
    <w:p>
      <w:pPr>
        <w:ind w:left="440"/>
        <w:spacing w:after="0" w:line="230" w:lineRule="auto"/>
        <w:rPr>
          <w:sz w:val="20"/>
          <w:szCs w:val="20"/>
          <w:color w:val="auto"/>
        </w:rPr>
      </w:pPr>
      <w:r>
        <w:rPr>
          <w:rFonts w:ascii="Arial" w:cs="Arial" w:eastAsia="Arial" w:hAnsi="Arial"/>
          <w:sz w:val="14"/>
          <w:szCs w:val="14"/>
          <w:color w:val="auto"/>
        </w:rPr>
        <w:t>File Nos. 333-152192 and 333-152193 Brighthouse Retirement Account</w:t>
      </w:r>
    </w:p>
    <w:p>
      <w:pPr>
        <w:ind w:left="440"/>
        <w:spacing w:after="0" w:line="230" w:lineRule="auto"/>
        <w:rPr>
          <w:sz w:val="20"/>
          <w:szCs w:val="20"/>
          <w:color w:val="auto"/>
        </w:rPr>
      </w:pPr>
      <w:r>
        <w:rPr>
          <w:rFonts w:ascii="Arial" w:cs="Arial" w:eastAsia="Arial" w:hAnsi="Arial"/>
          <w:sz w:val="14"/>
          <w:szCs w:val="14"/>
          <w:color w:val="auto"/>
        </w:rPr>
        <w:t>File No. 333-152194 Gold Track and Gold Track Select</w:t>
      </w:r>
    </w:p>
    <w:p>
      <w:pPr>
        <w:ind w:left="440" w:right="3219"/>
        <w:spacing w:after="0" w:line="229" w:lineRule="auto"/>
        <w:rPr>
          <w:sz w:val="20"/>
          <w:szCs w:val="20"/>
          <w:color w:val="auto"/>
        </w:rPr>
      </w:pPr>
      <w:r>
        <w:rPr>
          <w:rFonts w:ascii="Arial" w:cs="Arial" w:eastAsia="Arial" w:hAnsi="Arial"/>
          <w:sz w:val="14"/>
          <w:szCs w:val="14"/>
          <w:color w:val="auto"/>
        </w:rPr>
        <w:t>File Nos. 333-152197 and 333-152198 Brighthouse Access Annuity and Brighthouse Access Select Annuity File Nos. 333-152199 and 333-152200 Vintage Annuity File Nos. 333-152201 and 333-152202 Index Annuity</w:t>
      </w:r>
    </w:p>
    <w:p>
      <w:pPr>
        <w:spacing w:after="0" w:line="2" w:lineRule="exact"/>
        <w:rPr>
          <w:sz w:val="20"/>
          <w:szCs w:val="20"/>
          <w:color w:val="auto"/>
        </w:rPr>
      </w:pPr>
    </w:p>
    <w:p>
      <w:pPr>
        <w:ind w:left="580" w:right="2119" w:hanging="155"/>
        <w:spacing w:after="0" w:line="230" w:lineRule="auto"/>
        <w:rPr>
          <w:sz w:val="20"/>
          <w:szCs w:val="20"/>
          <w:color w:val="auto"/>
        </w:rPr>
      </w:pPr>
      <w:r>
        <w:rPr>
          <w:rFonts w:ascii="Arial" w:cs="Arial" w:eastAsia="Arial" w:hAnsi="Arial"/>
          <w:sz w:val="14"/>
          <w:szCs w:val="14"/>
          <w:color w:val="auto"/>
        </w:rPr>
        <w:t>File Nos. 333-152232 and 333-152233 Portfolio Architect Annuity, Portfolio Architect Select Annuity, Premier Advisers Annuity (Class I) and Premier Advisers Annuity (Class II)</w:t>
      </w:r>
    </w:p>
    <w:p>
      <w:pPr>
        <w:ind w:left="580" w:right="2199" w:hanging="155"/>
        <w:spacing w:after="0" w:line="229" w:lineRule="auto"/>
        <w:rPr>
          <w:sz w:val="20"/>
          <w:szCs w:val="20"/>
          <w:color w:val="auto"/>
        </w:rPr>
      </w:pPr>
      <w:r>
        <w:rPr>
          <w:rFonts w:ascii="Arial" w:cs="Arial" w:eastAsia="Arial" w:hAnsi="Arial"/>
          <w:sz w:val="14"/>
          <w:szCs w:val="14"/>
          <w:color w:val="auto"/>
        </w:rPr>
        <w:t>File Nos. 333-152235 and 333-152236 Pioneer AnnuiStar Annuity, Portfolio Architect II Annuity and Pioneer AnnuiStar Value Annuity</w:t>
      </w:r>
    </w:p>
    <w:p>
      <w:pPr>
        <w:spacing w:after="0" w:line="1" w:lineRule="exact"/>
        <w:rPr>
          <w:sz w:val="20"/>
          <w:szCs w:val="20"/>
          <w:color w:val="auto"/>
        </w:rPr>
      </w:pPr>
    </w:p>
    <w:p>
      <w:pPr>
        <w:ind w:left="580" w:right="1839" w:hanging="155"/>
        <w:spacing w:after="0" w:line="230" w:lineRule="auto"/>
        <w:rPr>
          <w:sz w:val="20"/>
          <w:szCs w:val="20"/>
          <w:color w:val="auto"/>
        </w:rPr>
      </w:pPr>
      <w:r>
        <w:rPr>
          <w:rFonts w:ascii="Arial" w:cs="Arial" w:eastAsia="Arial" w:hAnsi="Arial"/>
          <w:sz w:val="14"/>
          <w:szCs w:val="14"/>
          <w:color w:val="auto"/>
        </w:rPr>
        <w:t>File Nos. 333-152237 and 333-152238 Premier Advisers II Annuity, Premier Advisers III (Series I) and Premier Advisers III Annuity (Series II)</w:t>
      </w:r>
    </w:p>
    <w:p>
      <w:pPr>
        <w:ind w:left="580" w:right="1779" w:hanging="155"/>
        <w:spacing w:after="0" w:line="230" w:lineRule="auto"/>
        <w:rPr>
          <w:sz w:val="20"/>
          <w:szCs w:val="20"/>
          <w:color w:val="auto"/>
        </w:rPr>
      </w:pPr>
      <w:r>
        <w:rPr>
          <w:rFonts w:ascii="Arial" w:cs="Arial" w:eastAsia="Arial" w:hAnsi="Arial"/>
          <w:sz w:val="14"/>
          <w:szCs w:val="14"/>
          <w:color w:val="auto"/>
        </w:rPr>
        <w:t>File Nos. 333-152239 and 333-152240 Premier Advisers AssetManager Annuity, Premier Advisers L Annuity (Series I) and Premier Advisers L Annuity (Series II)</w:t>
      </w:r>
    </w:p>
    <w:p>
      <w:pPr>
        <w:ind w:left="580" w:right="1799" w:hanging="155"/>
        <w:spacing w:after="0" w:line="230" w:lineRule="auto"/>
        <w:rPr>
          <w:sz w:val="20"/>
          <w:szCs w:val="20"/>
          <w:color w:val="auto"/>
        </w:rPr>
      </w:pPr>
      <w:r>
        <w:rPr>
          <w:rFonts w:ascii="Arial" w:cs="Arial" w:eastAsia="Arial" w:hAnsi="Arial"/>
          <w:sz w:val="14"/>
          <w:szCs w:val="14"/>
          <w:color w:val="auto"/>
        </w:rPr>
        <w:t>File Nos. 333-152255 and 333-152265 Vintage XTRA Annuity, Portfolio Architect XTRA Annuity and Vintage XTRA Annuity (Series II)</w:t>
      </w:r>
    </w:p>
    <w:p>
      <w:pPr>
        <w:ind w:left="580" w:right="2119" w:hanging="155"/>
        <w:spacing w:after="0" w:line="229" w:lineRule="auto"/>
        <w:rPr>
          <w:sz w:val="20"/>
          <w:szCs w:val="20"/>
          <w:color w:val="auto"/>
        </w:rPr>
      </w:pPr>
      <w:r>
        <w:rPr>
          <w:rFonts w:ascii="Arial" w:cs="Arial" w:eastAsia="Arial" w:hAnsi="Arial"/>
          <w:sz w:val="14"/>
          <w:szCs w:val="14"/>
          <w:color w:val="auto"/>
        </w:rPr>
        <w:t>File Nos. 333-152256 and 333-152292 Vintage 3 Annuity, Portfolio Architect 3 Annuity, Portfolio Architect L Annuity, Vintage L Annuity and Pioneer AnnuiStar Flex Annuity</w:t>
      </w:r>
    </w:p>
    <w:p>
      <w:pPr>
        <w:ind w:left="440"/>
        <w:spacing w:after="0" w:line="232" w:lineRule="auto"/>
        <w:rPr>
          <w:sz w:val="20"/>
          <w:szCs w:val="20"/>
          <w:color w:val="auto"/>
        </w:rPr>
      </w:pPr>
      <w:r>
        <w:rPr>
          <w:rFonts w:ascii="Arial" w:cs="Arial" w:eastAsia="Arial" w:hAnsi="Arial"/>
          <w:sz w:val="14"/>
          <w:szCs w:val="14"/>
          <w:color w:val="auto"/>
        </w:rPr>
        <w:t>File Nos. 333-152258 and 333-152261 PrimElite Annuity</w:t>
      </w:r>
    </w:p>
    <w:p>
      <w:pPr>
        <w:ind w:left="440"/>
        <w:spacing w:after="0" w:line="230" w:lineRule="auto"/>
        <w:rPr>
          <w:sz w:val="20"/>
          <w:szCs w:val="20"/>
          <w:color w:val="auto"/>
        </w:rPr>
      </w:pPr>
      <w:r>
        <w:rPr>
          <w:rFonts w:ascii="Arial" w:cs="Arial" w:eastAsia="Arial" w:hAnsi="Arial"/>
          <w:sz w:val="14"/>
          <w:szCs w:val="14"/>
          <w:color w:val="auto"/>
        </w:rPr>
        <w:t>File Nos. 333-152259 and 333-152262 PrimElite II Annuity</w:t>
      </w:r>
    </w:p>
    <w:p>
      <w:pPr>
        <w:ind w:left="440"/>
        <w:spacing w:after="0" w:line="230" w:lineRule="auto"/>
        <w:rPr>
          <w:sz w:val="20"/>
          <w:szCs w:val="20"/>
          <w:color w:val="auto"/>
        </w:rPr>
      </w:pPr>
      <w:r>
        <w:rPr>
          <w:rFonts w:ascii="Arial" w:cs="Arial" w:eastAsia="Arial" w:hAnsi="Arial"/>
          <w:sz w:val="14"/>
          <w:szCs w:val="14"/>
          <w:color w:val="auto"/>
        </w:rPr>
        <w:t>File Nos. 333-152260 and 333-152266 Protected Equity Portfolio Annuity</w:t>
      </w:r>
    </w:p>
    <w:p>
      <w:pPr>
        <w:ind w:left="440"/>
        <w:spacing w:after="0" w:line="230" w:lineRule="auto"/>
        <w:rPr>
          <w:sz w:val="20"/>
          <w:szCs w:val="20"/>
          <w:color w:val="auto"/>
        </w:rPr>
      </w:pPr>
      <w:r>
        <w:rPr>
          <w:rFonts w:ascii="Arial" w:cs="Arial" w:eastAsia="Arial" w:hAnsi="Arial"/>
          <w:sz w:val="14"/>
          <w:szCs w:val="14"/>
          <w:color w:val="auto"/>
        </w:rPr>
        <w:t>File Nos. 333-152263 and 333-152269 Marquis Portfolios</w:t>
      </w:r>
    </w:p>
    <w:p>
      <w:pPr>
        <w:ind w:left="580" w:right="2259" w:hanging="155"/>
        <w:spacing w:after="0" w:line="230" w:lineRule="auto"/>
        <w:rPr>
          <w:sz w:val="20"/>
          <w:szCs w:val="20"/>
          <w:color w:val="auto"/>
        </w:rPr>
      </w:pPr>
      <w:r>
        <w:rPr>
          <w:rFonts w:ascii="Arial" w:cs="Arial" w:eastAsia="Arial" w:hAnsi="Arial"/>
          <w:sz w:val="14"/>
          <w:szCs w:val="14"/>
          <w:color w:val="auto"/>
        </w:rPr>
        <w:t>File Nos. 333-152264 and 333-152270 Vintage Access, Portfolio Architect Access, Scudder Advocate Advisor and Scudder Advocate Advisor - ST1 Annuity</w:t>
      </w:r>
    </w:p>
    <w:p>
      <w:pPr>
        <w:ind w:left="440"/>
        <w:spacing w:after="0" w:line="230" w:lineRule="auto"/>
        <w:rPr>
          <w:sz w:val="20"/>
          <w:szCs w:val="20"/>
          <w:color w:val="auto"/>
        </w:rPr>
      </w:pPr>
      <w:r>
        <w:rPr>
          <w:rFonts w:ascii="Arial" w:cs="Arial" w:eastAsia="Arial" w:hAnsi="Arial"/>
          <w:sz w:val="14"/>
          <w:szCs w:val="14"/>
          <w:color w:val="auto"/>
        </w:rPr>
        <w:t>File Nos. 333-152267 and 333-152268 Vintage II Annuity and Vintage II Annuity (Series II)</w:t>
      </w:r>
    </w:p>
    <w:p>
      <w:pPr>
        <w:ind w:left="440"/>
        <w:spacing w:after="0" w:line="230" w:lineRule="auto"/>
        <w:rPr>
          <w:sz w:val="20"/>
          <w:szCs w:val="20"/>
          <w:color w:val="auto"/>
        </w:rPr>
      </w:pPr>
      <w:r>
        <w:rPr>
          <w:rFonts w:ascii="Arial" w:cs="Arial" w:eastAsia="Arial" w:hAnsi="Arial"/>
          <w:sz w:val="14"/>
          <w:szCs w:val="14"/>
          <w:color w:val="auto"/>
        </w:rPr>
        <w:t>File No. 333-197658 Brighthouse Accumulation Annuity</w:t>
      </w:r>
    </w:p>
    <w:p>
      <w:pPr>
        <w:ind w:left="440"/>
        <w:spacing w:after="0"/>
        <w:rPr>
          <w:sz w:val="20"/>
          <w:szCs w:val="20"/>
          <w:color w:val="auto"/>
        </w:rPr>
      </w:pPr>
      <w:r>
        <w:rPr>
          <w:rFonts w:ascii="Arial" w:cs="Arial" w:eastAsia="Arial" w:hAnsi="Arial"/>
          <w:sz w:val="14"/>
          <w:szCs w:val="14"/>
          <w:color w:val="auto"/>
        </w:rPr>
        <w:t>File No. 333-208464 Brighthouse Premier Variable Annuity</w:t>
      </w:r>
      <w:r>
        <w:rPr>
          <w:rFonts w:ascii="Arial" w:cs="Arial" w:eastAsia="Arial" w:hAnsi="Arial"/>
          <w:sz w:val="20"/>
          <w:szCs w:val="20"/>
          <w:color w:val="auto"/>
          <w:vertAlign w:val="superscript"/>
        </w:rPr>
        <w:t>SM</w:t>
      </w:r>
      <w:r>
        <w:rPr>
          <w:rFonts w:ascii="Arial" w:cs="Arial" w:eastAsia="Arial" w:hAnsi="Arial"/>
          <w:sz w:val="14"/>
          <w:szCs w:val="14"/>
          <w:color w:val="auto"/>
        </w:rPr>
        <w:t>,</w:t>
      </w:r>
    </w:p>
    <w:p>
      <w:pPr>
        <w:spacing w:after="0" w:line="97" w:lineRule="exact"/>
        <w:rPr>
          <w:sz w:val="20"/>
          <w:szCs w:val="20"/>
          <w:color w:val="auto"/>
        </w:rPr>
      </w:pPr>
    </w:p>
    <w:p>
      <w:pPr>
        <w:ind w:left="440" w:right="6159" w:hanging="438"/>
        <w:spacing w:after="0" w:line="272" w:lineRule="auto"/>
        <w:tabs>
          <w:tab w:leader="none" w:pos="173" w:val="left"/>
        </w:tabs>
        <w:numPr>
          <w:ilvl w:val="0"/>
          <w:numId w:val="118"/>
        </w:numPr>
        <w:rPr>
          <w:rFonts w:ascii="Arial" w:cs="Arial" w:eastAsia="Arial" w:hAnsi="Arial"/>
          <w:sz w:val="13"/>
          <w:szCs w:val="13"/>
          <w:color w:val="auto"/>
        </w:rPr>
      </w:pPr>
      <w:r>
        <w:rPr>
          <w:rFonts w:ascii="Arial" w:cs="Arial" w:eastAsia="Arial" w:hAnsi="Arial"/>
          <w:sz w:val="13"/>
          <w:szCs w:val="13"/>
          <w:color w:val="auto"/>
        </w:rPr>
        <w:t>Brighthouse Separate Account QPN for Variable Annuities File No. 333-156867 Unallocated Group Variable Annuity File No. 333-156911 Brighthouse Retirement Perspectives,</w:t>
      </w:r>
    </w:p>
    <w:p>
      <w:pPr>
        <w:spacing w:after="0" w:line="139" w:lineRule="exact"/>
        <w:rPr>
          <w:rFonts w:ascii="Arial" w:cs="Arial" w:eastAsia="Arial" w:hAnsi="Arial"/>
          <w:sz w:val="13"/>
          <w:szCs w:val="13"/>
          <w:color w:val="auto"/>
        </w:rPr>
      </w:pPr>
    </w:p>
    <w:p>
      <w:pPr>
        <w:ind w:left="160" w:hanging="158"/>
        <w:spacing w:after="0"/>
        <w:tabs>
          <w:tab w:leader="none" w:pos="160" w:val="left"/>
        </w:tabs>
        <w:numPr>
          <w:ilvl w:val="0"/>
          <w:numId w:val="118"/>
        </w:numPr>
        <w:rPr>
          <w:rFonts w:ascii="Arial" w:cs="Arial" w:eastAsia="Arial" w:hAnsi="Arial"/>
          <w:sz w:val="14"/>
          <w:szCs w:val="14"/>
          <w:color w:val="auto"/>
        </w:rPr>
      </w:pPr>
      <w:r>
        <w:rPr>
          <w:rFonts w:ascii="Arial" w:cs="Arial" w:eastAsia="Arial" w:hAnsi="Arial"/>
          <w:sz w:val="14"/>
          <w:szCs w:val="14"/>
          <w:color w:val="auto"/>
        </w:rPr>
        <w:t>Brighthouse Variable Annuity Account C (811-05200)</w:t>
      </w:r>
    </w:p>
    <w:p>
      <w:pPr>
        <w:ind w:left="440"/>
        <w:spacing w:after="0" w:line="237" w:lineRule="auto"/>
        <w:rPr>
          <w:sz w:val="20"/>
          <w:szCs w:val="20"/>
          <w:color w:val="auto"/>
        </w:rPr>
      </w:pPr>
      <w:r>
        <w:rPr>
          <w:rFonts w:ascii="Arial" w:cs="Arial" w:eastAsia="Arial" w:hAnsi="Arial"/>
          <w:sz w:val="14"/>
          <w:szCs w:val="14"/>
          <w:color w:val="auto"/>
        </w:rPr>
        <w:t>File No. 333-200244 Class XC</w:t>
      </w:r>
    </w:p>
    <w:p>
      <w:pPr>
        <w:ind w:left="440"/>
        <w:spacing w:after="0" w:line="230" w:lineRule="auto"/>
        <w:rPr>
          <w:sz w:val="20"/>
          <w:szCs w:val="20"/>
          <w:color w:val="auto"/>
        </w:rPr>
      </w:pPr>
      <w:r>
        <w:rPr>
          <w:rFonts w:ascii="Arial" w:cs="Arial" w:eastAsia="Arial" w:hAnsi="Arial"/>
          <w:sz w:val="14"/>
          <w:szCs w:val="14"/>
          <w:color w:val="auto"/>
        </w:rPr>
        <w:t>File No. 333-200247 Class VA, Class AA and Class B</w:t>
      </w:r>
    </w:p>
    <w:p>
      <w:pPr>
        <w:ind w:left="440"/>
        <w:spacing w:after="0" w:line="230" w:lineRule="auto"/>
        <w:rPr>
          <w:sz w:val="20"/>
          <w:szCs w:val="20"/>
          <w:color w:val="auto"/>
        </w:rPr>
      </w:pPr>
      <w:r>
        <w:rPr>
          <w:rFonts w:ascii="Arial" w:cs="Arial" w:eastAsia="Arial" w:hAnsi="Arial"/>
          <w:sz w:val="14"/>
          <w:szCs w:val="14"/>
          <w:color w:val="auto"/>
        </w:rPr>
        <w:t>File No. 333-200249 Class L and Class L - 4 Year</w:t>
      </w:r>
    </w:p>
    <w:p>
      <w:pPr>
        <w:ind w:left="440"/>
        <w:spacing w:after="0" w:line="230" w:lineRule="auto"/>
        <w:rPr>
          <w:sz w:val="20"/>
          <w:szCs w:val="20"/>
          <w:color w:val="auto"/>
        </w:rPr>
      </w:pPr>
      <w:r>
        <w:rPr>
          <w:rFonts w:ascii="Arial" w:cs="Arial" w:eastAsia="Arial" w:hAnsi="Arial"/>
          <w:sz w:val="14"/>
          <w:szCs w:val="14"/>
          <w:color w:val="auto"/>
        </w:rPr>
        <w:t>File No. 333-200252 Class A</w:t>
      </w:r>
    </w:p>
    <w:p>
      <w:pPr>
        <w:ind w:left="440"/>
        <w:spacing w:after="0" w:line="230" w:lineRule="auto"/>
        <w:rPr>
          <w:sz w:val="20"/>
          <w:szCs w:val="20"/>
          <w:color w:val="auto"/>
        </w:rPr>
      </w:pPr>
      <w:r>
        <w:rPr>
          <w:rFonts w:ascii="Arial" w:cs="Arial" w:eastAsia="Arial" w:hAnsi="Arial"/>
          <w:sz w:val="14"/>
          <w:szCs w:val="14"/>
          <w:color w:val="auto"/>
        </w:rPr>
        <w:t>File No. 333-200255 COVA VA, Firstar Summit VA, Premier Advisor VA, Destiny Select VA and Prevail VA</w:t>
      </w:r>
    </w:p>
    <w:p>
      <w:pPr>
        <w:ind w:left="440"/>
        <w:spacing w:after="0" w:line="230" w:lineRule="auto"/>
        <w:rPr>
          <w:sz w:val="20"/>
          <w:szCs w:val="20"/>
          <w:color w:val="auto"/>
        </w:rPr>
      </w:pPr>
      <w:r>
        <w:rPr>
          <w:rFonts w:ascii="Arial" w:cs="Arial" w:eastAsia="Arial" w:hAnsi="Arial"/>
          <w:sz w:val="14"/>
          <w:szCs w:val="14"/>
          <w:color w:val="auto"/>
        </w:rPr>
        <w:t>File No. 333-200258 COVA VA SPDA</w:t>
      </w:r>
    </w:p>
    <w:p>
      <w:pPr>
        <w:ind w:left="440"/>
        <w:spacing w:after="0" w:line="230" w:lineRule="auto"/>
        <w:rPr>
          <w:sz w:val="20"/>
          <w:szCs w:val="20"/>
          <w:color w:val="auto"/>
        </w:rPr>
      </w:pPr>
      <w:r>
        <w:rPr>
          <w:rFonts w:ascii="Arial" w:cs="Arial" w:eastAsia="Arial" w:hAnsi="Arial"/>
          <w:sz w:val="14"/>
          <w:szCs w:val="14"/>
          <w:color w:val="auto"/>
        </w:rPr>
        <w:t>File No. 333-200260 COVA Series A</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4"/>
          <w:szCs w:val="14"/>
          <w:color w:val="auto"/>
        </w:rPr>
        <w:t>File No. 333-200262 Navigator-Select/Custom-Select/Russell-Select</w:t>
      </w:r>
    </w:p>
    <w:p>
      <w:pPr>
        <w:sectPr>
          <w:pgSz w:w="11900" w:h="16838" w:orient="portrait"/>
          <w:cols w:equalWidth="0" w:num="1">
            <w:col w:w="10159"/>
          </w:cols>
          <w:pgMar w:left="300" w:top="240" w:right="1440" w:bottom="1440" w:gutter="0" w:footer="0" w:header="0"/>
        </w:sectPr>
      </w:pPr>
    </w:p>
    <w:bookmarkStart w:id="109" w:name="page110"/>
    <w:bookmarkEnd w:id="109"/>
    <w:p>
      <w:pPr>
        <w:ind w:left="44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1">
                      <a:extLst>
                        <a:ext uri="{28A0092B-C50C-407E-A947-70E740481C1C}"/>
                      </a:extLst>
                    </a:blip>
                    <a:srcRect/>
                    <a:stretch>
                      <a:fillRect/>
                    </a:stretch>
                  </pic:blipFill>
                  <pic:spPr bwMode="auto">
                    <a:xfrm>
                      <a:off x="0" y="0"/>
                      <a:ext cx="7203440" cy="32385"/>
                    </a:xfrm>
                    <a:prstGeom prst="rect">
                      <a:avLst/>
                    </a:prstGeom>
                    <a:noFill/>
                  </pic:spPr>
                </pic:pic>
              </a:graphicData>
            </a:graphic>
          </wp:anchor>
        </w:drawing>
        <w:t>File No. 333-200264 Navigator-Select/Custom-Select/Russell-Select (CA)</w:t>
      </w:r>
    </w:p>
    <w:p>
      <w:pPr>
        <w:ind w:left="440"/>
        <w:spacing w:after="0" w:line="237" w:lineRule="auto"/>
        <w:rPr>
          <w:sz w:val="20"/>
          <w:szCs w:val="20"/>
          <w:color w:val="auto"/>
        </w:rPr>
      </w:pPr>
      <w:r>
        <w:rPr>
          <w:rFonts w:ascii="Arial" w:cs="Arial" w:eastAsia="Arial" w:hAnsi="Arial"/>
          <w:sz w:val="14"/>
          <w:szCs w:val="14"/>
          <w:color w:val="auto"/>
        </w:rPr>
        <w:t>File No. 333-200266 COVA VA and Premier Advisor (CA)</w:t>
      </w:r>
    </w:p>
    <w:p>
      <w:pPr>
        <w:ind w:left="440"/>
        <w:spacing w:after="0" w:line="230" w:lineRule="auto"/>
        <w:rPr>
          <w:sz w:val="20"/>
          <w:szCs w:val="20"/>
          <w:color w:val="auto"/>
        </w:rPr>
      </w:pPr>
      <w:r>
        <w:rPr>
          <w:rFonts w:ascii="Arial" w:cs="Arial" w:eastAsia="Arial" w:hAnsi="Arial"/>
          <w:sz w:val="14"/>
          <w:szCs w:val="14"/>
          <w:color w:val="auto"/>
        </w:rPr>
        <w:t>File No. 333-200267 COVA Series A (CA)</w:t>
      </w:r>
    </w:p>
    <w:p>
      <w:pPr>
        <w:ind w:left="440"/>
        <w:spacing w:after="0" w:line="230" w:lineRule="auto"/>
        <w:rPr>
          <w:sz w:val="20"/>
          <w:szCs w:val="20"/>
          <w:color w:val="auto"/>
        </w:rPr>
      </w:pPr>
      <w:r>
        <w:rPr>
          <w:rFonts w:ascii="Arial" w:cs="Arial" w:eastAsia="Arial" w:hAnsi="Arial"/>
          <w:sz w:val="14"/>
          <w:szCs w:val="14"/>
          <w:color w:val="auto"/>
        </w:rPr>
        <w:t>File No. 333-200269 Class C</w:t>
      </w:r>
    </w:p>
    <w:p>
      <w:pPr>
        <w:ind w:left="440"/>
        <w:spacing w:after="0" w:line="230" w:lineRule="auto"/>
        <w:rPr>
          <w:sz w:val="20"/>
          <w:szCs w:val="20"/>
          <w:color w:val="auto"/>
        </w:rPr>
      </w:pPr>
      <w:r>
        <w:rPr>
          <w:rFonts w:ascii="Arial" w:cs="Arial" w:eastAsia="Arial" w:hAnsi="Arial"/>
          <w:sz w:val="14"/>
          <w:szCs w:val="14"/>
          <w:color w:val="auto"/>
        </w:rPr>
        <w:t>File No. 333-200271 Class VA (CA), Class AA (CA), and Class B (CA)</w:t>
      </w:r>
    </w:p>
    <w:p>
      <w:pPr>
        <w:ind w:left="440"/>
        <w:spacing w:after="0" w:line="230" w:lineRule="auto"/>
        <w:rPr>
          <w:sz w:val="20"/>
          <w:szCs w:val="20"/>
          <w:color w:val="auto"/>
        </w:rPr>
      </w:pPr>
      <w:r>
        <w:rPr>
          <w:rFonts w:ascii="Arial" w:cs="Arial" w:eastAsia="Arial" w:hAnsi="Arial"/>
          <w:sz w:val="14"/>
          <w:szCs w:val="14"/>
          <w:color w:val="auto"/>
        </w:rPr>
        <w:t>File No. 333-200273 Class XC (CA)</w:t>
      </w:r>
    </w:p>
    <w:p>
      <w:pPr>
        <w:ind w:left="440"/>
        <w:spacing w:after="0" w:line="230" w:lineRule="auto"/>
        <w:rPr>
          <w:sz w:val="20"/>
          <w:szCs w:val="20"/>
          <w:color w:val="auto"/>
        </w:rPr>
      </w:pPr>
      <w:r>
        <w:rPr>
          <w:rFonts w:ascii="Arial" w:cs="Arial" w:eastAsia="Arial" w:hAnsi="Arial"/>
          <w:sz w:val="14"/>
          <w:szCs w:val="14"/>
          <w:color w:val="auto"/>
        </w:rPr>
        <w:t>File No. 333-200274 Class L (CA) and Class L - 4 Year (CA)</w:t>
      </w:r>
    </w:p>
    <w:p>
      <w:pPr>
        <w:ind w:left="440"/>
        <w:spacing w:after="0" w:line="230" w:lineRule="auto"/>
        <w:rPr>
          <w:sz w:val="20"/>
          <w:szCs w:val="20"/>
          <w:color w:val="auto"/>
        </w:rPr>
      </w:pPr>
      <w:r>
        <w:rPr>
          <w:rFonts w:ascii="Arial" w:cs="Arial" w:eastAsia="Arial" w:hAnsi="Arial"/>
          <w:sz w:val="14"/>
          <w:szCs w:val="14"/>
          <w:color w:val="auto"/>
        </w:rPr>
        <w:t>File No. 333-200276 Class A (CA)</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4"/>
          <w:szCs w:val="14"/>
          <w:color w:val="auto"/>
        </w:rPr>
        <w:t>File No. 333-200279 Class C (CA),</w:t>
      </w:r>
    </w:p>
    <w:p>
      <w:pPr>
        <w:spacing w:after="0" w:line="166" w:lineRule="exact"/>
        <w:rPr>
          <w:sz w:val="20"/>
          <w:szCs w:val="20"/>
          <w:color w:val="auto"/>
        </w:rPr>
      </w:pPr>
    </w:p>
    <w:p>
      <w:pPr>
        <w:spacing w:after="0"/>
        <w:tabs>
          <w:tab w:leader="none" w:pos="14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3"/>
          <w:szCs w:val="13"/>
          <w:color w:val="auto"/>
        </w:rPr>
        <w:t>Brighthouse Variable Life Account A (811-21851)</w:t>
      </w:r>
    </w:p>
    <w:p>
      <w:pPr>
        <w:spacing w:after="0" w:line="5" w:lineRule="exact"/>
        <w:rPr>
          <w:sz w:val="20"/>
          <w:szCs w:val="20"/>
          <w:color w:val="auto"/>
        </w:rPr>
      </w:pPr>
    </w:p>
    <w:p>
      <w:pPr>
        <w:ind w:left="440"/>
        <w:spacing w:after="0"/>
        <w:rPr>
          <w:sz w:val="20"/>
          <w:szCs w:val="20"/>
          <w:color w:val="auto"/>
        </w:rPr>
      </w:pPr>
      <w:r>
        <w:rPr>
          <w:rFonts w:ascii="Arial" w:cs="Arial" w:eastAsia="Arial" w:hAnsi="Arial"/>
          <w:sz w:val="14"/>
          <w:szCs w:val="14"/>
          <w:color w:val="auto"/>
        </w:rPr>
        <w:t>File No. 333-200241 Equity Advantage Variable Universal Life,</w:t>
      </w:r>
    </w:p>
    <w:p>
      <w:pPr>
        <w:spacing w:after="0" w:line="166" w:lineRule="exact"/>
        <w:rPr>
          <w:sz w:val="20"/>
          <w:szCs w:val="20"/>
          <w:color w:val="auto"/>
        </w:rPr>
      </w:pPr>
    </w:p>
    <w:p>
      <w:pPr>
        <w:ind w:left="440" w:right="6859" w:hanging="438"/>
        <w:spacing w:after="0" w:line="238" w:lineRule="auto"/>
        <w:tabs>
          <w:tab w:leader="none" w:pos="173" w:val="left"/>
        </w:tabs>
        <w:numPr>
          <w:ilvl w:val="0"/>
          <w:numId w:val="119"/>
        </w:numPr>
        <w:rPr>
          <w:rFonts w:ascii="Arial" w:cs="Arial" w:eastAsia="Arial" w:hAnsi="Arial"/>
          <w:sz w:val="14"/>
          <w:szCs w:val="14"/>
          <w:color w:val="auto"/>
        </w:rPr>
      </w:pPr>
      <w:r>
        <w:rPr>
          <w:rFonts w:ascii="Arial" w:cs="Arial" w:eastAsia="Arial" w:hAnsi="Arial"/>
          <w:sz w:val="14"/>
          <w:szCs w:val="14"/>
          <w:color w:val="auto"/>
        </w:rPr>
        <w:t>Brighthouse Variable Life Account One (811-07971) File No. 333-200242 Class VL</w:t>
      </w:r>
    </w:p>
    <w:p>
      <w:pPr>
        <w:spacing w:after="0" w:line="1" w:lineRule="exact"/>
        <w:rPr>
          <w:rFonts w:ascii="Arial" w:cs="Arial" w:eastAsia="Arial" w:hAnsi="Arial"/>
          <w:sz w:val="14"/>
          <w:szCs w:val="14"/>
          <w:color w:val="auto"/>
        </w:rPr>
      </w:pPr>
    </w:p>
    <w:p>
      <w:pPr>
        <w:ind w:left="440"/>
        <w:spacing w:after="0" w:line="230" w:lineRule="auto"/>
        <w:rPr>
          <w:rFonts w:ascii="Arial" w:cs="Arial" w:eastAsia="Arial" w:hAnsi="Arial"/>
          <w:sz w:val="14"/>
          <w:szCs w:val="14"/>
          <w:color w:val="auto"/>
        </w:rPr>
      </w:pPr>
      <w:r>
        <w:rPr>
          <w:rFonts w:ascii="Arial" w:cs="Arial" w:eastAsia="Arial" w:hAnsi="Arial"/>
          <w:sz w:val="14"/>
          <w:szCs w:val="14"/>
          <w:color w:val="auto"/>
        </w:rPr>
        <w:t>File No. 333-200245 Class VL (CA)</w:t>
      </w:r>
    </w:p>
    <w:p>
      <w:pPr>
        <w:ind w:left="440"/>
        <w:spacing w:after="0" w:line="230" w:lineRule="auto"/>
        <w:rPr>
          <w:rFonts w:ascii="Arial" w:cs="Arial" w:eastAsia="Arial" w:hAnsi="Arial"/>
          <w:sz w:val="14"/>
          <w:szCs w:val="14"/>
          <w:color w:val="auto"/>
        </w:rPr>
      </w:pPr>
      <w:r>
        <w:rPr>
          <w:rFonts w:ascii="Arial" w:cs="Arial" w:eastAsia="Arial" w:hAnsi="Arial"/>
          <w:sz w:val="14"/>
          <w:szCs w:val="14"/>
          <w:color w:val="auto"/>
        </w:rPr>
        <w:t>File No. 333-200248 Modified Single Premium Variable Life</w:t>
      </w:r>
    </w:p>
    <w:p>
      <w:pPr>
        <w:ind w:left="440" w:right="5599"/>
        <w:spacing w:after="0" w:line="236" w:lineRule="auto"/>
        <w:rPr>
          <w:rFonts w:ascii="Arial" w:cs="Arial" w:eastAsia="Arial" w:hAnsi="Arial"/>
          <w:sz w:val="14"/>
          <w:szCs w:val="14"/>
          <w:color w:val="auto"/>
        </w:rPr>
      </w:pPr>
      <w:r>
        <w:rPr>
          <w:rFonts w:ascii="Arial" w:cs="Arial" w:eastAsia="Arial" w:hAnsi="Arial"/>
          <w:sz w:val="14"/>
          <w:szCs w:val="14"/>
          <w:color w:val="auto"/>
        </w:rPr>
        <w:t>File No. 333-200251 Custom Select and Russell Select Variable Life File No. 333-200254 Modified Single Premium Variable Life (CA) File No. 333-200257 Custom Select Variable Life,</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color w:val="auto"/>
        </w:rPr>
        <w:t>And pertaining to:</w:t>
      </w:r>
    </w:p>
    <w:p>
      <w:pPr>
        <w:ind w:left="440"/>
        <w:spacing w:after="0" w:line="185" w:lineRule="auto"/>
        <w:rPr>
          <w:sz w:val="20"/>
          <w:szCs w:val="20"/>
          <w:color w:val="auto"/>
        </w:rPr>
      </w:pPr>
      <w:r>
        <w:rPr>
          <w:rFonts w:ascii="Arial" w:cs="Arial" w:eastAsia="Arial" w:hAnsi="Arial"/>
          <w:sz w:val="12"/>
          <w:szCs w:val="12"/>
          <w:color w:val="auto"/>
        </w:rPr>
        <w:t>File No. 333-268618 Brighthouse SmartGuard Plus</w:t>
      </w:r>
      <w:r>
        <w:rPr>
          <w:rFonts w:ascii="Arial" w:cs="Arial" w:eastAsia="Arial" w:hAnsi="Arial"/>
          <w:sz w:val="18"/>
          <w:szCs w:val="18"/>
          <w:color w:val="auto"/>
          <w:vertAlign w:val="superscript"/>
        </w:rPr>
        <w:t>SM</w:t>
      </w:r>
    </w:p>
    <w:p>
      <w:pPr>
        <w:ind w:left="440" w:right="1939"/>
        <w:spacing w:after="0" w:line="189" w:lineRule="auto"/>
        <w:rPr>
          <w:sz w:val="20"/>
          <w:szCs w:val="20"/>
          <w:color w:val="auto"/>
        </w:rPr>
      </w:pPr>
      <w:r>
        <w:rPr>
          <w:rFonts w:ascii="Arial" w:cs="Arial" w:eastAsia="Arial" w:hAnsi="Arial"/>
          <w:sz w:val="13"/>
          <w:szCs w:val="13"/>
          <w:color w:val="auto"/>
        </w:rPr>
        <w:t>File No. 333-262390 Brighthouse Shield</w:t>
      </w:r>
      <w:r>
        <w:rPr>
          <w:rFonts w:ascii="Arial" w:cs="Arial" w:eastAsia="Arial" w:hAnsi="Arial"/>
          <w:sz w:val="19"/>
          <w:szCs w:val="19"/>
          <w:color w:val="auto"/>
          <w:vertAlign w:val="superscript"/>
        </w:rPr>
        <w:t>®</w:t>
      </w:r>
      <w:r>
        <w:rPr>
          <w:rFonts w:ascii="Arial" w:cs="Arial" w:eastAsia="Arial" w:hAnsi="Arial"/>
          <w:sz w:val="13"/>
          <w:szCs w:val="13"/>
          <w:color w:val="auto"/>
        </w:rPr>
        <w:t xml:space="preserve"> Level Pay Plus</w:t>
      </w:r>
      <w:r>
        <w:rPr>
          <w:rFonts w:ascii="Arial" w:cs="Arial" w:eastAsia="Arial" w:hAnsi="Arial"/>
          <w:sz w:val="19"/>
          <w:szCs w:val="19"/>
          <w:color w:val="auto"/>
          <w:vertAlign w:val="superscript"/>
        </w:rPr>
        <w:t>SM</w:t>
      </w:r>
      <w:r>
        <w:rPr>
          <w:rFonts w:ascii="Arial" w:cs="Arial" w:eastAsia="Arial" w:hAnsi="Arial"/>
          <w:sz w:val="13"/>
          <w:szCs w:val="13"/>
          <w:color w:val="auto"/>
        </w:rPr>
        <w:t xml:space="preserve"> Annuity and Brighthouse Shield</w:t>
      </w:r>
      <w:r>
        <w:rPr>
          <w:rFonts w:ascii="Arial" w:cs="Arial" w:eastAsia="Arial" w:hAnsi="Arial"/>
          <w:sz w:val="19"/>
          <w:szCs w:val="19"/>
          <w:color w:val="auto"/>
          <w:vertAlign w:val="superscript"/>
        </w:rPr>
        <w:t>®</w:t>
      </w:r>
      <w:r>
        <w:rPr>
          <w:rFonts w:ascii="Arial" w:cs="Arial" w:eastAsia="Arial" w:hAnsi="Arial"/>
          <w:sz w:val="13"/>
          <w:szCs w:val="13"/>
          <w:color w:val="auto"/>
        </w:rPr>
        <w:t xml:space="preserve"> Level Pay Plus</w:t>
      </w:r>
      <w:r>
        <w:rPr>
          <w:rFonts w:ascii="Arial" w:cs="Arial" w:eastAsia="Arial" w:hAnsi="Arial"/>
          <w:sz w:val="19"/>
          <w:szCs w:val="19"/>
          <w:color w:val="auto"/>
          <w:vertAlign w:val="superscript"/>
        </w:rPr>
        <w:t>SM</w:t>
      </w:r>
      <w:r>
        <w:rPr>
          <w:rFonts w:ascii="Arial" w:cs="Arial" w:eastAsia="Arial" w:hAnsi="Arial"/>
          <w:sz w:val="13"/>
          <w:szCs w:val="13"/>
          <w:color w:val="auto"/>
        </w:rPr>
        <w:t xml:space="preserve"> Advisory Annuity File No. 333-259505 Brighthouse Shield</w:t>
      </w:r>
      <w:r>
        <w:rPr>
          <w:rFonts w:ascii="Arial" w:cs="Arial" w:eastAsia="Arial" w:hAnsi="Arial"/>
          <w:sz w:val="19"/>
          <w:szCs w:val="19"/>
          <w:color w:val="auto"/>
          <w:vertAlign w:val="superscript"/>
        </w:rPr>
        <w:t>®</w:t>
      </w:r>
      <w:r>
        <w:rPr>
          <w:rFonts w:ascii="Arial" w:cs="Arial" w:eastAsia="Arial" w:hAnsi="Arial"/>
          <w:sz w:val="13"/>
          <w:szCs w:val="13"/>
          <w:color w:val="auto"/>
        </w:rPr>
        <w:t xml:space="preserve"> Level Select 6-Year Annuity v.3 File No. 333-233240 Brighthouse Shield</w:t>
      </w:r>
      <w:r>
        <w:rPr>
          <w:rFonts w:ascii="Arial" w:cs="Arial" w:eastAsia="Arial" w:hAnsi="Arial"/>
          <w:sz w:val="19"/>
          <w:szCs w:val="19"/>
          <w:color w:val="auto"/>
          <w:vertAlign w:val="superscript"/>
        </w:rPr>
        <w:t>®</w:t>
      </w:r>
      <w:r>
        <w:rPr>
          <w:rFonts w:ascii="Arial" w:cs="Arial" w:eastAsia="Arial" w:hAnsi="Arial"/>
          <w:sz w:val="13"/>
          <w:szCs w:val="13"/>
          <w:color w:val="auto"/>
        </w:rPr>
        <w:t xml:space="preserve"> Level 10 Advisory Annuity</w:t>
      </w:r>
    </w:p>
    <w:p>
      <w:pPr>
        <w:ind w:left="440"/>
        <w:spacing w:after="0" w:line="180" w:lineRule="auto"/>
        <w:rPr>
          <w:sz w:val="20"/>
          <w:szCs w:val="20"/>
          <w:color w:val="auto"/>
        </w:rPr>
      </w:pPr>
      <w:r>
        <w:rPr>
          <w:rFonts w:ascii="Arial" w:cs="Arial" w:eastAsia="Arial" w:hAnsi="Arial"/>
          <w:sz w:val="12"/>
          <w:szCs w:val="12"/>
          <w:color w:val="auto"/>
        </w:rPr>
        <w:t>File No. 333-268427 Brighthouse Shield</w:t>
      </w:r>
      <w:r>
        <w:rPr>
          <w:rFonts w:ascii="Arial" w:cs="Arial" w:eastAsia="Arial" w:hAnsi="Arial"/>
          <w:sz w:val="18"/>
          <w:szCs w:val="18"/>
          <w:color w:val="auto"/>
          <w:vertAlign w:val="superscript"/>
        </w:rPr>
        <w:t>®</w:t>
      </w:r>
      <w:r>
        <w:rPr>
          <w:rFonts w:ascii="Arial" w:cs="Arial" w:eastAsia="Arial" w:hAnsi="Arial"/>
          <w:sz w:val="12"/>
          <w:szCs w:val="12"/>
          <w:color w:val="auto"/>
        </w:rPr>
        <w:t xml:space="preserve"> Level Select Advisory Annuity</w:t>
      </w:r>
    </w:p>
    <w:p>
      <w:pPr>
        <w:ind w:left="440"/>
        <w:spacing w:after="0" w:line="189" w:lineRule="auto"/>
        <w:rPr>
          <w:sz w:val="20"/>
          <w:szCs w:val="20"/>
          <w:color w:val="auto"/>
        </w:rPr>
      </w:pPr>
      <w:r>
        <w:rPr>
          <w:rFonts w:ascii="Arial" w:cs="Arial" w:eastAsia="Arial" w:hAnsi="Arial"/>
          <w:sz w:val="12"/>
          <w:szCs w:val="12"/>
          <w:color w:val="auto"/>
        </w:rPr>
        <w:t>File No. 333-263492 Brighthouse Shield</w:t>
      </w:r>
      <w:r>
        <w:rPr>
          <w:rFonts w:ascii="Arial" w:cs="Arial" w:eastAsia="Arial" w:hAnsi="Arial"/>
          <w:sz w:val="17"/>
          <w:szCs w:val="17"/>
          <w:color w:val="auto"/>
          <w:vertAlign w:val="superscript"/>
        </w:rPr>
        <w:t>®</w:t>
      </w:r>
      <w:r>
        <w:rPr>
          <w:rFonts w:ascii="Arial" w:cs="Arial" w:eastAsia="Arial" w:hAnsi="Arial"/>
          <w:sz w:val="12"/>
          <w:szCs w:val="12"/>
          <w:color w:val="auto"/>
        </w:rPr>
        <w:t xml:space="preserve"> Level Select 6-Year Annuity</w:t>
      </w:r>
    </w:p>
    <w:p>
      <w:pPr>
        <w:ind w:left="440"/>
        <w:spacing w:after="0" w:line="189" w:lineRule="auto"/>
        <w:rPr>
          <w:sz w:val="20"/>
          <w:szCs w:val="20"/>
          <w:color w:val="auto"/>
        </w:rPr>
      </w:pPr>
      <w:r>
        <w:rPr>
          <w:rFonts w:ascii="Arial" w:cs="Arial" w:eastAsia="Arial" w:hAnsi="Arial"/>
          <w:sz w:val="12"/>
          <w:szCs w:val="12"/>
          <w:color w:val="auto"/>
        </w:rPr>
        <w:t>File No. 333-263495 Brighthouse Shield</w:t>
      </w:r>
      <w:r>
        <w:rPr>
          <w:rFonts w:ascii="Arial" w:cs="Arial" w:eastAsia="Arial" w:hAnsi="Arial"/>
          <w:sz w:val="17"/>
          <w:szCs w:val="17"/>
          <w:color w:val="auto"/>
          <w:vertAlign w:val="superscript"/>
        </w:rPr>
        <w:t>®</w:t>
      </w:r>
      <w:r>
        <w:rPr>
          <w:rFonts w:ascii="Arial" w:cs="Arial" w:eastAsia="Arial" w:hAnsi="Arial"/>
          <w:sz w:val="12"/>
          <w:szCs w:val="12"/>
          <w:color w:val="auto"/>
        </w:rPr>
        <w:t xml:space="preserve"> Level Select 3-Year Annuity</w:t>
      </w:r>
    </w:p>
    <w:p>
      <w:pPr>
        <w:ind w:left="440"/>
        <w:spacing w:after="0" w:line="190" w:lineRule="auto"/>
        <w:rPr>
          <w:sz w:val="20"/>
          <w:szCs w:val="20"/>
          <w:color w:val="auto"/>
        </w:rPr>
      </w:pPr>
      <w:r>
        <w:rPr>
          <w:rFonts w:ascii="Arial" w:cs="Arial" w:eastAsia="Arial" w:hAnsi="Arial"/>
          <w:sz w:val="12"/>
          <w:szCs w:val="12"/>
          <w:color w:val="auto"/>
        </w:rPr>
        <w:t>File No. 333-238213 Brighthouse Shield</w:t>
      </w:r>
      <w:r>
        <w:rPr>
          <w:rFonts w:ascii="Arial" w:cs="Arial" w:eastAsia="Arial" w:hAnsi="Arial"/>
          <w:sz w:val="17"/>
          <w:szCs w:val="17"/>
          <w:color w:val="auto"/>
          <w:vertAlign w:val="superscript"/>
        </w:rPr>
        <w:t>®</w:t>
      </w:r>
      <w:r>
        <w:rPr>
          <w:rFonts w:ascii="Arial" w:cs="Arial" w:eastAsia="Arial" w:hAnsi="Arial"/>
          <w:sz w:val="12"/>
          <w:szCs w:val="12"/>
          <w:color w:val="auto"/>
        </w:rPr>
        <w:t xml:space="preserve"> Level 10 Annuity</w:t>
      </w:r>
    </w:p>
    <w:p>
      <w:pPr>
        <w:ind w:left="440"/>
        <w:spacing w:after="0" w:line="189" w:lineRule="auto"/>
        <w:rPr>
          <w:sz w:val="20"/>
          <w:szCs w:val="20"/>
          <w:color w:val="auto"/>
        </w:rPr>
      </w:pPr>
      <w:r>
        <w:rPr>
          <w:rFonts w:ascii="Arial" w:cs="Arial" w:eastAsia="Arial" w:hAnsi="Arial"/>
          <w:sz w:val="12"/>
          <w:szCs w:val="12"/>
          <w:color w:val="auto"/>
        </w:rPr>
        <w:t>File No. 333-208664 Brighthouse Shield Level Selector</w:t>
      </w:r>
      <w:r>
        <w:rPr>
          <w:rFonts w:ascii="Arial" w:cs="Arial" w:eastAsia="Arial" w:hAnsi="Arial"/>
          <w:sz w:val="17"/>
          <w:szCs w:val="17"/>
          <w:color w:val="auto"/>
          <w:vertAlign w:val="superscript"/>
        </w:rPr>
        <w:t>®</w:t>
      </w:r>
      <w:r>
        <w:rPr>
          <w:rFonts w:ascii="Arial" w:cs="Arial" w:eastAsia="Arial" w:hAnsi="Arial"/>
          <w:sz w:val="12"/>
          <w:szCs w:val="12"/>
          <w:color w:val="auto"/>
        </w:rPr>
        <w:t xml:space="preserve"> Annuity</w:t>
      </w:r>
    </w:p>
    <w:p>
      <w:pPr>
        <w:ind w:left="440"/>
        <w:spacing w:after="0" w:line="190" w:lineRule="auto"/>
        <w:rPr>
          <w:sz w:val="20"/>
          <w:szCs w:val="20"/>
          <w:color w:val="auto"/>
        </w:rPr>
      </w:pPr>
      <w:r>
        <w:rPr>
          <w:rFonts w:ascii="Arial" w:cs="Arial" w:eastAsia="Arial" w:hAnsi="Arial"/>
          <w:sz w:val="12"/>
          <w:szCs w:val="12"/>
          <w:color w:val="auto"/>
        </w:rPr>
        <w:t>File No. 333-207091 Brighthouse Shield Level Selector</w:t>
      </w:r>
      <w:r>
        <w:rPr>
          <w:rFonts w:ascii="Arial" w:cs="Arial" w:eastAsia="Arial" w:hAnsi="Arial"/>
          <w:sz w:val="17"/>
          <w:szCs w:val="17"/>
          <w:color w:val="auto"/>
          <w:vertAlign w:val="superscript"/>
        </w:rPr>
        <w:t>®</w:t>
      </w:r>
      <w:r>
        <w:rPr>
          <w:rFonts w:ascii="Arial" w:cs="Arial" w:eastAsia="Arial" w:hAnsi="Arial"/>
          <w:sz w:val="12"/>
          <w:szCs w:val="12"/>
          <w:color w:val="auto"/>
        </w:rPr>
        <w:t xml:space="preserve"> 3-Year Annuity</w:t>
      </w:r>
    </w:p>
    <w:p>
      <w:pPr>
        <w:ind w:left="440"/>
        <w:spacing w:after="0" w:line="230" w:lineRule="auto"/>
        <w:rPr>
          <w:sz w:val="20"/>
          <w:szCs w:val="20"/>
          <w:color w:val="auto"/>
        </w:rPr>
      </w:pPr>
      <w:r>
        <w:rPr>
          <w:rFonts w:ascii="Arial" w:cs="Arial" w:eastAsia="Arial" w:hAnsi="Arial"/>
          <w:sz w:val="14"/>
          <w:szCs w:val="14"/>
          <w:color w:val="auto"/>
        </w:rPr>
        <w:t>File No. 333-276468 Registered Fixed Account Option</w:t>
      </w:r>
    </w:p>
    <w:p>
      <w:pPr>
        <w:ind w:left="440"/>
        <w:spacing w:after="0" w:line="230" w:lineRule="auto"/>
        <w:rPr>
          <w:sz w:val="20"/>
          <w:szCs w:val="20"/>
          <w:color w:val="auto"/>
        </w:rPr>
      </w:pPr>
      <w:r>
        <w:rPr>
          <w:rFonts w:ascii="Arial" w:cs="Arial" w:eastAsia="Arial" w:hAnsi="Arial"/>
          <w:sz w:val="14"/>
          <w:szCs w:val="14"/>
          <w:color w:val="auto"/>
        </w:rPr>
        <w:t>File No. 333-276469 Fixed Annuity (Strategic Value Annuity)</w:t>
      </w:r>
    </w:p>
    <w:p>
      <w:pPr>
        <w:ind w:left="440"/>
        <w:spacing w:after="0" w:line="230" w:lineRule="auto"/>
        <w:rPr>
          <w:sz w:val="20"/>
          <w:szCs w:val="20"/>
          <w:color w:val="auto"/>
        </w:rPr>
      </w:pPr>
      <w:r>
        <w:rPr>
          <w:rFonts w:ascii="Arial" w:cs="Arial" w:eastAsia="Arial" w:hAnsi="Arial"/>
          <w:sz w:val="14"/>
          <w:szCs w:val="14"/>
          <w:color w:val="auto"/>
        </w:rPr>
        <w:t>File No. 333-276470 Brighthouse Retirement Account Liquidity Benefit</w:t>
      </w:r>
    </w:p>
    <w:p>
      <w:pPr>
        <w:ind w:left="440"/>
        <w:spacing w:after="0" w:line="189" w:lineRule="auto"/>
        <w:rPr>
          <w:sz w:val="20"/>
          <w:szCs w:val="20"/>
          <w:color w:val="auto"/>
        </w:rPr>
      </w:pPr>
      <w:r>
        <w:rPr>
          <w:rFonts w:ascii="Arial" w:cs="Arial" w:eastAsia="Arial" w:hAnsi="Arial"/>
          <w:sz w:val="12"/>
          <w:szCs w:val="12"/>
          <w:color w:val="auto"/>
        </w:rPr>
        <w:t>File No. 333-276599 Brighthouse Shield</w:t>
      </w:r>
      <w:r>
        <w:rPr>
          <w:rFonts w:ascii="Arial" w:cs="Arial" w:eastAsia="Arial" w:hAnsi="Arial"/>
          <w:sz w:val="17"/>
          <w:szCs w:val="17"/>
          <w:color w:val="auto"/>
          <w:vertAlign w:val="superscript"/>
        </w:rPr>
        <w:t>®</w:t>
      </w:r>
      <w:r>
        <w:rPr>
          <w:rFonts w:ascii="Arial" w:cs="Arial" w:eastAsia="Arial" w:hAnsi="Arial"/>
          <w:sz w:val="12"/>
          <w:szCs w:val="12"/>
          <w:color w:val="auto"/>
        </w:rPr>
        <w:t xml:space="preserve"> Level II 6-Year Annuity</w:t>
      </w:r>
    </w:p>
    <w:p>
      <w:pPr>
        <w:ind w:left="440"/>
        <w:spacing w:after="0" w:line="190" w:lineRule="auto"/>
        <w:rPr>
          <w:sz w:val="20"/>
          <w:szCs w:val="20"/>
          <w:color w:val="auto"/>
        </w:rPr>
      </w:pPr>
      <w:r>
        <w:rPr>
          <w:rFonts w:ascii="Arial" w:cs="Arial" w:eastAsia="Arial" w:hAnsi="Arial"/>
          <w:sz w:val="12"/>
          <w:szCs w:val="12"/>
          <w:color w:val="auto"/>
        </w:rPr>
        <w:t>File No. 333-276762 Brighthouse Shield</w:t>
      </w:r>
      <w:r>
        <w:rPr>
          <w:rFonts w:ascii="Arial" w:cs="Arial" w:eastAsia="Arial" w:hAnsi="Arial"/>
          <w:sz w:val="17"/>
          <w:szCs w:val="17"/>
          <w:color w:val="auto"/>
          <w:vertAlign w:val="superscript"/>
        </w:rPr>
        <w:t>®</w:t>
      </w:r>
      <w:r>
        <w:rPr>
          <w:rFonts w:ascii="Arial" w:cs="Arial" w:eastAsia="Arial" w:hAnsi="Arial"/>
          <w:sz w:val="12"/>
          <w:szCs w:val="12"/>
          <w:color w:val="auto"/>
        </w:rPr>
        <w:t xml:space="preserve"> Level II Advisory Annuity</w:t>
      </w:r>
    </w:p>
    <w:p>
      <w:pPr>
        <w:ind w:left="440" w:right="2019"/>
        <w:spacing w:after="0"/>
        <w:rPr>
          <w:sz w:val="20"/>
          <w:szCs w:val="20"/>
          <w:color w:val="auto"/>
        </w:rPr>
      </w:pPr>
      <w:r>
        <w:rPr>
          <w:rFonts w:ascii="Arial" w:cs="Arial" w:eastAsia="Arial" w:hAnsi="Arial"/>
          <w:sz w:val="14"/>
          <w:szCs w:val="14"/>
          <w:color w:val="auto"/>
        </w:rPr>
        <w:t>File No. 333-276763 Brighthouse Shield Level Pay Plus</w:t>
      </w:r>
      <w:r>
        <w:rPr>
          <w:rFonts w:ascii="Arial" w:cs="Arial" w:eastAsia="Arial" w:hAnsi="Arial"/>
          <w:sz w:val="20"/>
          <w:szCs w:val="20"/>
          <w:color w:val="auto"/>
          <w:vertAlign w:val="superscript"/>
        </w:rPr>
        <w:t>®</w:t>
      </w:r>
      <w:r>
        <w:rPr>
          <w:rFonts w:ascii="Arial" w:cs="Arial" w:eastAsia="Arial" w:hAnsi="Arial"/>
          <w:sz w:val="14"/>
          <w:szCs w:val="14"/>
          <w:color w:val="auto"/>
        </w:rPr>
        <w:t xml:space="preserve"> II Annuity and Brighthouse Shield Level Pay Plus</w:t>
      </w:r>
      <w:r>
        <w:rPr>
          <w:rFonts w:ascii="Arial" w:cs="Arial" w:eastAsia="Arial" w:hAnsi="Arial"/>
          <w:sz w:val="20"/>
          <w:szCs w:val="20"/>
          <w:color w:val="auto"/>
          <w:vertAlign w:val="superscript"/>
        </w:rPr>
        <w:t>®</w:t>
      </w:r>
      <w:r>
        <w:rPr>
          <w:rFonts w:ascii="Arial" w:cs="Arial" w:eastAsia="Arial" w:hAnsi="Arial"/>
          <w:sz w:val="14"/>
          <w:szCs w:val="14"/>
          <w:color w:val="auto"/>
        </w:rPr>
        <w:t xml:space="preserve"> II Advisory Annuity File No. 333-279302 Brighthouse Shield</w:t>
      </w:r>
      <w:r>
        <w:rPr>
          <w:rFonts w:ascii="Arial" w:cs="Arial" w:eastAsia="Arial" w:hAnsi="Arial"/>
          <w:sz w:val="20"/>
          <w:szCs w:val="20"/>
          <w:color w:val="auto"/>
          <w:vertAlign w:val="superscript"/>
        </w:rPr>
        <w:t>®</w:t>
      </w:r>
      <w:r>
        <w:rPr>
          <w:rFonts w:ascii="Arial" w:cs="Arial" w:eastAsia="Arial" w:hAnsi="Arial"/>
          <w:sz w:val="14"/>
          <w:szCs w:val="14"/>
          <w:color w:val="auto"/>
        </w:rPr>
        <w:t xml:space="preserve"> Level II 3-Year Annuity T-Mark Fixed Annuity</w:t>
      </w:r>
    </w:p>
    <w:p>
      <w:pPr>
        <w:spacing w:after="0" w:line="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Target Maturity,</w:t>
      </w:r>
    </w:p>
    <w:p>
      <w:pPr>
        <w:spacing w:after="0" w:line="166" w:lineRule="exact"/>
        <w:rPr>
          <w:sz w:val="20"/>
          <w:szCs w:val="20"/>
          <w:color w:val="auto"/>
        </w:rPr>
      </w:pPr>
    </w:p>
    <w:p>
      <w:pPr>
        <w:spacing w:after="0"/>
        <w:tabs>
          <w:tab w:leader="none" w:pos="14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3"/>
          <w:szCs w:val="13"/>
          <w:color w:val="auto"/>
        </w:rPr>
        <w:t>Brighthouse Life Insurance Company (RILA MVA)</w:t>
      </w:r>
    </w:p>
    <w:p>
      <w:pPr>
        <w:spacing w:after="0" w:line="5" w:lineRule="exact"/>
        <w:rPr>
          <w:sz w:val="20"/>
          <w:szCs w:val="20"/>
          <w:color w:val="auto"/>
        </w:rPr>
      </w:pPr>
    </w:p>
    <w:p>
      <w:pPr>
        <w:ind w:left="440" w:right="2019"/>
        <w:spacing w:after="0"/>
        <w:rPr>
          <w:sz w:val="20"/>
          <w:szCs w:val="20"/>
          <w:color w:val="auto"/>
        </w:rPr>
      </w:pPr>
      <w:r>
        <w:rPr>
          <w:rFonts w:ascii="Arial" w:cs="Arial" w:eastAsia="Arial" w:hAnsi="Arial"/>
          <w:sz w:val="13"/>
          <w:szCs w:val="13"/>
          <w:color w:val="auto"/>
        </w:rPr>
        <w:t>File No. 333-282752 Brighthouse Shield Level Pay Plus</w:t>
      </w:r>
      <w:r>
        <w:rPr>
          <w:rFonts w:ascii="Arial" w:cs="Arial" w:eastAsia="Arial" w:hAnsi="Arial"/>
          <w:sz w:val="19"/>
          <w:szCs w:val="19"/>
          <w:color w:val="auto"/>
          <w:vertAlign w:val="superscript"/>
        </w:rPr>
        <w:t>®</w:t>
      </w:r>
      <w:r>
        <w:rPr>
          <w:rFonts w:ascii="Arial" w:cs="Arial" w:eastAsia="Arial" w:hAnsi="Arial"/>
          <w:sz w:val="13"/>
          <w:szCs w:val="13"/>
          <w:color w:val="auto"/>
        </w:rPr>
        <w:t xml:space="preserve"> II Annuity and Brighthouse Shield Level Pay Plus</w:t>
      </w:r>
      <w:r>
        <w:rPr>
          <w:rFonts w:ascii="Arial" w:cs="Arial" w:eastAsia="Arial" w:hAnsi="Arial"/>
          <w:sz w:val="19"/>
          <w:szCs w:val="19"/>
          <w:color w:val="auto"/>
          <w:vertAlign w:val="superscript"/>
        </w:rPr>
        <w:t>®</w:t>
      </w:r>
      <w:r>
        <w:rPr>
          <w:rFonts w:ascii="Arial" w:cs="Arial" w:eastAsia="Arial" w:hAnsi="Arial"/>
          <w:sz w:val="13"/>
          <w:szCs w:val="13"/>
          <w:color w:val="auto"/>
        </w:rPr>
        <w:t xml:space="preserve"> II Advisory Annuity File No. 333-282871 Brighthouse Shield</w:t>
      </w:r>
      <w:r>
        <w:rPr>
          <w:rFonts w:ascii="Arial" w:cs="Arial" w:eastAsia="Arial" w:hAnsi="Arial"/>
          <w:sz w:val="19"/>
          <w:szCs w:val="19"/>
          <w:color w:val="auto"/>
          <w:vertAlign w:val="superscript"/>
        </w:rPr>
        <w:t>®</w:t>
      </w:r>
      <w:r>
        <w:rPr>
          <w:rFonts w:ascii="Arial" w:cs="Arial" w:eastAsia="Arial" w:hAnsi="Arial"/>
          <w:sz w:val="13"/>
          <w:szCs w:val="13"/>
          <w:color w:val="auto"/>
        </w:rPr>
        <w:t xml:space="preserve"> Level II Advisory Annuity File No. 333-283023 Brighthouse Shield</w:t>
      </w:r>
      <w:r>
        <w:rPr>
          <w:rFonts w:ascii="Arial" w:cs="Arial" w:eastAsia="Arial" w:hAnsi="Arial"/>
          <w:sz w:val="19"/>
          <w:szCs w:val="19"/>
          <w:color w:val="auto"/>
          <w:vertAlign w:val="superscript"/>
        </w:rPr>
        <w:t>®</w:t>
      </w:r>
      <w:r>
        <w:rPr>
          <w:rFonts w:ascii="Arial" w:cs="Arial" w:eastAsia="Arial" w:hAnsi="Arial"/>
          <w:sz w:val="13"/>
          <w:szCs w:val="13"/>
          <w:color w:val="auto"/>
        </w:rPr>
        <w:t xml:space="preserve"> Level II 6-Year Annuity</w:t>
      </w:r>
    </w:p>
    <w:p>
      <w:pPr>
        <w:ind w:left="440"/>
        <w:spacing w:after="0" w:line="188" w:lineRule="auto"/>
        <w:rPr>
          <w:sz w:val="20"/>
          <w:szCs w:val="20"/>
          <w:color w:val="auto"/>
        </w:rPr>
      </w:pPr>
      <w:r>
        <w:rPr>
          <w:rFonts w:ascii="Arial" w:cs="Arial" w:eastAsia="Arial" w:hAnsi="Arial"/>
          <w:sz w:val="14"/>
          <w:szCs w:val="14"/>
          <w:color w:val="auto"/>
        </w:rPr>
        <w:t>File No. 333-283024 Brighthouse Shield</w:t>
      </w:r>
      <w:r>
        <w:rPr>
          <w:rFonts w:ascii="Arial" w:cs="Arial" w:eastAsia="Arial" w:hAnsi="Arial"/>
          <w:sz w:val="20"/>
          <w:szCs w:val="20"/>
          <w:color w:val="auto"/>
          <w:vertAlign w:val="superscript"/>
        </w:rPr>
        <w:t>®</w:t>
      </w:r>
      <w:r>
        <w:rPr>
          <w:rFonts w:ascii="Arial" w:cs="Arial" w:eastAsia="Arial" w:hAnsi="Arial"/>
          <w:sz w:val="14"/>
          <w:szCs w:val="14"/>
          <w:color w:val="auto"/>
        </w:rPr>
        <w:t xml:space="preserve"> Level II 3-Year Annuity</w:t>
      </w:r>
    </w:p>
    <w:p>
      <w:pPr>
        <w:ind w:left="440"/>
        <w:spacing w:after="0" w:line="230" w:lineRule="auto"/>
        <w:rPr>
          <w:sz w:val="20"/>
          <w:szCs w:val="20"/>
          <w:color w:val="auto"/>
        </w:rPr>
      </w:pPr>
      <w:r>
        <w:rPr>
          <w:rFonts w:ascii="Arial" w:cs="Arial" w:eastAsia="Arial" w:hAnsi="Arial"/>
          <w:sz w:val="14"/>
          <w:szCs w:val="14"/>
          <w:color w:val="auto"/>
        </w:rPr>
        <w:t>File No. 333-290021 Fixed Account Annuity (Strategic Value Annuity)</w:t>
      </w:r>
    </w:p>
    <w:p>
      <w:pPr>
        <w:ind w:left="580" w:right="2199" w:hanging="155"/>
        <w:spacing w:after="0" w:line="230" w:lineRule="auto"/>
        <w:rPr>
          <w:sz w:val="20"/>
          <w:szCs w:val="20"/>
          <w:color w:val="auto"/>
        </w:rPr>
      </w:pPr>
      <w:r>
        <w:rPr>
          <w:rFonts w:ascii="Arial" w:cs="Arial" w:eastAsia="Arial" w:hAnsi="Arial"/>
          <w:sz w:val="14"/>
          <w:szCs w:val="14"/>
          <w:color w:val="auto"/>
        </w:rPr>
        <w:t>File No. 333-290022 Gold Track and Registered Fixed Account Option and Gold Track Select and Registered Fixed Account Option</w:t>
      </w:r>
    </w:p>
    <w:p>
      <w:pPr>
        <w:ind w:left="440" w:right="3859"/>
        <w:spacing w:after="0" w:line="247" w:lineRule="auto"/>
        <w:rPr>
          <w:sz w:val="20"/>
          <w:szCs w:val="20"/>
          <w:color w:val="auto"/>
        </w:rPr>
      </w:pPr>
      <w:r>
        <w:rPr>
          <w:rFonts w:ascii="Arial" w:cs="Arial" w:eastAsia="Arial" w:hAnsi="Arial"/>
          <w:sz w:val="13"/>
          <w:szCs w:val="13"/>
          <w:color w:val="auto"/>
        </w:rPr>
        <w:t>File No. 333-290023 Brighthouse Retirement Perspectives and Registered Fixed Account Option File No. 333-290024 Unallocated Group Variable Annuity and Registered Fixed Account Option</w:t>
      </w:r>
    </w:p>
    <w:p>
      <w:pPr>
        <w:spacing w:after="0" w:line="1" w:lineRule="exact"/>
        <w:rPr>
          <w:sz w:val="20"/>
          <w:szCs w:val="20"/>
          <w:color w:val="auto"/>
        </w:rPr>
      </w:pPr>
    </w:p>
    <w:p>
      <w:pPr>
        <w:ind w:left="580" w:right="2159" w:hanging="155"/>
        <w:spacing w:after="0"/>
        <w:rPr>
          <w:sz w:val="20"/>
          <w:szCs w:val="20"/>
          <w:color w:val="auto"/>
        </w:rPr>
      </w:pPr>
      <w:r>
        <w:rPr>
          <w:rFonts w:ascii="Arial" w:cs="Arial" w:eastAsia="Arial" w:hAnsi="Arial"/>
          <w:sz w:val="14"/>
          <w:szCs w:val="14"/>
          <w:color w:val="auto"/>
        </w:rPr>
        <w:t>File No. 333-290025 Brighthouse Retirement Account Annuity, Registered Fixed Account Option and Brighthouse Retirement Account Liquidity Benefit</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color w:val="auto"/>
        </w:rPr>
        <w:t>And new annuities and life products such as:</w:t>
      </w:r>
    </w:p>
    <w:p>
      <w:pPr>
        <w:ind w:left="440"/>
        <w:spacing w:after="0" w:line="237" w:lineRule="auto"/>
        <w:rPr>
          <w:sz w:val="20"/>
          <w:szCs w:val="20"/>
          <w:color w:val="auto"/>
        </w:rPr>
      </w:pPr>
      <w:r>
        <w:rPr>
          <w:rFonts w:ascii="Arial" w:cs="Arial" w:eastAsia="Arial" w:hAnsi="Arial"/>
          <w:sz w:val="14"/>
          <w:szCs w:val="14"/>
          <w:color w:val="auto"/>
        </w:rPr>
        <w:t>Brighthouse Shield Annuity</w:t>
      </w:r>
    </w:p>
    <w:p>
      <w:pPr>
        <w:ind w:left="440"/>
        <w:spacing w:after="0" w:line="230" w:lineRule="auto"/>
        <w:rPr>
          <w:sz w:val="20"/>
          <w:szCs w:val="20"/>
          <w:color w:val="auto"/>
        </w:rPr>
      </w:pPr>
      <w:r>
        <w:rPr>
          <w:rFonts w:ascii="Arial" w:cs="Arial" w:eastAsia="Arial" w:hAnsi="Arial"/>
          <w:sz w:val="14"/>
          <w:szCs w:val="14"/>
          <w:color w:val="auto"/>
        </w:rPr>
        <w:t>Brighthouse Shield 3-Year Annuity</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4"/>
          <w:szCs w:val="14"/>
          <w:color w:val="auto"/>
        </w:rPr>
        <w:t>Brighthouse Shield 6-Year Annuity</w:t>
      </w:r>
    </w:p>
    <w:p>
      <w:pPr>
        <w:sectPr>
          <w:pgSz w:w="11900" w:h="16838" w:orient="portrait"/>
          <w:cols w:equalWidth="0" w:num="1">
            <w:col w:w="10159"/>
          </w:cols>
          <w:pgMar w:left="300" w:top="240" w:right="1440" w:bottom="1440" w:gutter="0" w:footer="0" w:header="0"/>
        </w:sectPr>
      </w:pPr>
    </w:p>
    <w:bookmarkStart w:id="110" w:name="page111"/>
    <w:bookmarkEnd w:id="110"/>
    <w:p>
      <w:pPr>
        <w:ind w:left="44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2">
                      <a:extLst>
                        <a:ext uri="{28A0092B-C50C-407E-A947-70E740481C1C}"/>
                      </a:extLst>
                    </a:blip>
                    <a:srcRect/>
                    <a:stretch>
                      <a:fillRect/>
                    </a:stretch>
                  </pic:blipFill>
                  <pic:spPr bwMode="auto">
                    <a:xfrm>
                      <a:off x="0" y="0"/>
                      <a:ext cx="7203440" cy="32385"/>
                    </a:xfrm>
                    <a:prstGeom prst="rect">
                      <a:avLst/>
                    </a:prstGeom>
                    <a:noFill/>
                  </pic:spPr>
                </pic:pic>
              </a:graphicData>
            </a:graphic>
          </wp:anchor>
        </w:drawing>
        <w:t>Brighthouse Index-linked Life Insurance Policy,</w:t>
      </w:r>
    </w:p>
    <w:p>
      <w:pPr>
        <w:spacing w:after="0" w:line="158" w:lineRule="exact"/>
        <w:rPr>
          <w:sz w:val="20"/>
          <w:szCs w:val="20"/>
          <w:color w:val="auto"/>
        </w:rPr>
      </w:pPr>
    </w:p>
    <w:p>
      <w:pPr>
        <w:ind w:right="1979"/>
        <w:spacing w:after="0" w:line="239" w:lineRule="auto"/>
        <w:rPr>
          <w:sz w:val="20"/>
          <w:szCs w:val="20"/>
          <w:color w:val="auto"/>
        </w:rPr>
      </w:pPr>
      <w:r>
        <w:rPr>
          <w:rFonts w:ascii="Arial" w:cs="Arial" w:eastAsia="Arial" w:hAnsi="Arial"/>
          <w:sz w:val="14"/>
          <w:szCs w:val="14"/>
          <w:color w:val="auto"/>
        </w:rPr>
        <w:t>and to have full power and authority to do or cause to be done in my name, place and stead each and every act and thing necessary or appropriate in order to effectuate the same, as fully to all intents and purposes as I might or could do in person, hereby ratifying and confirming all that said attorneys-in-fact or any of them, may do or cause to be done by virtue hereof. This Power of Attorney does not revoke any prior powers of attorney.</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color w:val="auto"/>
        </w:rPr>
        <w:t>IN WITNESS WHEREOF, I have hereunto set my hand this 3rd day of November 2025.</w:t>
      </w:r>
    </w:p>
    <w:p>
      <w:pPr>
        <w:spacing w:after="0" w:line="374"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/s/ Myles Lambert</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Myles Lambert</w:t>
      </w:r>
    </w:p>
    <w:p>
      <w:pPr>
        <w:sectPr>
          <w:pgSz w:w="11900" w:h="16838" w:orient="portrait"/>
          <w:cols w:equalWidth="0" w:num="1">
            <w:col w:w="10159"/>
          </w:cols>
          <w:pgMar w:left="300" w:top="240" w:right="1440" w:bottom="1440" w:gutter="0" w:footer="0" w:header="0"/>
        </w:sectPr>
      </w:pPr>
    </w:p>
    <w:bookmarkStart w:id="111" w:name="page112"/>
    <w:bookmarkEnd w:id="111"/>
    <w:p>
      <w:pPr>
        <w:jc w:val="center"/>
        <w:ind w:right="1779"/>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3">
                      <a:extLst>
                        <a:ext uri="{28A0092B-C50C-407E-A947-70E740481C1C}"/>
                      </a:extLst>
                    </a:blip>
                    <a:srcRect/>
                    <a:stretch>
                      <a:fillRect/>
                    </a:stretch>
                  </pic:blipFill>
                  <pic:spPr bwMode="auto">
                    <a:xfrm>
                      <a:off x="0" y="0"/>
                      <a:ext cx="7203440" cy="32385"/>
                    </a:xfrm>
                    <a:prstGeom prst="rect">
                      <a:avLst/>
                    </a:prstGeom>
                    <a:noFill/>
                  </pic:spPr>
                </pic:pic>
              </a:graphicData>
            </a:graphic>
          </wp:anchor>
        </w:drawing>
        <w:t>Brighthouse Life Insurance Company</w:t>
      </w:r>
    </w:p>
    <w:p>
      <w:pPr>
        <w:spacing w:after="0" w:line="158" w:lineRule="exact"/>
        <w:rPr>
          <w:sz w:val="20"/>
          <w:szCs w:val="20"/>
          <w:color w:val="auto"/>
        </w:rPr>
      </w:pPr>
    </w:p>
    <w:p>
      <w:pPr>
        <w:jc w:val="center"/>
        <w:ind w:right="1779"/>
        <w:spacing w:after="0"/>
        <w:rPr>
          <w:sz w:val="20"/>
          <w:szCs w:val="20"/>
          <w:color w:val="auto"/>
        </w:rPr>
      </w:pPr>
      <w:r>
        <w:rPr>
          <w:rFonts w:ascii="Arial" w:cs="Arial" w:eastAsia="Arial" w:hAnsi="Arial"/>
          <w:sz w:val="14"/>
          <w:szCs w:val="14"/>
          <w:color w:val="auto"/>
        </w:rPr>
        <w:t>POWER OF ATTORNEY</w:t>
      </w:r>
    </w:p>
    <w:p>
      <w:pPr>
        <w:spacing w:after="0" w:line="158" w:lineRule="exact"/>
        <w:rPr>
          <w:sz w:val="20"/>
          <w:szCs w:val="20"/>
          <w:color w:val="auto"/>
        </w:rPr>
      </w:pPr>
    </w:p>
    <w:p>
      <w:pPr>
        <w:jc w:val="center"/>
        <w:ind w:right="1779"/>
        <w:spacing w:after="0"/>
        <w:rPr>
          <w:sz w:val="20"/>
          <w:szCs w:val="20"/>
          <w:color w:val="auto"/>
        </w:rPr>
      </w:pPr>
      <w:r>
        <w:rPr>
          <w:rFonts w:ascii="Arial" w:cs="Arial" w:eastAsia="Arial" w:hAnsi="Arial"/>
          <w:sz w:val="14"/>
          <w:szCs w:val="14"/>
          <w:color w:val="auto"/>
        </w:rPr>
        <w:t>David A. Rosenbaum</w:t>
      </w:r>
    </w:p>
    <w:p>
      <w:pPr>
        <w:spacing w:after="0" w:line="5" w:lineRule="exact"/>
        <w:rPr>
          <w:sz w:val="20"/>
          <w:szCs w:val="20"/>
          <w:color w:val="auto"/>
        </w:rPr>
      </w:pPr>
    </w:p>
    <w:p>
      <w:pPr>
        <w:jc w:val="center"/>
        <w:ind w:right="1779"/>
        <w:spacing w:after="0"/>
        <w:rPr>
          <w:sz w:val="20"/>
          <w:szCs w:val="20"/>
          <w:color w:val="auto"/>
        </w:rPr>
      </w:pPr>
      <w:r>
        <w:rPr>
          <w:rFonts w:ascii="Arial" w:cs="Arial" w:eastAsia="Arial" w:hAnsi="Arial"/>
          <w:sz w:val="14"/>
          <w:szCs w:val="14"/>
          <w:color w:val="auto"/>
        </w:rPr>
        <w:t>Director and Vice President</w:t>
      </w:r>
    </w:p>
    <w:p>
      <w:pPr>
        <w:spacing w:after="0" w:line="146" w:lineRule="exact"/>
        <w:rPr>
          <w:sz w:val="20"/>
          <w:szCs w:val="20"/>
          <w:color w:val="auto"/>
        </w:rPr>
      </w:pPr>
    </w:p>
    <w:p>
      <w:pPr>
        <w:ind w:right="1799"/>
        <w:spacing w:after="0" w:line="236" w:lineRule="auto"/>
        <w:rPr>
          <w:sz w:val="20"/>
          <w:szCs w:val="20"/>
          <w:color w:val="auto"/>
        </w:rPr>
      </w:pPr>
      <w:r>
        <w:rPr>
          <w:rFonts w:ascii="Arial" w:cs="Arial" w:eastAsia="Arial" w:hAnsi="Arial"/>
          <w:sz w:val="14"/>
          <w:szCs w:val="14"/>
          <w:color w:val="auto"/>
        </w:rPr>
        <w:t>KNOW ALL MEN BY THESE PRESENTS, that I, David A. Rosenbaum, a Director and Vice President of Brighthouse Life Insurance Company, a Delaware company (the “Company”), do hereby constitute and appoint Michele H. Abate, Allie Lin, and Alexander Ulianov, as my attorney-in-fact and agent, each of whom may act individually and none of whom is required to act jointly with any of the others, to sign and file on my behalf and to execute and file any instrument or document required to be filed as part of or in connection with or in any way related to, the Registration Statements and any and all amendments thereto filed by the Company under the Securities Act of 1933 and/or the Investment Company Act of 1940, pertaining to:</w:t>
      </w:r>
    </w:p>
    <w:p>
      <w:pPr>
        <w:spacing w:after="0" w:line="161" w:lineRule="exact"/>
        <w:rPr>
          <w:sz w:val="20"/>
          <w:szCs w:val="20"/>
          <w:color w:val="auto"/>
        </w:rPr>
      </w:pPr>
    </w:p>
    <w:p>
      <w:pPr>
        <w:ind w:left="440" w:right="6299" w:hanging="438"/>
        <w:spacing w:after="0" w:line="196" w:lineRule="auto"/>
        <w:tabs>
          <w:tab w:leader="none" w:pos="173" w:val="left"/>
        </w:tabs>
        <w:numPr>
          <w:ilvl w:val="0"/>
          <w:numId w:val="120"/>
        </w:numPr>
        <w:rPr>
          <w:rFonts w:ascii="Arial" w:cs="Arial" w:eastAsia="Arial" w:hAnsi="Arial"/>
          <w:sz w:val="14"/>
          <w:szCs w:val="14"/>
          <w:color w:val="auto"/>
        </w:rPr>
      </w:pPr>
      <w:r>
        <w:rPr>
          <w:rFonts w:ascii="Arial" w:cs="Arial" w:eastAsia="Arial" w:hAnsi="Arial"/>
          <w:sz w:val="14"/>
          <w:szCs w:val="14"/>
          <w:color w:val="auto"/>
        </w:rPr>
        <w:t>Brighthouse Fund UL for Variable Life Insurance (811-03927) File No. 002-88637 MarketLife</w:t>
      </w:r>
      <w:r>
        <w:rPr>
          <w:rFonts w:ascii="Arial" w:cs="Arial" w:eastAsia="Arial" w:hAnsi="Arial"/>
          <w:sz w:val="20"/>
          <w:szCs w:val="20"/>
          <w:color w:val="auto"/>
          <w:vertAlign w:val="superscript"/>
        </w:rPr>
        <w:t>SM</w:t>
      </w:r>
      <w:r>
        <w:rPr>
          <w:rFonts w:ascii="Arial" w:cs="Arial" w:eastAsia="Arial" w:hAnsi="Arial"/>
          <w:sz w:val="14"/>
          <w:szCs w:val="14"/>
          <w:color w:val="auto"/>
        </w:rPr>
        <w:t xml:space="preserve"> and Invest</w:t>
      </w:r>
    </w:p>
    <w:p>
      <w:pPr>
        <w:spacing w:after="0" w:line="1" w:lineRule="exact"/>
        <w:rPr>
          <w:rFonts w:ascii="Arial" w:cs="Arial" w:eastAsia="Arial" w:hAnsi="Arial"/>
          <w:sz w:val="14"/>
          <w:szCs w:val="14"/>
          <w:color w:val="auto"/>
        </w:rPr>
      </w:pPr>
    </w:p>
    <w:p>
      <w:pPr>
        <w:ind w:left="440"/>
        <w:spacing w:after="0" w:line="189" w:lineRule="auto"/>
        <w:rPr>
          <w:rFonts w:ascii="Arial" w:cs="Arial" w:eastAsia="Arial" w:hAnsi="Arial"/>
          <w:sz w:val="14"/>
          <w:szCs w:val="14"/>
          <w:color w:val="auto"/>
        </w:rPr>
      </w:pPr>
      <w:r>
        <w:rPr>
          <w:rFonts w:ascii="Arial" w:cs="Arial" w:eastAsia="Arial" w:hAnsi="Arial"/>
          <w:sz w:val="12"/>
          <w:szCs w:val="12"/>
          <w:color w:val="auto"/>
        </w:rPr>
        <w:t>File No. 333-152219 MarketLife</w:t>
      </w:r>
      <w:r>
        <w:rPr>
          <w:rFonts w:ascii="Arial" w:cs="Arial" w:eastAsia="Arial" w:hAnsi="Arial"/>
          <w:sz w:val="17"/>
          <w:szCs w:val="17"/>
          <w:color w:val="auto"/>
          <w:vertAlign w:val="superscript"/>
        </w:rPr>
        <w:t>SM</w:t>
      </w:r>
    </w:p>
    <w:p>
      <w:pPr>
        <w:ind w:left="440" w:right="6099"/>
        <w:spacing w:after="0" w:line="247" w:lineRule="auto"/>
        <w:rPr>
          <w:rFonts w:ascii="Arial" w:cs="Arial" w:eastAsia="Arial" w:hAnsi="Arial"/>
          <w:sz w:val="14"/>
          <w:szCs w:val="14"/>
          <w:color w:val="auto"/>
        </w:rPr>
      </w:pPr>
      <w:r>
        <w:rPr>
          <w:rFonts w:ascii="Arial" w:cs="Arial" w:eastAsia="Arial" w:hAnsi="Arial"/>
          <w:sz w:val="13"/>
          <w:szCs w:val="13"/>
          <w:color w:val="auto"/>
        </w:rPr>
        <w:t>File No. 333-56952 Brighthouse Variable Survivorship Life II File No. 333-69771 Brighthouse Variable Survivorship Life</w:t>
      </w:r>
    </w:p>
    <w:p>
      <w:pPr>
        <w:ind w:left="440" w:right="2939"/>
        <w:spacing w:after="0" w:line="229" w:lineRule="auto"/>
        <w:rPr>
          <w:rFonts w:ascii="Arial" w:cs="Arial" w:eastAsia="Arial" w:hAnsi="Arial"/>
          <w:sz w:val="14"/>
          <w:szCs w:val="14"/>
          <w:color w:val="auto"/>
        </w:rPr>
      </w:pPr>
      <w:r>
        <w:rPr>
          <w:rFonts w:ascii="Arial" w:cs="Arial" w:eastAsia="Arial" w:hAnsi="Arial"/>
          <w:sz w:val="14"/>
          <w:szCs w:val="14"/>
          <w:color w:val="auto"/>
        </w:rPr>
        <w:t>File No. 333-96515 Brighthouse Variable Life Accumulator and Brighthouse Variable Life Accumulator - Series 2 File No. 333-96519 Brighthouse Variable Life</w:t>
      </w:r>
    </w:p>
    <w:p>
      <w:pPr>
        <w:spacing w:after="0" w:line="1" w:lineRule="exact"/>
        <w:rPr>
          <w:rFonts w:ascii="Arial" w:cs="Arial" w:eastAsia="Arial" w:hAnsi="Arial"/>
          <w:sz w:val="14"/>
          <w:szCs w:val="14"/>
          <w:color w:val="auto"/>
        </w:rPr>
      </w:pPr>
    </w:p>
    <w:p>
      <w:pPr>
        <w:ind w:left="440" w:right="5499"/>
        <w:spacing w:after="0" w:line="230" w:lineRule="auto"/>
        <w:rPr>
          <w:rFonts w:ascii="Arial" w:cs="Arial" w:eastAsia="Arial" w:hAnsi="Arial"/>
          <w:sz w:val="14"/>
          <w:szCs w:val="14"/>
          <w:color w:val="auto"/>
        </w:rPr>
      </w:pPr>
      <w:r>
        <w:rPr>
          <w:rFonts w:ascii="Arial" w:cs="Arial" w:eastAsia="Arial" w:hAnsi="Arial"/>
          <w:sz w:val="14"/>
          <w:szCs w:val="14"/>
          <w:color w:val="auto"/>
        </w:rPr>
        <w:t>File No. 333-113109 Brighthouse Variable Life Accumulator - Series 3 File No. 333-152216 Portfolio Architect Life</w:t>
      </w:r>
    </w:p>
    <w:p>
      <w:pPr>
        <w:ind w:left="440"/>
        <w:spacing w:after="0"/>
        <w:rPr>
          <w:rFonts w:ascii="Arial" w:cs="Arial" w:eastAsia="Arial" w:hAnsi="Arial"/>
          <w:sz w:val="14"/>
          <w:szCs w:val="14"/>
          <w:color w:val="auto"/>
        </w:rPr>
      </w:pPr>
      <w:r>
        <w:rPr>
          <w:rFonts w:ascii="Arial" w:cs="Arial" w:eastAsia="Arial" w:hAnsi="Arial"/>
          <w:sz w:val="14"/>
          <w:szCs w:val="14"/>
          <w:color w:val="auto"/>
        </w:rPr>
        <w:t>File No. 333-152217 VintageLife,</w:t>
      </w:r>
    </w:p>
    <w:p>
      <w:pPr>
        <w:spacing w:after="0" w:line="166" w:lineRule="exact"/>
        <w:rPr>
          <w:rFonts w:ascii="Arial" w:cs="Arial" w:eastAsia="Arial" w:hAnsi="Arial"/>
          <w:sz w:val="14"/>
          <w:szCs w:val="14"/>
          <w:color w:val="auto"/>
        </w:rPr>
      </w:pPr>
    </w:p>
    <w:p>
      <w:pPr>
        <w:ind w:left="160" w:hanging="158"/>
        <w:spacing w:after="0"/>
        <w:tabs>
          <w:tab w:leader="none" w:pos="160" w:val="left"/>
        </w:tabs>
        <w:numPr>
          <w:ilvl w:val="0"/>
          <w:numId w:val="120"/>
        </w:numPr>
        <w:rPr>
          <w:rFonts w:ascii="Arial" w:cs="Arial" w:eastAsia="Arial" w:hAnsi="Arial"/>
          <w:sz w:val="14"/>
          <w:szCs w:val="14"/>
          <w:color w:val="auto"/>
        </w:rPr>
      </w:pPr>
      <w:r>
        <w:rPr>
          <w:rFonts w:ascii="Arial" w:cs="Arial" w:eastAsia="Arial" w:hAnsi="Arial"/>
          <w:sz w:val="14"/>
          <w:szCs w:val="14"/>
          <w:color w:val="auto"/>
        </w:rPr>
        <w:t>Brighthouse Fund UL III for Variable Life Insurance (811-09215)</w:t>
      </w:r>
    </w:p>
    <w:p>
      <w:pPr>
        <w:ind w:left="440"/>
        <w:spacing w:after="0" w:line="237" w:lineRule="auto"/>
        <w:rPr>
          <w:sz w:val="20"/>
          <w:szCs w:val="20"/>
          <w:color w:val="auto"/>
        </w:rPr>
      </w:pPr>
      <w:r>
        <w:rPr>
          <w:rFonts w:ascii="Arial" w:cs="Arial" w:eastAsia="Arial" w:hAnsi="Arial"/>
          <w:sz w:val="14"/>
          <w:szCs w:val="14"/>
          <w:color w:val="auto"/>
        </w:rPr>
        <w:t>File No. 333-71349 Corporate Owned VUL Series 1</w:t>
      </w:r>
    </w:p>
    <w:p>
      <w:pPr>
        <w:ind w:left="440"/>
        <w:spacing w:after="0" w:line="230" w:lineRule="auto"/>
        <w:rPr>
          <w:sz w:val="20"/>
          <w:szCs w:val="20"/>
          <w:color w:val="auto"/>
        </w:rPr>
      </w:pPr>
      <w:r>
        <w:rPr>
          <w:rFonts w:ascii="Arial" w:cs="Arial" w:eastAsia="Arial" w:hAnsi="Arial"/>
          <w:sz w:val="14"/>
          <w:szCs w:val="14"/>
          <w:color w:val="auto"/>
        </w:rPr>
        <w:t>File No. 333-94779 Corporate Owned VUL 2000 and Corporate Owned VUL III</w:t>
      </w:r>
    </w:p>
    <w:p>
      <w:pPr>
        <w:ind w:left="440"/>
        <w:spacing w:after="0" w:line="230" w:lineRule="auto"/>
        <w:rPr>
          <w:sz w:val="20"/>
          <w:szCs w:val="20"/>
          <w:color w:val="auto"/>
        </w:rPr>
      </w:pPr>
      <w:r>
        <w:rPr>
          <w:rFonts w:ascii="Arial" w:cs="Arial" w:eastAsia="Arial" w:hAnsi="Arial"/>
          <w:sz w:val="14"/>
          <w:szCs w:val="14"/>
          <w:color w:val="auto"/>
        </w:rPr>
        <w:t>File No. 333-105335 Corporate Select Policy</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4"/>
          <w:szCs w:val="14"/>
          <w:color w:val="auto"/>
        </w:rPr>
        <w:t>File No. 333-113533 Corporate Owned VUL IV,</w:t>
      </w:r>
    </w:p>
    <w:p>
      <w:pPr>
        <w:spacing w:after="0" w:line="166" w:lineRule="exact"/>
        <w:rPr>
          <w:sz w:val="20"/>
          <w:szCs w:val="20"/>
          <w:color w:val="auto"/>
        </w:rPr>
      </w:pPr>
    </w:p>
    <w:p>
      <w:pPr>
        <w:spacing w:after="0"/>
        <w:tabs>
          <w:tab w:leader="none" w:pos="14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3"/>
          <w:szCs w:val="13"/>
          <w:color w:val="auto"/>
        </w:rPr>
        <w:t>Brighthouse Separate Account A (811-03365)</w:t>
      </w:r>
    </w:p>
    <w:p>
      <w:pPr>
        <w:ind w:left="440"/>
        <w:spacing w:after="0" w:line="237" w:lineRule="auto"/>
        <w:rPr>
          <w:sz w:val="20"/>
          <w:szCs w:val="20"/>
          <w:color w:val="auto"/>
        </w:rPr>
      </w:pPr>
      <w:r>
        <w:rPr>
          <w:rFonts w:ascii="Arial" w:cs="Arial" w:eastAsia="Arial" w:hAnsi="Arial"/>
          <w:sz w:val="14"/>
          <w:szCs w:val="14"/>
          <w:color w:val="auto"/>
        </w:rPr>
        <w:t>File No. 333-200231 Series VA (offered between October 7, 2011 and May 1, 2016)</w:t>
      </w:r>
    </w:p>
    <w:p>
      <w:pPr>
        <w:spacing w:after="0" w:line="1" w:lineRule="exact"/>
        <w:rPr>
          <w:sz w:val="20"/>
          <w:szCs w:val="20"/>
          <w:color w:val="auto"/>
        </w:rPr>
      </w:pPr>
    </w:p>
    <w:p>
      <w:pPr>
        <w:ind w:left="580" w:right="1899" w:hanging="155"/>
        <w:spacing w:after="0" w:line="229" w:lineRule="auto"/>
        <w:rPr>
          <w:sz w:val="20"/>
          <w:szCs w:val="20"/>
          <w:color w:val="auto"/>
        </w:rPr>
      </w:pPr>
      <w:r>
        <w:rPr>
          <w:rFonts w:ascii="Arial" w:cs="Arial" w:eastAsia="Arial" w:hAnsi="Arial"/>
          <w:sz w:val="14"/>
          <w:szCs w:val="14"/>
          <w:color w:val="auto"/>
        </w:rPr>
        <w:t>File No. 333-200232 Series S (offered between October 7, 2011 and May 1, 2016) and Series S-L Share Option (offered between October 7, 2011 and May 1, 2016)</w:t>
      </w:r>
    </w:p>
    <w:p>
      <w:pPr>
        <w:ind w:left="440"/>
        <w:spacing w:after="0" w:line="232" w:lineRule="auto"/>
        <w:rPr>
          <w:sz w:val="20"/>
          <w:szCs w:val="20"/>
          <w:color w:val="auto"/>
        </w:rPr>
      </w:pPr>
      <w:r>
        <w:rPr>
          <w:rFonts w:ascii="Arial" w:cs="Arial" w:eastAsia="Arial" w:hAnsi="Arial"/>
          <w:sz w:val="14"/>
          <w:szCs w:val="14"/>
          <w:color w:val="auto"/>
        </w:rPr>
        <w:t>File No. 333-200233 Series VA-4 (offered between October 7, 2011 and May 1, 2016)</w:t>
      </w:r>
    </w:p>
    <w:p>
      <w:pPr>
        <w:ind w:left="440"/>
        <w:spacing w:after="0" w:line="230" w:lineRule="auto"/>
        <w:rPr>
          <w:sz w:val="20"/>
          <w:szCs w:val="20"/>
          <w:color w:val="auto"/>
        </w:rPr>
      </w:pPr>
      <w:r>
        <w:rPr>
          <w:rFonts w:ascii="Arial" w:cs="Arial" w:eastAsia="Arial" w:hAnsi="Arial"/>
          <w:sz w:val="14"/>
          <w:szCs w:val="14"/>
          <w:color w:val="auto"/>
        </w:rPr>
        <w:t>File No. 333-200234 Series O (offered between April 30, 2012 and July 19, 2015)</w:t>
      </w:r>
    </w:p>
    <w:p>
      <w:pPr>
        <w:ind w:left="440"/>
        <w:spacing w:after="0" w:line="230" w:lineRule="auto"/>
        <w:rPr>
          <w:sz w:val="20"/>
          <w:szCs w:val="20"/>
          <w:color w:val="auto"/>
        </w:rPr>
      </w:pPr>
      <w:r>
        <w:rPr>
          <w:rFonts w:ascii="Arial" w:cs="Arial" w:eastAsia="Arial" w:hAnsi="Arial"/>
          <w:sz w:val="14"/>
          <w:szCs w:val="14"/>
          <w:color w:val="auto"/>
        </w:rPr>
        <w:t>File No. 333-200236 Series L - 4 Year (offered on and after April 29, 2013)</w:t>
      </w:r>
    </w:p>
    <w:p>
      <w:pPr>
        <w:ind w:left="440"/>
        <w:spacing w:after="0" w:line="230" w:lineRule="auto"/>
        <w:rPr>
          <w:sz w:val="20"/>
          <w:szCs w:val="20"/>
          <w:color w:val="auto"/>
        </w:rPr>
      </w:pPr>
      <w:r>
        <w:rPr>
          <w:rFonts w:ascii="Arial" w:cs="Arial" w:eastAsia="Arial" w:hAnsi="Arial"/>
          <w:sz w:val="14"/>
          <w:szCs w:val="14"/>
          <w:color w:val="auto"/>
        </w:rPr>
        <w:t>File No. 333-200237 PrimElite IV</w:t>
      </w:r>
    </w:p>
    <w:p>
      <w:pPr>
        <w:ind w:left="440"/>
        <w:spacing w:after="0" w:line="230" w:lineRule="auto"/>
        <w:rPr>
          <w:sz w:val="20"/>
          <w:szCs w:val="20"/>
          <w:color w:val="auto"/>
        </w:rPr>
      </w:pPr>
      <w:r>
        <w:rPr>
          <w:rFonts w:ascii="Arial" w:cs="Arial" w:eastAsia="Arial" w:hAnsi="Arial"/>
          <w:sz w:val="14"/>
          <w:szCs w:val="14"/>
          <w:color w:val="auto"/>
        </w:rPr>
        <w:t>File No. 333-200238 Marquis Portfolios (offered on and after April 30, 2012)</w:t>
      </w:r>
    </w:p>
    <w:p>
      <w:pPr>
        <w:ind w:left="440"/>
        <w:spacing w:after="0" w:line="229" w:lineRule="auto"/>
        <w:rPr>
          <w:sz w:val="20"/>
          <w:szCs w:val="20"/>
          <w:color w:val="auto"/>
        </w:rPr>
      </w:pPr>
      <w:r>
        <w:rPr>
          <w:rFonts w:ascii="Arial" w:cs="Arial" w:eastAsia="Arial" w:hAnsi="Arial"/>
          <w:sz w:val="14"/>
          <w:szCs w:val="14"/>
          <w:color w:val="auto"/>
        </w:rPr>
        <w:t>File No. 333-200239 Brighthouse Growth and Income</w:t>
      </w:r>
    </w:p>
    <w:p>
      <w:pPr>
        <w:ind w:left="440"/>
        <w:spacing w:after="0" w:line="231" w:lineRule="auto"/>
        <w:rPr>
          <w:sz w:val="20"/>
          <w:szCs w:val="20"/>
          <w:color w:val="auto"/>
        </w:rPr>
      </w:pPr>
      <w:r>
        <w:rPr>
          <w:rFonts w:ascii="Arial" w:cs="Arial" w:eastAsia="Arial" w:hAnsi="Arial"/>
          <w:sz w:val="14"/>
          <w:szCs w:val="14"/>
          <w:color w:val="auto"/>
        </w:rPr>
        <w:t>File No. 333-200240 Group Flexible Payment Variable Annuity (Flexible Bonus/Retirement Companion/Smart Choice)</w:t>
      </w:r>
    </w:p>
    <w:p>
      <w:pPr>
        <w:ind w:left="440"/>
        <w:spacing w:after="0" w:line="230" w:lineRule="auto"/>
        <w:rPr>
          <w:sz w:val="20"/>
          <w:szCs w:val="20"/>
          <w:color w:val="auto"/>
        </w:rPr>
      </w:pPr>
      <w:r>
        <w:rPr>
          <w:rFonts w:ascii="Arial" w:cs="Arial" w:eastAsia="Arial" w:hAnsi="Arial"/>
          <w:sz w:val="14"/>
          <w:szCs w:val="14"/>
          <w:color w:val="auto"/>
        </w:rPr>
        <w:t>File No. 333-200243 PrimElite III</w:t>
      </w:r>
    </w:p>
    <w:p>
      <w:pPr>
        <w:ind w:left="440"/>
        <w:spacing w:after="0" w:line="189" w:lineRule="auto"/>
        <w:rPr>
          <w:sz w:val="20"/>
          <w:szCs w:val="20"/>
          <w:color w:val="auto"/>
        </w:rPr>
      </w:pPr>
      <w:r>
        <w:rPr>
          <w:rFonts w:ascii="Arial" w:cs="Arial" w:eastAsia="Arial" w:hAnsi="Arial"/>
          <w:sz w:val="12"/>
          <w:szCs w:val="12"/>
          <w:color w:val="auto"/>
        </w:rPr>
        <w:t>File No. 333-200246 Brighthouse Simple Solutions</w:t>
      </w:r>
      <w:r>
        <w:rPr>
          <w:rFonts w:ascii="Arial" w:cs="Arial" w:eastAsia="Arial" w:hAnsi="Arial"/>
          <w:sz w:val="17"/>
          <w:szCs w:val="17"/>
          <w:color w:val="auto"/>
          <w:vertAlign w:val="superscript"/>
        </w:rPr>
        <w:t>SM</w:t>
      </w:r>
    </w:p>
    <w:p>
      <w:pPr>
        <w:ind w:left="440"/>
        <w:spacing w:after="0" w:line="230" w:lineRule="auto"/>
        <w:rPr>
          <w:sz w:val="20"/>
          <w:szCs w:val="20"/>
          <w:color w:val="auto"/>
        </w:rPr>
      </w:pPr>
      <w:r>
        <w:rPr>
          <w:rFonts w:ascii="Arial" w:cs="Arial" w:eastAsia="Arial" w:hAnsi="Arial"/>
          <w:sz w:val="14"/>
          <w:szCs w:val="14"/>
          <w:color w:val="auto"/>
        </w:rPr>
        <w:t>File No. 333-200250 Marquis Portfolios (offered between November 7, 2005 and April 30, 2012)</w:t>
      </w:r>
    </w:p>
    <w:p>
      <w:pPr>
        <w:ind w:left="440"/>
        <w:spacing w:after="0" w:line="230" w:lineRule="auto"/>
        <w:rPr>
          <w:sz w:val="20"/>
          <w:szCs w:val="20"/>
          <w:color w:val="auto"/>
        </w:rPr>
      </w:pPr>
      <w:r>
        <w:rPr>
          <w:rFonts w:ascii="Arial" w:cs="Arial" w:eastAsia="Arial" w:hAnsi="Arial"/>
          <w:sz w:val="14"/>
          <w:szCs w:val="14"/>
          <w:color w:val="auto"/>
        </w:rPr>
        <w:t>File No. 333-200253 Series XC</w:t>
      </w:r>
    </w:p>
    <w:p>
      <w:pPr>
        <w:ind w:left="440"/>
        <w:spacing w:after="0" w:line="230" w:lineRule="auto"/>
        <w:rPr>
          <w:sz w:val="20"/>
          <w:szCs w:val="20"/>
          <w:color w:val="auto"/>
        </w:rPr>
      </w:pPr>
      <w:r>
        <w:rPr>
          <w:rFonts w:ascii="Arial" w:cs="Arial" w:eastAsia="Arial" w:hAnsi="Arial"/>
          <w:sz w:val="14"/>
          <w:szCs w:val="14"/>
          <w:color w:val="auto"/>
        </w:rPr>
        <w:t>File No. 333-200256 Series VA (offered between March 22, 2001 and October 7, 2011)</w:t>
      </w:r>
    </w:p>
    <w:p>
      <w:pPr>
        <w:ind w:left="440"/>
        <w:spacing w:after="0" w:line="230" w:lineRule="auto"/>
        <w:rPr>
          <w:sz w:val="20"/>
          <w:szCs w:val="20"/>
          <w:color w:val="auto"/>
        </w:rPr>
      </w:pPr>
      <w:r>
        <w:rPr>
          <w:rFonts w:ascii="Arial" w:cs="Arial" w:eastAsia="Arial" w:hAnsi="Arial"/>
          <w:sz w:val="14"/>
          <w:szCs w:val="14"/>
          <w:color w:val="auto"/>
        </w:rPr>
        <w:t>File No. 333-200259 Series L and Series L - 4 Year (offered between November 22, 2004 and October 7, 2011)</w:t>
      </w:r>
    </w:p>
    <w:p>
      <w:pPr>
        <w:ind w:left="440"/>
        <w:spacing w:after="0" w:line="230" w:lineRule="auto"/>
        <w:rPr>
          <w:sz w:val="20"/>
          <w:szCs w:val="20"/>
          <w:color w:val="auto"/>
        </w:rPr>
      </w:pPr>
      <w:r>
        <w:rPr>
          <w:rFonts w:ascii="Arial" w:cs="Arial" w:eastAsia="Arial" w:hAnsi="Arial"/>
          <w:sz w:val="14"/>
          <w:szCs w:val="14"/>
          <w:color w:val="auto"/>
        </w:rPr>
        <w:t>File No. 333-200261 Series C (offered between September 4, 2001 and October 7, 2011)</w:t>
      </w:r>
    </w:p>
    <w:p>
      <w:pPr>
        <w:ind w:left="440"/>
        <w:spacing w:after="0" w:line="230" w:lineRule="auto"/>
        <w:rPr>
          <w:sz w:val="20"/>
          <w:szCs w:val="20"/>
          <w:color w:val="auto"/>
        </w:rPr>
      </w:pPr>
      <w:r>
        <w:rPr>
          <w:rFonts w:ascii="Arial" w:cs="Arial" w:eastAsia="Arial" w:hAnsi="Arial"/>
          <w:sz w:val="14"/>
          <w:szCs w:val="14"/>
          <w:color w:val="auto"/>
        </w:rPr>
        <w:t>File No. 333-200263 Series XTRA</w:t>
      </w:r>
    </w:p>
    <w:p>
      <w:pPr>
        <w:ind w:left="440"/>
        <w:spacing w:after="0" w:line="230" w:lineRule="auto"/>
        <w:rPr>
          <w:sz w:val="20"/>
          <w:szCs w:val="20"/>
          <w:color w:val="auto"/>
        </w:rPr>
      </w:pPr>
      <w:r>
        <w:rPr>
          <w:rFonts w:ascii="Arial" w:cs="Arial" w:eastAsia="Arial" w:hAnsi="Arial"/>
          <w:sz w:val="14"/>
          <w:szCs w:val="14"/>
          <w:color w:val="auto"/>
        </w:rPr>
        <w:t>File No. 333-200265 Series S and Series S-L Share Option (offered between April 30, 2007 and October 7, 2011)</w:t>
      </w:r>
    </w:p>
    <w:p>
      <w:pPr>
        <w:ind w:left="440"/>
        <w:spacing w:after="0" w:line="230" w:lineRule="auto"/>
        <w:rPr>
          <w:sz w:val="20"/>
          <w:szCs w:val="20"/>
          <w:color w:val="auto"/>
        </w:rPr>
      </w:pPr>
      <w:r>
        <w:rPr>
          <w:rFonts w:ascii="Arial" w:cs="Arial" w:eastAsia="Arial" w:hAnsi="Arial"/>
          <w:sz w:val="14"/>
          <w:szCs w:val="14"/>
          <w:color w:val="auto"/>
        </w:rPr>
        <w:t>File No. 333-200268 Series L - 4 Year (offered between October 7, 2011 and April 28, 2013)</w:t>
      </w:r>
    </w:p>
    <w:p>
      <w:pPr>
        <w:ind w:left="440"/>
        <w:spacing w:after="0" w:line="230" w:lineRule="auto"/>
        <w:rPr>
          <w:sz w:val="20"/>
          <w:szCs w:val="20"/>
          <w:color w:val="auto"/>
        </w:rPr>
      </w:pPr>
      <w:r>
        <w:rPr>
          <w:rFonts w:ascii="Arial" w:cs="Arial" w:eastAsia="Arial" w:hAnsi="Arial"/>
          <w:sz w:val="14"/>
          <w:szCs w:val="14"/>
          <w:color w:val="auto"/>
        </w:rPr>
        <w:t>File No. 333-200270 Group Annuity SF 101</w:t>
      </w:r>
    </w:p>
    <w:p>
      <w:pPr>
        <w:ind w:left="440"/>
        <w:spacing w:after="0" w:line="230" w:lineRule="auto"/>
        <w:rPr>
          <w:sz w:val="20"/>
          <w:szCs w:val="20"/>
          <w:color w:val="auto"/>
        </w:rPr>
      </w:pPr>
      <w:r>
        <w:rPr>
          <w:rFonts w:ascii="Arial" w:cs="Arial" w:eastAsia="Arial" w:hAnsi="Arial"/>
          <w:sz w:val="14"/>
          <w:szCs w:val="14"/>
          <w:color w:val="auto"/>
        </w:rPr>
        <w:t>File No. 333-200272 Ultimate Annuity FSL 224</w:t>
      </w:r>
    </w:p>
    <w:p>
      <w:pPr>
        <w:ind w:left="440"/>
        <w:spacing w:after="0" w:line="230" w:lineRule="auto"/>
        <w:rPr>
          <w:sz w:val="20"/>
          <w:szCs w:val="20"/>
          <w:color w:val="auto"/>
        </w:rPr>
      </w:pPr>
      <w:r>
        <w:rPr>
          <w:rFonts w:ascii="Arial" w:cs="Arial" w:eastAsia="Arial" w:hAnsi="Arial"/>
          <w:sz w:val="14"/>
          <w:szCs w:val="14"/>
          <w:color w:val="auto"/>
        </w:rPr>
        <w:t>File No. 333-200275 Foresight SF 137</w:t>
      </w:r>
    </w:p>
    <w:p>
      <w:pPr>
        <w:ind w:left="440"/>
        <w:spacing w:after="0" w:line="230" w:lineRule="auto"/>
        <w:rPr>
          <w:sz w:val="20"/>
          <w:szCs w:val="20"/>
          <w:color w:val="auto"/>
        </w:rPr>
      </w:pPr>
      <w:r>
        <w:rPr>
          <w:rFonts w:ascii="Arial" w:cs="Arial" w:eastAsia="Arial" w:hAnsi="Arial"/>
          <w:sz w:val="14"/>
          <w:szCs w:val="14"/>
          <w:color w:val="auto"/>
        </w:rPr>
        <w:t>File No. 333-200277 SecurAnnuity (CLICO) 224/ SF 1700</w:t>
      </w:r>
    </w:p>
    <w:p>
      <w:pPr>
        <w:ind w:left="440"/>
        <w:spacing w:after="0" w:line="230" w:lineRule="auto"/>
        <w:rPr>
          <w:sz w:val="20"/>
          <w:szCs w:val="20"/>
          <w:color w:val="auto"/>
        </w:rPr>
      </w:pPr>
      <w:r>
        <w:rPr>
          <w:rFonts w:ascii="Arial" w:cs="Arial" w:eastAsia="Arial" w:hAnsi="Arial"/>
          <w:sz w:val="14"/>
          <w:szCs w:val="14"/>
          <w:color w:val="auto"/>
        </w:rPr>
        <w:t>File No. 333-200278 Group VA SF 234 (Texas)</w:t>
      </w:r>
    </w:p>
    <w:p>
      <w:pPr>
        <w:ind w:left="440"/>
        <w:spacing w:after="0" w:line="230" w:lineRule="auto"/>
        <w:rPr>
          <w:sz w:val="20"/>
          <w:szCs w:val="20"/>
          <w:color w:val="auto"/>
        </w:rPr>
      </w:pPr>
      <w:r>
        <w:rPr>
          <w:rFonts w:ascii="Arial" w:cs="Arial" w:eastAsia="Arial" w:hAnsi="Arial"/>
          <w:sz w:val="14"/>
          <w:szCs w:val="14"/>
          <w:color w:val="auto"/>
        </w:rPr>
        <w:t>File No. 333-200280 Sunshine SF 236 FL</w:t>
      </w:r>
    </w:p>
    <w:p>
      <w:pPr>
        <w:ind w:left="440"/>
        <w:spacing w:after="0" w:line="230" w:lineRule="auto"/>
        <w:rPr>
          <w:sz w:val="20"/>
          <w:szCs w:val="20"/>
          <w:color w:val="auto"/>
        </w:rPr>
      </w:pPr>
      <w:r>
        <w:rPr>
          <w:rFonts w:ascii="Arial" w:cs="Arial" w:eastAsia="Arial" w:hAnsi="Arial"/>
          <w:sz w:val="14"/>
          <w:szCs w:val="14"/>
          <w:color w:val="auto"/>
        </w:rPr>
        <w:t>File No. 333-200281 Flexible Value SF 230</w:t>
      </w:r>
    </w:p>
    <w:p>
      <w:pPr>
        <w:ind w:left="440" w:right="3199"/>
        <w:spacing w:after="0"/>
        <w:rPr>
          <w:sz w:val="20"/>
          <w:szCs w:val="20"/>
          <w:color w:val="auto"/>
        </w:rPr>
      </w:pPr>
      <w:r>
        <w:rPr>
          <w:rFonts w:ascii="Arial" w:cs="Arial" w:eastAsia="Arial" w:hAnsi="Arial"/>
          <w:sz w:val="14"/>
          <w:szCs w:val="14"/>
          <w:color w:val="auto"/>
        </w:rPr>
        <w:t>File No. 333-200282 Investors Choice Annuity, Capital Strategist Annuity, Imprint Annuity and Strive Annuity File No. 333-200283 Protected Equity Portfolio (PEP)</w:t>
      </w:r>
    </w:p>
    <w:p>
      <w:pPr>
        <w:sectPr>
          <w:pgSz w:w="11900" w:h="16838" w:orient="portrait"/>
          <w:cols w:equalWidth="0" w:num="1">
            <w:col w:w="10159"/>
          </w:cols>
          <w:pgMar w:left="300" w:top="240" w:right="1440" w:bottom="1440" w:gutter="0" w:footer="0" w:header="0"/>
        </w:sectPr>
      </w:pPr>
    </w:p>
    <w:bookmarkStart w:id="112" w:name="page113"/>
    <w:bookmarkEnd w:id="112"/>
    <w:p>
      <w:pPr>
        <w:ind w:left="44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4">
                      <a:extLst>
                        <a:ext uri="{28A0092B-C50C-407E-A947-70E740481C1C}"/>
                      </a:extLst>
                    </a:blip>
                    <a:srcRect/>
                    <a:stretch>
                      <a:fillRect/>
                    </a:stretch>
                  </pic:blipFill>
                  <pic:spPr bwMode="auto">
                    <a:xfrm>
                      <a:off x="0" y="0"/>
                      <a:ext cx="7203440" cy="32385"/>
                    </a:xfrm>
                    <a:prstGeom prst="rect">
                      <a:avLst/>
                    </a:prstGeom>
                    <a:noFill/>
                  </pic:spPr>
                </pic:pic>
              </a:graphicData>
            </a:graphic>
          </wp:anchor>
        </w:drawing>
        <w:t>File No. 333-200284 Vintage L and Vintage XC</w:t>
      </w:r>
    </w:p>
    <w:p>
      <w:pPr>
        <w:ind w:left="440"/>
        <w:spacing w:after="0" w:line="237" w:lineRule="auto"/>
        <w:rPr>
          <w:sz w:val="20"/>
          <w:szCs w:val="20"/>
          <w:color w:val="auto"/>
        </w:rPr>
      </w:pPr>
      <w:r>
        <w:rPr>
          <w:rFonts w:ascii="Arial" w:cs="Arial" w:eastAsia="Arial" w:hAnsi="Arial"/>
          <w:sz w:val="14"/>
          <w:szCs w:val="14"/>
          <w:color w:val="auto"/>
        </w:rPr>
        <w:t>File No. 333-200285 Series XTRA 6</w:t>
      </w:r>
    </w:p>
    <w:p>
      <w:pPr>
        <w:ind w:left="440"/>
        <w:spacing w:after="0" w:line="230" w:lineRule="auto"/>
        <w:rPr>
          <w:sz w:val="20"/>
          <w:szCs w:val="20"/>
          <w:color w:val="auto"/>
        </w:rPr>
      </w:pPr>
      <w:r>
        <w:rPr>
          <w:rFonts w:ascii="Arial" w:cs="Arial" w:eastAsia="Arial" w:hAnsi="Arial"/>
          <w:sz w:val="14"/>
          <w:szCs w:val="14"/>
          <w:color w:val="auto"/>
        </w:rPr>
        <w:t>File No. 333-200286 Series VA - 4 (offered between May 1, 2011 and October 7, 2011)</w:t>
      </w:r>
    </w:p>
    <w:p>
      <w:pPr>
        <w:ind w:left="440"/>
        <w:spacing w:after="0" w:line="230" w:lineRule="auto"/>
        <w:rPr>
          <w:sz w:val="20"/>
          <w:szCs w:val="20"/>
          <w:color w:val="auto"/>
        </w:rPr>
      </w:pPr>
      <w:r>
        <w:rPr>
          <w:rFonts w:ascii="Arial" w:cs="Arial" w:eastAsia="Arial" w:hAnsi="Arial"/>
          <w:sz w:val="14"/>
          <w:szCs w:val="14"/>
          <w:color w:val="auto"/>
        </w:rPr>
        <w:t>File No. 333-200287 Series C (offered on and after October 7, 2011)</w:t>
      </w:r>
    </w:p>
    <w:p>
      <w:pPr>
        <w:ind w:left="440"/>
        <w:spacing w:after="0" w:line="230" w:lineRule="auto"/>
        <w:rPr>
          <w:sz w:val="20"/>
          <w:szCs w:val="20"/>
          <w:color w:val="auto"/>
        </w:rPr>
      </w:pPr>
      <w:r>
        <w:rPr>
          <w:rFonts w:ascii="Arial" w:cs="Arial" w:eastAsia="Arial" w:hAnsi="Arial"/>
          <w:sz w:val="14"/>
          <w:szCs w:val="14"/>
          <w:color w:val="auto"/>
        </w:rPr>
        <w:t>File No. 333-200288 Pioneer PRISM</w:t>
      </w:r>
    </w:p>
    <w:p>
      <w:pPr>
        <w:ind w:left="440"/>
        <w:spacing w:after="0" w:line="230" w:lineRule="auto"/>
        <w:rPr>
          <w:sz w:val="20"/>
          <w:szCs w:val="20"/>
          <w:color w:val="auto"/>
        </w:rPr>
      </w:pPr>
      <w:r>
        <w:rPr>
          <w:rFonts w:ascii="Arial" w:cs="Arial" w:eastAsia="Arial" w:hAnsi="Arial"/>
          <w:sz w:val="14"/>
          <w:szCs w:val="14"/>
          <w:color w:val="auto"/>
        </w:rPr>
        <w:t>File No. 333-200289 Pioneer PRISM L</w:t>
      </w:r>
    </w:p>
    <w:p>
      <w:pPr>
        <w:ind w:left="440"/>
        <w:spacing w:after="0" w:line="230" w:lineRule="auto"/>
        <w:rPr>
          <w:sz w:val="20"/>
          <w:szCs w:val="20"/>
          <w:color w:val="auto"/>
        </w:rPr>
      </w:pPr>
      <w:r>
        <w:rPr>
          <w:rFonts w:ascii="Arial" w:cs="Arial" w:eastAsia="Arial" w:hAnsi="Arial"/>
          <w:sz w:val="14"/>
          <w:szCs w:val="14"/>
          <w:color w:val="auto"/>
        </w:rPr>
        <w:t>File No. 333-200290 Pioneer PRISM XC</w:t>
      </w:r>
    </w:p>
    <w:p>
      <w:pPr>
        <w:spacing w:after="0" w:line="1" w:lineRule="exact"/>
        <w:rPr>
          <w:sz w:val="20"/>
          <w:szCs w:val="20"/>
          <w:color w:val="auto"/>
        </w:rPr>
      </w:pPr>
    </w:p>
    <w:p>
      <w:pPr>
        <w:ind w:left="580" w:right="2279" w:hanging="155"/>
        <w:spacing w:after="0" w:line="214" w:lineRule="auto"/>
        <w:rPr>
          <w:sz w:val="20"/>
          <w:szCs w:val="20"/>
          <w:color w:val="auto"/>
        </w:rPr>
      </w:pPr>
      <w:r>
        <w:rPr>
          <w:rFonts w:ascii="Arial" w:cs="Arial" w:eastAsia="Arial" w:hAnsi="Arial"/>
          <w:sz w:val="12"/>
          <w:szCs w:val="12"/>
          <w:color w:val="auto"/>
        </w:rPr>
        <w:t>File No. 333-200323 Brighthouse Investment Portfolio Architect</w:t>
      </w:r>
      <w:r>
        <w:rPr>
          <w:rFonts w:ascii="Arial" w:cs="Arial" w:eastAsia="Arial" w:hAnsi="Arial"/>
          <w:sz w:val="18"/>
          <w:szCs w:val="18"/>
          <w:color w:val="auto"/>
          <w:vertAlign w:val="superscript"/>
        </w:rPr>
        <w:t>SM</w:t>
      </w:r>
      <w:r>
        <w:rPr>
          <w:rFonts w:ascii="Arial" w:cs="Arial" w:eastAsia="Arial" w:hAnsi="Arial"/>
          <w:sz w:val="12"/>
          <w:szCs w:val="12"/>
          <w:color w:val="auto"/>
        </w:rPr>
        <w:t xml:space="preserve"> - Standard Version and Brighthouse Investment Portfolio Architect</w:t>
      </w:r>
      <w:r>
        <w:rPr>
          <w:rFonts w:ascii="Arial" w:cs="Arial" w:eastAsia="Arial" w:hAnsi="Arial"/>
          <w:sz w:val="18"/>
          <w:szCs w:val="18"/>
          <w:color w:val="auto"/>
          <w:vertAlign w:val="superscript"/>
        </w:rPr>
        <w:t>SM</w:t>
      </w:r>
      <w:r>
        <w:rPr>
          <w:rFonts w:ascii="Arial" w:cs="Arial" w:eastAsia="Arial" w:hAnsi="Arial"/>
          <w:sz w:val="12"/>
          <w:szCs w:val="12"/>
          <w:color w:val="auto"/>
        </w:rPr>
        <w:t xml:space="preserve"> - C Share Option</w:t>
      </w:r>
    </w:p>
    <w:p>
      <w:pPr>
        <w:ind w:left="440"/>
        <w:spacing w:after="0" w:line="231" w:lineRule="auto"/>
        <w:rPr>
          <w:sz w:val="20"/>
          <w:szCs w:val="20"/>
          <w:color w:val="auto"/>
        </w:rPr>
      </w:pPr>
      <w:r>
        <w:rPr>
          <w:rFonts w:ascii="Arial" w:cs="Arial" w:eastAsia="Arial" w:hAnsi="Arial"/>
          <w:sz w:val="14"/>
          <w:szCs w:val="14"/>
          <w:color w:val="auto"/>
        </w:rPr>
        <w:t>File No. 333-203748 Series O (offered on and after July 20, 2015)</w:t>
      </w:r>
    </w:p>
    <w:p>
      <w:pPr>
        <w:ind w:left="440"/>
        <w:spacing w:after="0" w:line="230" w:lineRule="auto"/>
        <w:rPr>
          <w:sz w:val="20"/>
          <w:szCs w:val="20"/>
          <w:color w:val="auto"/>
        </w:rPr>
      </w:pPr>
      <w:r>
        <w:rPr>
          <w:rFonts w:ascii="Arial" w:cs="Arial" w:eastAsia="Arial" w:hAnsi="Arial"/>
          <w:sz w:val="14"/>
          <w:szCs w:val="14"/>
          <w:color w:val="auto"/>
        </w:rPr>
        <w:t>File No. 333-209053 Series VA (offered on and after May 2, 2016)</w:t>
      </w:r>
    </w:p>
    <w:p>
      <w:pPr>
        <w:ind w:left="440"/>
        <w:spacing w:after="0" w:line="230" w:lineRule="auto"/>
        <w:rPr>
          <w:sz w:val="20"/>
          <w:szCs w:val="20"/>
          <w:color w:val="auto"/>
        </w:rPr>
      </w:pPr>
      <w:r>
        <w:rPr>
          <w:rFonts w:ascii="Arial" w:cs="Arial" w:eastAsia="Arial" w:hAnsi="Arial"/>
          <w:sz w:val="14"/>
          <w:szCs w:val="14"/>
          <w:color w:val="auto"/>
        </w:rPr>
        <w:t>File No. 333-209054 Series VA- 4 (offered on and after May 2, 2016)</w:t>
      </w:r>
    </w:p>
    <w:p>
      <w:pPr>
        <w:ind w:left="440"/>
        <w:spacing w:after="0"/>
        <w:rPr>
          <w:sz w:val="20"/>
          <w:szCs w:val="20"/>
          <w:color w:val="auto"/>
        </w:rPr>
      </w:pPr>
      <w:r>
        <w:rPr>
          <w:rFonts w:ascii="Arial" w:cs="Arial" w:eastAsia="Arial" w:hAnsi="Arial"/>
          <w:sz w:val="13"/>
          <w:szCs w:val="13"/>
          <w:color w:val="auto"/>
        </w:rPr>
        <w:t>File No. 333-209055 Series S (offered on and after May 2, 2016) and Series S-L Share Option (offered on and after May 2, 2016)</w:t>
      </w:r>
    </w:p>
    <w:p>
      <w:pPr>
        <w:spacing w:after="0" w:line="5" w:lineRule="exact"/>
        <w:rPr>
          <w:sz w:val="20"/>
          <w:szCs w:val="20"/>
          <w:color w:val="auto"/>
        </w:rPr>
      </w:pPr>
    </w:p>
    <w:p>
      <w:pPr>
        <w:ind w:left="440"/>
        <w:spacing w:after="0"/>
        <w:rPr>
          <w:sz w:val="20"/>
          <w:szCs w:val="20"/>
          <w:color w:val="auto"/>
        </w:rPr>
      </w:pPr>
      <w:r>
        <w:rPr>
          <w:rFonts w:ascii="Arial" w:cs="Arial" w:eastAsia="Arial" w:hAnsi="Arial"/>
          <w:sz w:val="14"/>
          <w:szCs w:val="14"/>
          <w:color w:val="auto"/>
        </w:rPr>
        <w:t>File No. 333-209411 Brighthouse Prime Options,</w:t>
      </w:r>
    </w:p>
    <w:p>
      <w:pPr>
        <w:spacing w:after="0" w:line="166" w:lineRule="exact"/>
        <w:rPr>
          <w:sz w:val="20"/>
          <w:szCs w:val="20"/>
          <w:color w:val="auto"/>
        </w:rPr>
      </w:pPr>
    </w:p>
    <w:p>
      <w:pPr>
        <w:spacing w:after="0"/>
        <w:tabs>
          <w:tab w:leader="none" w:pos="14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3"/>
          <w:szCs w:val="13"/>
          <w:color w:val="auto"/>
        </w:rPr>
        <w:t>Brighthouse Separate Account Eleven for Variable Annuities (811-21262)</w:t>
      </w:r>
    </w:p>
    <w:p>
      <w:pPr>
        <w:spacing w:after="0" w:line="5" w:lineRule="exact"/>
        <w:rPr>
          <w:sz w:val="20"/>
          <w:szCs w:val="20"/>
          <w:color w:val="auto"/>
        </w:rPr>
      </w:pPr>
    </w:p>
    <w:p>
      <w:pPr>
        <w:ind w:left="580" w:right="2059" w:hanging="155"/>
        <w:spacing w:after="0" w:line="230" w:lineRule="auto"/>
        <w:rPr>
          <w:sz w:val="20"/>
          <w:szCs w:val="20"/>
          <w:color w:val="auto"/>
        </w:rPr>
      </w:pPr>
      <w:r>
        <w:rPr>
          <w:rFonts w:ascii="Arial" w:cs="Arial" w:eastAsia="Arial" w:hAnsi="Arial"/>
          <w:sz w:val="14"/>
          <w:szCs w:val="14"/>
          <w:color w:val="auto"/>
        </w:rPr>
        <w:t>File Nos. 333-101778 and 333-152234 Pioneer AnnuiStar Plus Annuity, Portfolio Architect Plus Annuity and Scudder Advocate Rewards Annuity</w:t>
      </w:r>
    </w:p>
    <w:p>
      <w:pPr>
        <w:ind w:left="440"/>
        <w:spacing w:after="0" w:line="230" w:lineRule="auto"/>
        <w:rPr>
          <w:sz w:val="20"/>
          <w:szCs w:val="20"/>
          <w:color w:val="auto"/>
        </w:rPr>
      </w:pPr>
      <w:r>
        <w:rPr>
          <w:rFonts w:ascii="Arial" w:cs="Arial" w:eastAsia="Arial" w:hAnsi="Arial"/>
          <w:sz w:val="14"/>
          <w:szCs w:val="14"/>
          <w:color w:val="auto"/>
        </w:rPr>
        <w:t>File No. 333-152189 Universal Annuity</w:t>
      </w:r>
    </w:p>
    <w:p>
      <w:pPr>
        <w:ind w:left="440"/>
        <w:spacing w:after="0" w:line="230" w:lineRule="auto"/>
        <w:rPr>
          <w:sz w:val="20"/>
          <w:szCs w:val="20"/>
          <w:color w:val="auto"/>
        </w:rPr>
      </w:pPr>
      <w:r>
        <w:rPr>
          <w:rFonts w:ascii="Arial" w:cs="Arial" w:eastAsia="Arial" w:hAnsi="Arial"/>
          <w:sz w:val="14"/>
          <w:szCs w:val="14"/>
          <w:color w:val="auto"/>
        </w:rPr>
        <w:t>File No. 333-152190 Universal Select Annuity</w:t>
      </w:r>
    </w:p>
    <w:p>
      <w:pPr>
        <w:ind w:left="440"/>
        <w:spacing w:after="0" w:line="230" w:lineRule="auto"/>
        <w:rPr>
          <w:sz w:val="20"/>
          <w:szCs w:val="20"/>
          <w:color w:val="auto"/>
        </w:rPr>
      </w:pPr>
      <w:r>
        <w:rPr>
          <w:rFonts w:ascii="Arial" w:cs="Arial" w:eastAsia="Arial" w:hAnsi="Arial"/>
          <w:sz w:val="14"/>
          <w:szCs w:val="14"/>
          <w:color w:val="auto"/>
        </w:rPr>
        <w:t>File No. 333-152191 Universal Annuity Advantage</w:t>
      </w:r>
    </w:p>
    <w:p>
      <w:pPr>
        <w:ind w:left="440"/>
        <w:spacing w:after="0" w:line="230" w:lineRule="auto"/>
        <w:rPr>
          <w:sz w:val="20"/>
          <w:szCs w:val="20"/>
          <w:color w:val="auto"/>
        </w:rPr>
      </w:pPr>
      <w:r>
        <w:rPr>
          <w:rFonts w:ascii="Arial" w:cs="Arial" w:eastAsia="Arial" w:hAnsi="Arial"/>
          <w:sz w:val="14"/>
          <w:szCs w:val="14"/>
          <w:color w:val="auto"/>
        </w:rPr>
        <w:t>File Nos. 333-152192 and 333-152193 Brighthouse Retirement Account</w:t>
      </w:r>
    </w:p>
    <w:p>
      <w:pPr>
        <w:ind w:left="440"/>
        <w:spacing w:after="0" w:line="230" w:lineRule="auto"/>
        <w:rPr>
          <w:sz w:val="20"/>
          <w:szCs w:val="20"/>
          <w:color w:val="auto"/>
        </w:rPr>
      </w:pPr>
      <w:r>
        <w:rPr>
          <w:rFonts w:ascii="Arial" w:cs="Arial" w:eastAsia="Arial" w:hAnsi="Arial"/>
          <w:sz w:val="14"/>
          <w:szCs w:val="14"/>
          <w:color w:val="auto"/>
        </w:rPr>
        <w:t>File No. 333-152194 Gold Track and Gold Track Select</w:t>
      </w:r>
    </w:p>
    <w:p>
      <w:pPr>
        <w:ind w:left="440" w:right="3219"/>
        <w:spacing w:after="0" w:line="230" w:lineRule="auto"/>
        <w:rPr>
          <w:sz w:val="20"/>
          <w:szCs w:val="20"/>
          <w:color w:val="auto"/>
        </w:rPr>
      </w:pPr>
      <w:r>
        <w:rPr>
          <w:rFonts w:ascii="Arial" w:cs="Arial" w:eastAsia="Arial" w:hAnsi="Arial"/>
          <w:sz w:val="14"/>
          <w:szCs w:val="14"/>
          <w:color w:val="auto"/>
        </w:rPr>
        <w:t>File Nos. 333-152197 and 333-152198 Brighthouse Access Annuity and Brighthouse Access Select Annuity File Nos. 333-152199 and 333-152200 Vintage Annuity File Nos. 333-152201 and 333-152202 Index Annuity</w:t>
      </w:r>
    </w:p>
    <w:p>
      <w:pPr>
        <w:ind w:left="580" w:right="2119" w:hanging="155"/>
        <w:spacing w:after="0" w:line="230" w:lineRule="auto"/>
        <w:rPr>
          <w:sz w:val="20"/>
          <w:szCs w:val="20"/>
          <w:color w:val="auto"/>
        </w:rPr>
      </w:pPr>
      <w:r>
        <w:rPr>
          <w:rFonts w:ascii="Arial" w:cs="Arial" w:eastAsia="Arial" w:hAnsi="Arial"/>
          <w:sz w:val="14"/>
          <w:szCs w:val="14"/>
          <w:color w:val="auto"/>
        </w:rPr>
        <w:t>File Nos. 333-152232 and 333-152233 Portfolio Architect Annuity, Portfolio Architect Select Annuity, Premier Advisers Annuity (Class I) and Premier Advisers Annuity (Class II)</w:t>
      </w:r>
    </w:p>
    <w:p>
      <w:pPr>
        <w:ind w:left="580" w:right="2199" w:hanging="155"/>
        <w:spacing w:after="0" w:line="229" w:lineRule="auto"/>
        <w:rPr>
          <w:sz w:val="20"/>
          <w:szCs w:val="20"/>
          <w:color w:val="auto"/>
        </w:rPr>
      </w:pPr>
      <w:r>
        <w:rPr>
          <w:rFonts w:ascii="Arial" w:cs="Arial" w:eastAsia="Arial" w:hAnsi="Arial"/>
          <w:sz w:val="14"/>
          <w:szCs w:val="14"/>
          <w:color w:val="auto"/>
        </w:rPr>
        <w:t>File Nos. 333-152235 and 333-152236 Pioneer AnnuiStar Annuity, Portfolio Architect II Annuity and Pioneer AnnuiStar Value Annuity</w:t>
      </w:r>
    </w:p>
    <w:p>
      <w:pPr>
        <w:spacing w:after="0" w:line="1" w:lineRule="exact"/>
        <w:rPr>
          <w:sz w:val="20"/>
          <w:szCs w:val="20"/>
          <w:color w:val="auto"/>
        </w:rPr>
      </w:pPr>
    </w:p>
    <w:p>
      <w:pPr>
        <w:ind w:left="580" w:right="1839" w:hanging="155"/>
        <w:spacing w:after="0" w:line="230" w:lineRule="auto"/>
        <w:rPr>
          <w:sz w:val="20"/>
          <w:szCs w:val="20"/>
          <w:color w:val="auto"/>
        </w:rPr>
      </w:pPr>
      <w:r>
        <w:rPr>
          <w:rFonts w:ascii="Arial" w:cs="Arial" w:eastAsia="Arial" w:hAnsi="Arial"/>
          <w:sz w:val="14"/>
          <w:szCs w:val="14"/>
          <w:color w:val="auto"/>
        </w:rPr>
        <w:t>File Nos. 333-152237 and 333-152238 Premier Advisers II Annuity, Premier Advisers III (Series I) and Premier Advisers III Annuity (Series II)</w:t>
      </w:r>
    </w:p>
    <w:p>
      <w:pPr>
        <w:ind w:left="580" w:right="1779" w:hanging="155"/>
        <w:spacing w:after="0" w:line="230" w:lineRule="auto"/>
        <w:rPr>
          <w:sz w:val="20"/>
          <w:szCs w:val="20"/>
          <w:color w:val="auto"/>
        </w:rPr>
      </w:pPr>
      <w:r>
        <w:rPr>
          <w:rFonts w:ascii="Arial" w:cs="Arial" w:eastAsia="Arial" w:hAnsi="Arial"/>
          <w:sz w:val="14"/>
          <w:szCs w:val="14"/>
          <w:color w:val="auto"/>
        </w:rPr>
        <w:t>File Nos. 333-152239 and 333-152240 Premier Advisers AssetManager Annuity, Premier Advisers L Annuity (Series I) and Premier Advisers L Annuity (Series II)</w:t>
      </w:r>
    </w:p>
    <w:p>
      <w:pPr>
        <w:ind w:left="580" w:right="1799" w:hanging="155"/>
        <w:spacing w:after="0" w:line="229" w:lineRule="auto"/>
        <w:rPr>
          <w:sz w:val="20"/>
          <w:szCs w:val="20"/>
          <w:color w:val="auto"/>
        </w:rPr>
      </w:pPr>
      <w:r>
        <w:rPr>
          <w:rFonts w:ascii="Arial" w:cs="Arial" w:eastAsia="Arial" w:hAnsi="Arial"/>
          <w:sz w:val="14"/>
          <w:szCs w:val="14"/>
          <w:color w:val="auto"/>
        </w:rPr>
        <w:t>File Nos. 333-152255 and 333-152265 Vintage XTRA Annuity, Portfolio Architect XTRA Annuity and Vintage XTRA Annuity (Series II)</w:t>
      </w:r>
    </w:p>
    <w:p>
      <w:pPr>
        <w:spacing w:after="0" w:line="1" w:lineRule="exact"/>
        <w:rPr>
          <w:sz w:val="20"/>
          <w:szCs w:val="20"/>
          <w:color w:val="auto"/>
        </w:rPr>
      </w:pPr>
    </w:p>
    <w:p>
      <w:pPr>
        <w:ind w:left="580" w:right="2119" w:hanging="155"/>
        <w:spacing w:after="0" w:line="230" w:lineRule="auto"/>
        <w:rPr>
          <w:sz w:val="20"/>
          <w:szCs w:val="20"/>
          <w:color w:val="auto"/>
        </w:rPr>
      </w:pPr>
      <w:r>
        <w:rPr>
          <w:rFonts w:ascii="Arial" w:cs="Arial" w:eastAsia="Arial" w:hAnsi="Arial"/>
          <w:sz w:val="14"/>
          <w:szCs w:val="14"/>
          <w:color w:val="auto"/>
        </w:rPr>
        <w:t>File Nos. 333-152256 and 333-152292 Vintage 3 Annuity, Portfolio Architect 3 Annuity, Portfolio Architect L Annuity, Vintage L Annuity and Pioneer AnnuiStar Flex Annuity</w:t>
      </w:r>
    </w:p>
    <w:p>
      <w:pPr>
        <w:ind w:left="440"/>
        <w:spacing w:after="0" w:line="230" w:lineRule="auto"/>
        <w:rPr>
          <w:sz w:val="20"/>
          <w:szCs w:val="20"/>
          <w:color w:val="auto"/>
        </w:rPr>
      </w:pPr>
      <w:r>
        <w:rPr>
          <w:rFonts w:ascii="Arial" w:cs="Arial" w:eastAsia="Arial" w:hAnsi="Arial"/>
          <w:sz w:val="14"/>
          <w:szCs w:val="14"/>
          <w:color w:val="auto"/>
        </w:rPr>
        <w:t>File Nos. 333-152258 and 333-152261 PrimElite Annuity</w:t>
      </w:r>
    </w:p>
    <w:p>
      <w:pPr>
        <w:ind w:left="440"/>
        <w:spacing w:after="0" w:line="230" w:lineRule="auto"/>
        <w:rPr>
          <w:sz w:val="20"/>
          <w:szCs w:val="20"/>
          <w:color w:val="auto"/>
        </w:rPr>
      </w:pPr>
      <w:r>
        <w:rPr>
          <w:rFonts w:ascii="Arial" w:cs="Arial" w:eastAsia="Arial" w:hAnsi="Arial"/>
          <w:sz w:val="14"/>
          <w:szCs w:val="14"/>
          <w:color w:val="auto"/>
        </w:rPr>
        <w:t>File Nos. 333-152259 and 333-152262 PrimElite II Annuity</w:t>
      </w:r>
    </w:p>
    <w:p>
      <w:pPr>
        <w:ind w:left="440"/>
        <w:spacing w:after="0" w:line="230" w:lineRule="auto"/>
        <w:rPr>
          <w:sz w:val="20"/>
          <w:szCs w:val="20"/>
          <w:color w:val="auto"/>
        </w:rPr>
      </w:pPr>
      <w:r>
        <w:rPr>
          <w:rFonts w:ascii="Arial" w:cs="Arial" w:eastAsia="Arial" w:hAnsi="Arial"/>
          <w:sz w:val="14"/>
          <w:szCs w:val="14"/>
          <w:color w:val="auto"/>
        </w:rPr>
        <w:t>File Nos. 333-152260 and 333-152266 Protected Equity Portfolio Annuity</w:t>
      </w:r>
    </w:p>
    <w:p>
      <w:pPr>
        <w:ind w:left="440"/>
        <w:spacing w:after="0" w:line="230" w:lineRule="auto"/>
        <w:rPr>
          <w:sz w:val="20"/>
          <w:szCs w:val="20"/>
          <w:color w:val="auto"/>
        </w:rPr>
      </w:pPr>
      <w:r>
        <w:rPr>
          <w:rFonts w:ascii="Arial" w:cs="Arial" w:eastAsia="Arial" w:hAnsi="Arial"/>
          <w:sz w:val="14"/>
          <w:szCs w:val="14"/>
          <w:color w:val="auto"/>
        </w:rPr>
        <w:t>File Nos. 333-152263 and 333-152269 Marquis Portfolios</w:t>
      </w:r>
    </w:p>
    <w:p>
      <w:pPr>
        <w:ind w:left="580" w:right="2259" w:hanging="155"/>
        <w:spacing w:after="0" w:line="230" w:lineRule="auto"/>
        <w:rPr>
          <w:sz w:val="20"/>
          <w:szCs w:val="20"/>
          <w:color w:val="auto"/>
        </w:rPr>
      </w:pPr>
      <w:r>
        <w:rPr>
          <w:rFonts w:ascii="Arial" w:cs="Arial" w:eastAsia="Arial" w:hAnsi="Arial"/>
          <w:sz w:val="14"/>
          <w:szCs w:val="14"/>
          <w:color w:val="auto"/>
        </w:rPr>
        <w:t>File Nos. 333-152264 and 333-152270 Vintage Access, Portfolio Architect Access, Scudder Advocate Advisor and Scudder Advocate Advisor - ST1 Annuity</w:t>
      </w:r>
    </w:p>
    <w:p>
      <w:pPr>
        <w:ind w:left="440"/>
        <w:spacing w:after="0" w:line="230" w:lineRule="auto"/>
        <w:rPr>
          <w:sz w:val="20"/>
          <w:szCs w:val="20"/>
          <w:color w:val="auto"/>
        </w:rPr>
      </w:pPr>
      <w:r>
        <w:rPr>
          <w:rFonts w:ascii="Arial" w:cs="Arial" w:eastAsia="Arial" w:hAnsi="Arial"/>
          <w:sz w:val="14"/>
          <w:szCs w:val="14"/>
          <w:color w:val="auto"/>
        </w:rPr>
        <w:t>File Nos. 333-152267 and 333-152268 Vintage II Annuity and Vintage II Annuity (Series II)</w:t>
      </w:r>
    </w:p>
    <w:p>
      <w:pPr>
        <w:ind w:left="440"/>
        <w:spacing w:after="0" w:line="230" w:lineRule="auto"/>
        <w:rPr>
          <w:sz w:val="20"/>
          <w:szCs w:val="20"/>
          <w:color w:val="auto"/>
        </w:rPr>
      </w:pPr>
      <w:r>
        <w:rPr>
          <w:rFonts w:ascii="Arial" w:cs="Arial" w:eastAsia="Arial" w:hAnsi="Arial"/>
          <w:sz w:val="14"/>
          <w:szCs w:val="14"/>
          <w:color w:val="auto"/>
        </w:rPr>
        <w:t>File No. 333-197658 Brighthouse Accumulation Annuity</w:t>
      </w:r>
    </w:p>
    <w:p>
      <w:pPr>
        <w:ind w:left="440"/>
        <w:spacing w:after="0"/>
        <w:rPr>
          <w:sz w:val="20"/>
          <w:szCs w:val="20"/>
          <w:color w:val="auto"/>
        </w:rPr>
      </w:pPr>
      <w:r>
        <w:rPr>
          <w:rFonts w:ascii="Arial" w:cs="Arial" w:eastAsia="Arial" w:hAnsi="Arial"/>
          <w:sz w:val="14"/>
          <w:szCs w:val="14"/>
          <w:color w:val="auto"/>
        </w:rPr>
        <w:t>File No. 333-208464 Brighthouse Premier Variable Annuity</w:t>
      </w:r>
      <w:r>
        <w:rPr>
          <w:rFonts w:ascii="Arial" w:cs="Arial" w:eastAsia="Arial" w:hAnsi="Arial"/>
          <w:sz w:val="20"/>
          <w:szCs w:val="20"/>
          <w:color w:val="auto"/>
          <w:vertAlign w:val="superscript"/>
        </w:rPr>
        <w:t>SM</w:t>
      </w:r>
      <w:r>
        <w:rPr>
          <w:rFonts w:ascii="Arial" w:cs="Arial" w:eastAsia="Arial" w:hAnsi="Arial"/>
          <w:sz w:val="14"/>
          <w:szCs w:val="14"/>
          <w:color w:val="auto"/>
        </w:rPr>
        <w:t>,</w:t>
      </w:r>
    </w:p>
    <w:p>
      <w:pPr>
        <w:spacing w:after="0" w:line="97" w:lineRule="exact"/>
        <w:rPr>
          <w:sz w:val="20"/>
          <w:szCs w:val="20"/>
          <w:color w:val="auto"/>
        </w:rPr>
      </w:pPr>
    </w:p>
    <w:p>
      <w:pPr>
        <w:ind w:left="440" w:right="6159" w:hanging="438"/>
        <w:spacing w:after="0" w:line="272" w:lineRule="auto"/>
        <w:tabs>
          <w:tab w:leader="none" w:pos="173" w:val="left"/>
        </w:tabs>
        <w:numPr>
          <w:ilvl w:val="0"/>
          <w:numId w:val="121"/>
        </w:numPr>
        <w:rPr>
          <w:rFonts w:ascii="Arial" w:cs="Arial" w:eastAsia="Arial" w:hAnsi="Arial"/>
          <w:sz w:val="13"/>
          <w:szCs w:val="13"/>
          <w:color w:val="auto"/>
        </w:rPr>
      </w:pPr>
      <w:r>
        <w:rPr>
          <w:rFonts w:ascii="Arial" w:cs="Arial" w:eastAsia="Arial" w:hAnsi="Arial"/>
          <w:sz w:val="13"/>
          <w:szCs w:val="13"/>
          <w:color w:val="auto"/>
        </w:rPr>
        <w:t>Brighthouse Separate Account QPN for Variable Annuities File No. 333-156867 Unallocated Group Variable Annuity File No. 333-156911 Brighthouse Retirement Perspectives,</w:t>
      </w:r>
    </w:p>
    <w:p>
      <w:pPr>
        <w:spacing w:after="0" w:line="139" w:lineRule="exact"/>
        <w:rPr>
          <w:rFonts w:ascii="Arial" w:cs="Arial" w:eastAsia="Arial" w:hAnsi="Arial"/>
          <w:sz w:val="13"/>
          <w:szCs w:val="13"/>
          <w:color w:val="auto"/>
        </w:rPr>
      </w:pPr>
    </w:p>
    <w:p>
      <w:pPr>
        <w:ind w:left="160" w:hanging="158"/>
        <w:spacing w:after="0"/>
        <w:tabs>
          <w:tab w:leader="none" w:pos="160" w:val="left"/>
        </w:tabs>
        <w:numPr>
          <w:ilvl w:val="0"/>
          <w:numId w:val="121"/>
        </w:numPr>
        <w:rPr>
          <w:rFonts w:ascii="Arial" w:cs="Arial" w:eastAsia="Arial" w:hAnsi="Arial"/>
          <w:sz w:val="14"/>
          <w:szCs w:val="14"/>
          <w:color w:val="auto"/>
        </w:rPr>
      </w:pPr>
      <w:r>
        <w:rPr>
          <w:rFonts w:ascii="Arial" w:cs="Arial" w:eastAsia="Arial" w:hAnsi="Arial"/>
          <w:sz w:val="14"/>
          <w:szCs w:val="14"/>
          <w:color w:val="auto"/>
        </w:rPr>
        <w:t>Brighthouse Variable Annuity Account C (811-05200)</w:t>
      </w:r>
    </w:p>
    <w:p>
      <w:pPr>
        <w:ind w:left="440"/>
        <w:spacing w:after="0" w:line="237" w:lineRule="auto"/>
        <w:rPr>
          <w:sz w:val="20"/>
          <w:szCs w:val="20"/>
          <w:color w:val="auto"/>
        </w:rPr>
      </w:pPr>
      <w:r>
        <w:rPr>
          <w:rFonts w:ascii="Arial" w:cs="Arial" w:eastAsia="Arial" w:hAnsi="Arial"/>
          <w:sz w:val="14"/>
          <w:szCs w:val="14"/>
          <w:color w:val="auto"/>
        </w:rPr>
        <w:t>File No. 333-200244 Class XC</w:t>
      </w:r>
    </w:p>
    <w:p>
      <w:pPr>
        <w:ind w:left="440"/>
        <w:spacing w:after="0" w:line="230" w:lineRule="auto"/>
        <w:rPr>
          <w:sz w:val="20"/>
          <w:szCs w:val="20"/>
          <w:color w:val="auto"/>
        </w:rPr>
      </w:pPr>
      <w:r>
        <w:rPr>
          <w:rFonts w:ascii="Arial" w:cs="Arial" w:eastAsia="Arial" w:hAnsi="Arial"/>
          <w:sz w:val="14"/>
          <w:szCs w:val="14"/>
          <w:color w:val="auto"/>
        </w:rPr>
        <w:t>File No. 333-200247 Class VA, Class AA and Class B</w:t>
      </w:r>
    </w:p>
    <w:p>
      <w:pPr>
        <w:ind w:left="440"/>
        <w:spacing w:after="0" w:line="230" w:lineRule="auto"/>
        <w:rPr>
          <w:sz w:val="20"/>
          <w:szCs w:val="20"/>
          <w:color w:val="auto"/>
        </w:rPr>
      </w:pPr>
      <w:r>
        <w:rPr>
          <w:rFonts w:ascii="Arial" w:cs="Arial" w:eastAsia="Arial" w:hAnsi="Arial"/>
          <w:sz w:val="14"/>
          <w:szCs w:val="14"/>
          <w:color w:val="auto"/>
        </w:rPr>
        <w:t>File No. 333-200249 Class L and Class L - 4 Year</w:t>
      </w:r>
    </w:p>
    <w:p>
      <w:pPr>
        <w:ind w:left="440"/>
        <w:spacing w:after="0" w:line="230" w:lineRule="auto"/>
        <w:rPr>
          <w:sz w:val="20"/>
          <w:szCs w:val="20"/>
          <w:color w:val="auto"/>
        </w:rPr>
      </w:pPr>
      <w:r>
        <w:rPr>
          <w:rFonts w:ascii="Arial" w:cs="Arial" w:eastAsia="Arial" w:hAnsi="Arial"/>
          <w:sz w:val="14"/>
          <w:szCs w:val="14"/>
          <w:color w:val="auto"/>
        </w:rPr>
        <w:t>File No. 333-200252 Class A</w:t>
      </w:r>
    </w:p>
    <w:p>
      <w:pPr>
        <w:ind w:left="440"/>
        <w:spacing w:after="0" w:line="230" w:lineRule="auto"/>
        <w:rPr>
          <w:sz w:val="20"/>
          <w:szCs w:val="20"/>
          <w:color w:val="auto"/>
        </w:rPr>
      </w:pPr>
      <w:r>
        <w:rPr>
          <w:rFonts w:ascii="Arial" w:cs="Arial" w:eastAsia="Arial" w:hAnsi="Arial"/>
          <w:sz w:val="14"/>
          <w:szCs w:val="14"/>
          <w:color w:val="auto"/>
        </w:rPr>
        <w:t>File No. 333-200255 COVA VA, Firstar Summit VA, Premier Advisor VA, Destiny Select VA and Prevail VA</w:t>
      </w:r>
    </w:p>
    <w:p>
      <w:pPr>
        <w:ind w:left="440"/>
        <w:spacing w:after="0" w:line="230" w:lineRule="auto"/>
        <w:rPr>
          <w:sz w:val="20"/>
          <w:szCs w:val="20"/>
          <w:color w:val="auto"/>
        </w:rPr>
      </w:pPr>
      <w:r>
        <w:rPr>
          <w:rFonts w:ascii="Arial" w:cs="Arial" w:eastAsia="Arial" w:hAnsi="Arial"/>
          <w:sz w:val="14"/>
          <w:szCs w:val="14"/>
          <w:color w:val="auto"/>
        </w:rPr>
        <w:t>File No. 333-200258 COVA VA SPDA</w:t>
      </w:r>
    </w:p>
    <w:p>
      <w:pPr>
        <w:ind w:left="440"/>
        <w:spacing w:after="0" w:line="230" w:lineRule="auto"/>
        <w:rPr>
          <w:sz w:val="20"/>
          <w:szCs w:val="20"/>
          <w:color w:val="auto"/>
        </w:rPr>
      </w:pPr>
      <w:r>
        <w:rPr>
          <w:rFonts w:ascii="Arial" w:cs="Arial" w:eastAsia="Arial" w:hAnsi="Arial"/>
          <w:sz w:val="14"/>
          <w:szCs w:val="14"/>
          <w:color w:val="auto"/>
        </w:rPr>
        <w:t>File No. 333-200260 COVA Series A</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4"/>
          <w:szCs w:val="14"/>
          <w:color w:val="auto"/>
        </w:rPr>
        <w:t>File No. 333-200262 Navigator-Select/Custom-Select/Russell-Select</w:t>
      </w:r>
    </w:p>
    <w:p>
      <w:pPr>
        <w:sectPr>
          <w:pgSz w:w="11900" w:h="16838" w:orient="portrait"/>
          <w:cols w:equalWidth="0" w:num="1">
            <w:col w:w="10159"/>
          </w:cols>
          <w:pgMar w:left="300" w:top="240" w:right="1440" w:bottom="1440" w:gutter="0" w:footer="0" w:header="0"/>
        </w:sectPr>
      </w:pPr>
    </w:p>
    <w:bookmarkStart w:id="113" w:name="page114"/>
    <w:bookmarkEnd w:id="113"/>
    <w:p>
      <w:pPr>
        <w:ind w:left="44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5">
                      <a:extLst>
                        <a:ext uri="{28A0092B-C50C-407E-A947-70E740481C1C}"/>
                      </a:extLst>
                    </a:blip>
                    <a:srcRect/>
                    <a:stretch>
                      <a:fillRect/>
                    </a:stretch>
                  </pic:blipFill>
                  <pic:spPr bwMode="auto">
                    <a:xfrm>
                      <a:off x="0" y="0"/>
                      <a:ext cx="7203440" cy="32385"/>
                    </a:xfrm>
                    <a:prstGeom prst="rect">
                      <a:avLst/>
                    </a:prstGeom>
                    <a:noFill/>
                  </pic:spPr>
                </pic:pic>
              </a:graphicData>
            </a:graphic>
          </wp:anchor>
        </w:drawing>
        <w:t>File No. 333-200264 Navigator-Select/Custom-Select/Russell-Select (CA)</w:t>
      </w:r>
    </w:p>
    <w:p>
      <w:pPr>
        <w:ind w:left="440"/>
        <w:spacing w:after="0" w:line="237" w:lineRule="auto"/>
        <w:rPr>
          <w:sz w:val="20"/>
          <w:szCs w:val="20"/>
          <w:color w:val="auto"/>
        </w:rPr>
      </w:pPr>
      <w:r>
        <w:rPr>
          <w:rFonts w:ascii="Arial" w:cs="Arial" w:eastAsia="Arial" w:hAnsi="Arial"/>
          <w:sz w:val="14"/>
          <w:szCs w:val="14"/>
          <w:color w:val="auto"/>
        </w:rPr>
        <w:t>File No. 333-200266 COVA VA and Premier Advisor (CA)</w:t>
      </w:r>
    </w:p>
    <w:p>
      <w:pPr>
        <w:ind w:left="440"/>
        <w:spacing w:after="0" w:line="230" w:lineRule="auto"/>
        <w:rPr>
          <w:sz w:val="20"/>
          <w:szCs w:val="20"/>
          <w:color w:val="auto"/>
        </w:rPr>
      </w:pPr>
      <w:r>
        <w:rPr>
          <w:rFonts w:ascii="Arial" w:cs="Arial" w:eastAsia="Arial" w:hAnsi="Arial"/>
          <w:sz w:val="14"/>
          <w:szCs w:val="14"/>
          <w:color w:val="auto"/>
        </w:rPr>
        <w:t>File No. 333-200267 COVA Series A (CA)</w:t>
      </w:r>
    </w:p>
    <w:p>
      <w:pPr>
        <w:ind w:left="440"/>
        <w:spacing w:after="0" w:line="230" w:lineRule="auto"/>
        <w:rPr>
          <w:sz w:val="20"/>
          <w:szCs w:val="20"/>
          <w:color w:val="auto"/>
        </w:rPr>
      </w:pPr>
      <w:r>
        <w:rPr>
          <w:rFonts w:ascii="Arial" w:cs="Arial" w:eastAsia="Arial" w:hAnsi="Arial"/>
          <w:sz w:val="14"/>
          <w:szCs w:val="14"/>
          <w:color w:val="auto"/>
        </w:rPr>
        <w:t>File No. 333-200269 Class C</w:t>
      </w:r>
    </w:p>
    <w:p>
      <w:pPr>
        <w:ind w:left="440"/>
        <w:spacing w:after="0" w:line="230" w:lineRule="auto"/>
        <w:rPr>
          <w:sz w:val="20"/>
          <w:szCs w:val="20"/>
          <w:color w:val="auto"/>
        </w:rPr>
      </w:pPr>
      <w:r>
        <w:rPr>
          <w:rFonts w:ascii="Arial" w:cs="Arial" w:eastAsia="Arial" w:hAnsi="Arial"/>
          <w:sz w:val="14"/>
          <w:szCs w:val="14"/>
          <w:color w:val="auto"/>
        </w:rPr>
        <w:t>File No. 333-200271 Class VA (CA), Class AA (CA), and Class B (CA)</w:t>
      </w:r>
    </w:p>
    <w:p>
      <w:pPr>
        <w:ind w:left="440"/>
        <w:spacing w:after="0" w:line="230" w:lineRule="auto"/>
        <w:rPr>
          <w:sz w:val="20"/>
          <w:szCs w:val="20"/>
          <w:color w:val="auto"/>
        </w:rPr>
      </w:pPr>
      <w:r>
        <w:rPr>
          <w:rFonts w:ascii="Arial" w:cs="Arial" w:eastAsia="Arial" w:hAnsi="Arial"/>
          <w:sz w:val="14"/>
          <w:szCs w:val="14"/>
          <w:color w:val="auto"/>
        </w:rPr>
        <w:t>File No. 333-200273 Class XC (CA)</w:t>
      </w:r>
    </w:p>
    <w:p>
      <w:pPr>
        <w:ind w:left="440"/>
        <w:spacing w:after="0" w:line="230" w:lineRule="auto"/>
        <w:rPr>
          <w:sz w:val="20"/>
          <w:szCs w:val="20"/>
          <w:color w:val="auto"/>
        </w:rPr>
      </w:pPr>
      <w:r>
        <w:rPr>
          <w:rFonts w:ascii="Arial" w:cs="Arial" w:eastAsia="Arial" w:hAnsi="Arial"/>
          <w:sz w:val="14"/>
          <w:szCs w:val="14"/>
          <w:color w:val="auto"/>
        </w:rPr>
        <w:t>File No. 333-200274 Class L (CA) and Class L - 4 Year (CA)</w:t>
      </w:r>
    </w:p>
    <w:p>
      <w:pPr>
        <w:ind w:left="440"/>
        <w:spacing w:after="0" w:line="230" w:lineRule="auto"/>
        <w:rPr>
          <w:sz w:val="20"/>
          <w:szCs w:val="20"/>
          <w:color w:val="auto"/>
        </w:rPr>
      </w:pPr>
      <w:r>
        <w:rPr>
          <w:rFonts w:ascii="Arial" w:cs="Arial" w:eastAsia="Arial" w:hAnsi="Arial"/>
          <w:sz w:val="14"/>
          <w:szCs w:val="14"/>
          <w:color w:val="auto"/>
        </w:rPr>
        <w:t>File No. 333-200276 Class A (CA)</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4"/>
          <w:szCs w:val="14"/>
          <w:color w:val="auto"/>
        </w:rPr>
        <w:t>File No. 333-200279 Class C (CA),</w:t>
      </w:r>
    </w:p>
    <w:p>
      <w:pPr>
        <w:spacing w:after="0" w:line="166" w:lineRule="exact"/>
        <w:rPr>
          <w:sz w:val="20"/>
          <w:szCs w:val="20"/>
          <w:color w:val="auto"/>
        </w:rPr>
      </w:pPr>
    </w:p>
    <w:p>
      <w:pPr>
        <w:spacing w:after="0"/>
        <w:tabs>
          <w:tab w:leader="none" w:pos="14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3"/>
          <w:szCs w:val="13"/>
          <w:color w:val="auto"/>
        </w:rPr>
        <w:t>Brighthouse Variable Life Account A (811-21851)</w:t>
      </w:r>
    </w:p>
    <w:p>
      <w:pPr>
        <w:spacing w:after="0" w:line="5" w:lineRule="exact"/>
        <w:rPr>
          <w:sz w:val="20"/>
          <w:szCs w:val="20"/>
          <w:color w:val="auto"/>
        </w:rPr>
      </w:pPr>
    </w:p>
    <w:p>
      <w:pPr>
        <w:ind w:left="440"/>
        <w:spacing w:after="0"/>
        <w:rPr>
          <w:sz w:val="20"/>
          <w:szCs w:val="20"/>
          <w:color w:val="auto"/>
        </w:rPr>
      </w:pPr>
      <w:r>
        <w:rPr>
          <w:rFonts w:ascii="Arial" w:cs="Arial" w:eastAsia="Arial" w:hAnsi="Arial"/>
          <w:sz w:val="14"/>
          <w:szCs w:val="14"/>
          <w:color w:val="auto"/>
        </w:rPr>
        <w:t>File No. 333-200241 Equity Advantage Variable Universal Life,</w:t>
      </w:r>
    </w:p>
    <w:p>
      <w:pPr>
        <w:spacing w:after="0" w:line="166" w:lineRule="exact"/>
        <w:rPr>
          <w:sz w:val="20"/>
          <w:szCs w:val="20"/>
          <w:color w:val="auto"/>
        </w:rPr>
      </w:pPr>
    </w:p>
    <w:p>
      <w:pPr>
        <w:ind w:left="440" w:right="6859" w:hanging="438"/>
        <w:spacing w:after="0" w:line="238" w:lineRule="auto"/>
        <w:tabs>
          <w:tab w:leader="none" w:pos="173" w:val="left"/>
        </w:tabs>
        <w:numPr>
          <w:ilvl w:val="0"/>
          <w:numId w:val="122"/>
        </w:numPr>
        <w:rPr>
          <w:rFonts w:ascii="Arial" w:cs="Arial" w:eastAsia="Arial" w:hAnsi="Arial"/>
          <w:sz w:val="14"/>
          <w:szCs w:val="14"/>
          <w:color w:val="auto"/>
        </w:rPr>
      </w:pPr>
      <w:r>
        <w:rPr>
          <w:rFonts w:ascii="Arial" w:cs="Arial" w:eastAsia="Arial" w:hAnsi="Arial"/>
          <w:sz w:val="14"/>
          <w:szCs w:val="14"/>
          <w:color w:val="auto"/>
        </w:rPr>
        <w:t>Brighthouse Variable Life Account One (811-07971) File No. 333-200242 Class VL</w:t>
      </w:r>
    </w:p>
    <w:p>
      <w:pPr>
        <w:spacing w:after="0" w:line="1" w:lineRule="exact"/>
        <w:rPr>
          <w:rFonts w:ascii="Arial" w:cs="Arial" w:eastAsia="Arial" w:hAnsi="Arial"/>
          <w:sz w:val="14"/>
          <w:szCs w:val="14"/>
          <w:color w:val="auto"/>
        </w:rPr>
      </w:pPr>
    </w:p>
    <w:p>
      <w:pPr>
        <w:ind w:left="440"/>
        <w:spacing w:after="0" w:line="230" w:lineRule="auto"/>
        <w:rPr>
          <w:rFonts w:ascii="Arial" w:cs="Arial" w:eastAsia="Arial" w:hAnsi="Arial"/>
          <w:sz w:val="14"/>
          <w:szCs w:val="14"/>
          <w:color w:val="auto"/>
        </w:rPr>
      </w:pPr>
      <w:r>
        <w:rPr>
          <w:rFonts w:ascii="Arial" w:cs="Arial" w:eastAsia="Arial" w:hAnsi="Arial"/>
          <w:sz w:val="14"/>
          <w:szCs w:val="14"/>
          <w:color w:val="auto"/>
        </w:rPr>
        <w:t>File No. 333-200245 Class VL (CA)</w:t>
      </w:r>
    </w:p>
    <w:p>
      <w:pPr>
        <w:ind w:left="440"/>
        <w:spacing w:after="0" w:line="230" w:lineRule="auto"/>
        <w:rPr>
          <w:rFonts w:ascii="Arial" w:cs="Arial" w:eastAsia="Arial" w:hAnsi="Arial"/>
          <w:sz w:val="14"/>
          <w:szCs w:val="14"/>
          <w:color w:val="auto"/>
        </w:rPr>
      </w:pPr>
      <w:r>
        <w:rPr>
          <w:rFonts w:ascii="Arial" w:cs="Arial" w:eastAsia="Arial" w:hAnsi="Arial"/>
          <w:sz w:val="14"/>
          <w:szCs w:val="14"/>
          <w:color w:val="auto"/>
        </w:rPr>
        <w:t>File No. 333-200248 Modified Single Premium Variable Life</w:t>
      </w:r>
    </w:p>
    <w:p>
      <w:pPr>
        <w:ind w:left="440" w:right="5599"/>
        <w:spacing w:after="0" w:line="236" w:lineRule="auto"/>
        <w:rPr>
          <w:rFonts w:ascii="Arial" w:cs="Arial" w:eastAsia="Arial" w:hAnsi="Arial"/>
          <w:sz w:val="14"/>
          <w:szCs w:val="14"/>
          <w:color w:val="auto"/>
        </w:rPr>
      </w:pPr>
      <w:r>
        <w:rPr>
          <w:rFonts w:ascii="Arial" w:cs="Arial" w:eastAsia="Arial" w:hAnsi="Arial"/>
          <w:sz w:val="14"/>
          <w:szCs w:val="14"/>
          <w:color w:val="auto"/>
        </w:rPr>
        <w:t>File No. 333-200251 Custom Select and Russell Select Variable Life File No. 333-200254 Modified Single Premium Variable Life (CA) File No. 333-200257 Custom Select Variable Life,</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color w:val="auto"/>
        </w:rPr>
        <w:t>And pertaining to:</w:t>
      </w:r>
    </w:p>
    <w:p>
      <w:pPr>
        <w:ind w:left="440"/>
        <w:spacing w:after="0" w:line="185" w:lineRule="auto"/>
        <w:rPr>
          <w:sz w:val="20"/>
          <w:szCs w:val="20"/>
          <w:color w:val="auto"/>
        </w:rPr>
      </w:pPr>
      <w:r>
        <w:rPr>
          <w:rFonts w:ascii="Arial" w:cs="Arial" w:eastAsia="Arial" w:hAnsi="Arial"/>
          <w:sz w:val="12"/>
          <w:szCs w:val="12"/>
          <w:color w:val="auto"/>
        </w:rPr>
        <w:t>File No. 333-268618 Brighthouse SmartGuard Plus</w:t>
      </w:r>
      <w:r>
        <w:rPr>
          <w:rFonts w:ascii="Arial" w:cs="Arial" w:eastAsia="Arial" w:hAnsi="Arial"/>
          <w:sz w:val="18"/>
          <w:szCs w:val="18"/>
          <w:color w:val="auto"/>
          <w:vertAlign w:val="superscript"/>
        </w:rPr>
        <w:t>SM</w:t>
      </w:r>
    </w:p>
    <w:p>
      <w:pPr>
        <w:ind w:left="440" w:right="1939"/>
        <w:spacing w:after="0" w:line="189" w:lineRule="auto"/>
        <w:rPr>
          <w:sz w:val="20"/>
          <w:szCs w:val="20"/>
          <w:color w:val="auto"/>
        </w:rPr>
      </w:pPr>
      <w:r>
        <w:rPr>
          <w:rFonts w:ascii="Arial" w:cs="Arial" w:eastAsia="Arial" w:hAnsi="Arial"/>
          <w:sz w:val="13"/>
          <w:szCs w:val="13"/>
          <w:color w:val="auto"/>
        </w:rPr>
        <w:t>File No. 333-262390 Brighthouse Shield</w:t>
      </w:r>
      <w:r>
        <w:rPr>
          <w:rFonts w:ascii="Arial" w:cs="Arial" w:eastAsia="Arial" w:hAnsi="Arial"/>
          <w:sz w:val="19"/>
          <w:szCs w:val="19"/>
          <w:color w:val="auto"/>
          <w:vertAlign w:val="superscript"/>
        </w:rPr>
        <w:t>®</w:t>
      </w:r>
      <w:r>
        <w:rPr>
          <w:rFonts w:ascii="Arial" w:cs="Arial" w:eastAsia="Arial" w:hAnsi="Arial"/>
          <w:sz w:val="13"/>
          <w:szCs w:val="13"/>
          <w:color w:val="auto"/>
        </w:rPr>
        <w:t xml:space="preserve"> Level Pay Plus</w:t>
      </w:r>
      <w:r>
        <w:rPr>
          <w:rFonts w:ascii="Arial" w:cs="Arial" w:eastAsia="Arial" w:hAnsi="Arial"/>
          <w:sz w:val="19"/>
          <w:szCs w:val="19"/>
          <w:color w:val="auto"/>
          <w:vertAlign w:val="superscript"/>
        </w:rPr>
        <w:t>SM</w:t>
      </w:r>
      <w:r>
        <w:rPr>
          <w:rFonts w:ascii="Arial" w:cs="Arial" w:eastAsia="Arial" w:hAnsi="Arial"/>
          <w:sz w:val="13"/>
          <w:szCs w:val="13"/>
          <w:color w:val="auto"/>
        </w:rPr>
        <w:t xml:space="preserve"> Annuity and Brighthouse Shield</w:t>
      </w:r>
      <w:r>
        <w:rPr>
          <w:rFonts w:ascii="Arial" w:cs="Arial" w:eastAsia="Arial" w:hAnsi="Arial"/>
          <w:sz w:val="19"/>
          <w:szCs w:val="19"/>
          <w:color w:val="auto"/>
          <w:vertAlign w:val="superscript"/>
        </w:rPr>
        <w:t>®</w:t>
      </w:r>
      <w:r>
        <w:rPr>
          <w:rFonts w:ascii="Arial" w:cs="Arial" w:eastAsia="Arial" w:hAnsi="Arial"/>
          <w:sz w:val="13"/>
          <w:szCs w:val="13"/>
          <w:color w:val="auto"/>
        </w:rPr>
        <w:t xml:space="preserve"> Level Pay Plus</w:t>
      </w:r>
      <w:r>
        <w:rPr>
          <w:rFonts w:ascii="Arial" w:cs="Arial" w:eastAsia="Arial" w:hAnsi="Arial"/>
          <w:sz w:val="19"/>
          <w:szCs w:val="19"/>
          <w:color w:val="auto"/>
          <w:vertAlign w:val="superscript"/>
        </w:rPr>
        <w:t>SM</w:t>
      </w:r>
      <w:r>
        <w:rPr>
          <w:rFonts w:ascii="Arial" w:cs="Arial" w:eastAsia="Arial" w:hAnsi="Arial"/>
          <w:sz w:val="13"/>
          <w:szCs w:val="13"/>
          <w:color w:val="auto"/>
        </w:rPr>
        <w:t xml:space="preserve"> Advisory Annuity File No. 333-259505 Brighthouse Shield</w:t>
      </w:r>
      <w:r>
        <w:rPr>
          <w:rFonts w:ascii="Arial" w:cs="Arial" w:eastAsia="Arial" w:hAnsi="Arial"/>
          <w:sz w:val="19"/>
          <w:szCs w:val="19"/>
          <w:color w:val="auto"/>
          <w:vertAlign w:val="superscript"/>
        </w:rPr>
        <w:t>®</w:t>
      </w:r>
      <w:r>
        <w:rPr>
          <w:rFonts w:ascii="Arial" w:cs="Arial" w:eastAsia="Arial" w:hAnsi="Arial"/>
          <w:sz w:val="13"/>
          <w:szCs w:val="13"/>
          <w:color w:val="auto"/>
        </w:rPr>
        <w:t xml:space="preserve"> Level Select 6-Year Annuity v.3 File No. 333-233240 Brighthouse Shield</w:t>
      </w:r>
      <w:r>
        <w:rPr>
          <w:rFonts w:ascii="Arial" w:cs="Arial" w:eastAsia="Arial" w:hAnsi="Arial"/>
          <w:sz w:val="19"/>
          <w:szCs w:val="19"/>
          <w:color w:val="auto"/>
          <w:vertAlign w:val="superscript"/>
        </w:rPr>
        <w:t>®</w:t>
      </w:r>
      <w:r>
        <w:rPr>
          <w:rFonts w:ascii="Arial" w:cs="Arial" w:eastAsia="Arial" w:hAnsi="Arial"/>
          <w:sz w:val="13"/>
          <w:szCs w:val="13"/>
          <w:color w:val="auto"/>
        </w:rPr>
        <w:t xml:space="preserve"> Level 10 Advisory Annuity</w:t>
      </w:r>
    </w:p>
    <w:p>
      <w:pPr>
        <w:ind w:left="440"/>
        <w:spacing w:after="0" w:line="180" w:lineRule="auto"/>
        <w:rPr>
          <w:sz w:val="20"/>
          <w:szCs w:val="20"/>
          <w:color w:val="auto"/>
        </w:rPr>
      </w:pPr>
      <w:r>
        <w:rPr>
          <w:rFonts w:ascii="Arial" w:cs="Arial" w:eastAsia="Arial" w:hAnsi="Arial"/>
          <w:sz w:val="12"/>
          <w:szCs w:val="12"/>
          <w:color w:val="auto"/>
        </w:rPr>
        <w:t>File No. 333-268427 Brighthouse Shield</w:t>
      </w:r>
      <w:r>
        <w:rPr>
          <w:rFonts w:ascii="Arial" w:cs="Arial" w:eastAsia="Arial" w:hAnsi="Arial"/>
          <w:sz w:val="18"/>
          <w:szCs w:val="18"/>
          <w:color w:val="auto"/>
          <w:vertAlign w:val="superscript"/>
        </w:rPr>
        <w:t>®</w:t>
      </w:r>
      <w:r>
        <w:rPr>
          <w:rFonts w:ascii="Arial" w:cs="Arial" w:eastAsia="Arial" w:hAnsi="Arial"/>
          <w:sz w:val="12"/>
          <w:szCs w:val="12"/>
          <w:color w:val="auto"/>
        </w:rPr>
        <w:t xml:space="preserve"> Level Select Advisory Annuity</w:t>
      </w:r>
    </w:p>
    <w:p>
      <w:pPr>
        <w:ind w:left="440"/>
        <w:spacing w:after="0" w:line="189" w:lineRule="auto"/>
        <w:rPr>
          <w:sz w:val="20"/>
          <w:szCs w:val="20"/>
          <w:color w:val="auto"/>
        </w:rPr>
      </w:pPr>
      <w:r>
        <w:rPr>
          <w:rFonts w:ascii="Arial" w:cs="Arial" w:eastAsia="Arial" w:hAnsi="Arial"/>
          <w:sz w:val="12"/>
          <w:szCs w:val="12"/>
          <w:color w:val="auto"/>
        </w:rPr>
        <w:t>File No. 333-263492 Brighthouse Shield</w:t>
      </w:r>
      <w:r>
        <w:rPr>
          <w:rFonts w:ascii="Arial" w:cs="Arial" w:eastAsia="Arial" w:hAnsi="Arial"/>
          <w:sz w:val="17"/>
          <w:szCs w:val="17"/>
          <w:color w:val="auto"/>
          <w:vertAlign w:val="superscript"/>
        </w:rPr>
        <w:t>®</w:t>
      </w:r>
      <w:r>
        <w:rPr>
          <w:rFonts w:ascii="Arial" w:cs="Arial" w:eastAsia="Arial" w:hAnsi="Arial"/>
          <w:sz w:val="12"/>
          <w:szCs w:val="12"/>
          <w:color w:val="auto"/>
        </w:rPr>
        <w:t xml:space="preserve"> Level Select 6-Year Annuity</w:t>
      </w:r>
    </w:p>
    <w:p>
      <w:pPr>
        <w:ind w:left="440"/>
        <w:spacing w:after="0" w:line="189" w:lineRule="auto"/>
        <w:rPr>
          <w:sz w:val="20"/>
          <w:szCs w:val="20"/>
          <w:color w:val="auto"/>
        </w:rPr>
      </w:pPr>
      <w:r>
        <w:rPr>
          <w:rFonts w:ascii="Arial" w:cs="Arial" w:eastAsia="Arial" w:hAnsi="Arial"/>
          <w:sz w:val="12"/>
          <w:szCs w:val="12"/>
          <w:color w:val="auto"/>
        </w:rPr>
        <w:t>File No. 333-263495 Brighthouse Shield</w:t>
      </w:r>
      <w:r>
        <w:rPr>
          <w:rFonts w:ascii="Arial" w:cs="Arial" w:eastAsia="Arial" w:hAnsi="Arial"/>
          <w:sz w:val="17"/>
          <w:szCs w:val="17"/>
          <w:color w:val="auto"/>
          <w:vertAlign w:val="superscript"/>
        </w:rPr>
        <w:t>®</w:t>
      </w:r>
      <w:r>
        <w:rPr>
          <w:rFonts w:ascii="Arial" w:cs="Arial" w:eastAsia="Arial" w:hAnsi="Arial"/>
          <w:sz w:val="12"/>
          <w:szCs w:val="12"/>
          <w:color w:val="auto"/>
        </w:rPr>
        <w:t xml:space="preserve"> Level Select 3-Year Annuity</w:t>
      </w:r>
    </w:p>
    <w:p>
      <w:pPr>
        <w:ind w:left="440"/>
        <w:spacing w:after="0" w:line="190" w:lineRule="auto"/>
        <w:rPr>
          <w:sz w:val="20"/>
          <w:szCs w:val="20"/>
          <w:color w:val="auto"/>
        </w:rPr>
      </w:pPr>
      <w:r>
        <w:rPr>
          <w:rFonts w:ascii="Arial" w:cs="Arial" w:eastAsia="Arial" w:hAnsi="Arial"/>
          <w:sz w:val="12"/>
          <w:szCs w:val="12"/>
          <w:color w:val="auto"/>
        </w:rPr>
        <w:t>File No. 333-238213 Brighthouse Shield</w:t>
      </w:r>
      <w:r>
        <w:rPr>
          <w:rFonts w:ascii="Arial" w:cs="Arial" w:eastAsia="Arial" w:hAnsi="Arial"/>
          <w:sz w:val="17"/>
          <w:szCs w:val="17"/>
          <w:color w:val="auto"/>
          <w:vertAlign w:val="superscript"/>
        </w:rPr>
        <w:t>®</w:t>
      </w:r>
      <w:r>
        <w:rPr>
          <w:rFonts w:ascii="Arial" w:cs="Arial" w:eastAsia="Arial" w:hAnsi="Arial"/>
          <w:sz w:val="12"/>
          <w:szCs w:val="12"/>
          <w:color w:val="auto"/>
        </w:rPr>
        <w:t xml:space="preserve"> Level 10 Annuity</w:t>
      </w:r>
    </w:p>
    <w:p>
      <w:pPr>
        <w:ind w:left="440"/>
        <w:spacing w:after="0" w:line="189" w:lineRule="auto"/>
        <w:rPr>
          <w:sz w:val="20"/>
          <w:szCs w:val="20"/>
          <w:color w:val="auto"/>
        </w:rPr>
      </w:pPr>
      <w:r>
        <w:rPr>
          <w:rFonts w:ascii="Arial" w:cs="Arial" w:eastAsia="Arial" w:hAnsi="Arial"/>
          <w:sz w:val="12"/>
          <w:szCs w:val="12"/>
          <w:color w:val="auto"/>
        </w:rPr>
        <w:t>File No. 333-208664 Brighthouse Shield Level Selector</w:t>
      </w:r>
      <w:r>
        <w:rPr>
          <w:rFonts w:ascii="Arial" w:cs="Arial" w:eastAsia="Arial" w:hAnsi="Arial"/>
          <w:sz w:val="17"/>
          <w:szCs w:val="17"/>
          <w:color w:val="auto"/>
          <w:vertAlign w:val="superscript"/>
        </w:rPr>
        <w:t>®</w:t>
      </w:r>
      <w:r>
        <w:rPr>
          <w:rFonts w:ascii="Arial" w:cs="Arial" w:eastAsia="Arial" w:hAnsi="Arial"/>
          <w:sz w:val="12"/>
          <w:szCs w:val="12"/>
          <w:color w:val="auto"/>
        </w:rPr>
        <w:t xml:space="preserve"> Annuity</w:t>
      </w:r>
    </w:p>
    <w:p>
      <w:pPr>
        <w:ind w:left="440"/>
        <w:spacing w:after="0" w:line="190" w:lineRule="auto"/>
        <w:rPr>
          <w:sz w:val="20"/>
          <w:szCs w:val="20"/>
          <w:color w:val="auto"/>
        </w:rPr>
      </w:pPr>
      <w:r>
        <w:rPr>
          <w:rFonts w:ascii="Arial" w:cs="Arial" w:eastAsia="Arial" w:hAnsi="Arial"/>
          <w:sz w:val="12"/>
          <w:szCs w:val="12"/>
          <w:color w:val="auto"/>
        </w:rPr>
        <w:t>File No. 333-207091 Brighthouse Shield Level Selector</w:t>
      </w:r>
      <w:r>
        <w:rPr>
          <w:rFonts w:ascii="Arial" w:cs="Arial" w:eastAsia="Arial" w:hAnsi="Arial"/>
          <w:sz w:val="17"/>
          <w:szCs w:val="17"/>
          <w:color w:val="auto"/>
          <w:vertAlign w:val="superscript"/>
        </w:rPr>
        <w:t>®</w:t>
      </w:r>
      <w:r>
        <w:rPr>
          <w:rFonts w:ascii="Arial" w:cs="Arial" w:eastAsia="Arial" w:hAnsi="Arial"/>
          <w:sz w:val="12"/>
          <w:szCs w:val="12"/>
          <w:color w:val="auto"/>
        </w:rPr>
        <w:t xml:space="preserve"> 3-Year Annuity</w:t>
      </w:r>
    </w:p>
    <w:p>
      <w:pPr>
        <w:ind w:left="440"/>
        <w:spacing w:after="0" w:line="230" w:lineRule="auto"/>
        <w:rPr>
          <w:sz w:val="20"/>
          <w:szCs w:val="20"/>
          <w:color w:val="auto"/>
        </w:rPr>
      </w:pPr>
      <w:r>
        <w:rPr>
          <w:rFonts w:ascii="Arial" w:cs="Arial" w:eastAsia="Arial" w:hAnsi="Arial"/>
          <w:sz w:val="14"/>
          <w:szCs w:val="14"/>
          <w:color w:val="auto"/>
        </w:rPr>
        <w:t>File No. 333-276468 Registered Fixed Account Option</w:t>
      </w:r>
    </w:p>
    <w:p>
      <w:pPr>
        <w:ind w:left="440"/>
        <w:spacing w:after="0" w:line="230" w:lineRule="auto"/>
        <w:rPr>
          <w:sz w:val="20"/>
          <w:szCs w:val="20"/>
          <w:color w:val="auto"/>
        </w:rPr>
      </w:pPr>
      <w:r>
        <w:rPr>
          <w:rFonts w:ascii="Arial" w:cs="Arial" w:eastAsia="Arial" w:hAnsi="Arial"/>
          <w:sz w:val="14"/>
          <w:szCs w:val="14"/>
          <w:color w:val="auto"/>
        </w:rPr>
        <w:t>File No. 333-276469 Fixed Annuity (Strategic Value Annuity)</w:t>
      </w:r>
    </w:p>
    <w:p>
      <w:pPr>
        <w:ind w:left="440"/>
        <w:spacing w:after="0" w:line="230" w:lineRule="auto"/>
        <w:rPr>
          <w:sz w:val="20"/>
          <w:szCs w:val="20"/>
          <w:color w:val="auto"/>
        </w:rPr>
      </w:pPr>
      <w:r>
        <w:rPr>
          <w:rFonts w:ascii="Arial" w:cs="Arial" w:eastAsia="Arial" w:hAnsi="Arial"/>
          <w:sz w:val="14"/>
          <w:szCs w:val="14"/>
          <w:color w:val="auto"/>
        </w:rPr>
        <w:t>File No. 333-276470 Brighthouse Retirement Account Liquidity Benefit</w:t>
      </w:r>
    </w:p>
    <w:p>
      <w:pPr>
        <w:ind w:left="440"/>
        <w:spacing w:after="0" w:line="189" w:lineRule="auto"/>
        <w:rPr>
          <w:sz w:val="20"/>
          <w:szCs w:val="20"/>
          <w:color w:val="auto"/>
        </w:rPr>
      </w:pPr>
      <w:r>
        <w:rPr>
          <w:rFonts w:ascii="Arial" w:cs="Arial" w:eastAsia="Arial" w:hAnsi="Arial"/>
          <w:sz w:val="12"/>
          <w:szCs w:val="12"/>
          <w:color w:val="auto"/>
        </w:rPr>
        <w:t>File No. 333-276599 Brighthouse Shield</w:t>
      </w:r>
      <w:r>
        <w:rPr>
          <w:rFonts w:ascii="Arial" w:cs="Arial" w:eastAsia="Arial" w:hAnsi="Arial"/>
          <w:sz w:val="17"/>
          <w:szCs w:val="17"/>
          <w:color w:val="auto"/>
          <w:vertAlign w:val="superscript"/>
        </w:rPr>
        <w:t>®</w:t>
      </w:r>
      <w:r>
        <w:rPr>
          <w:rFonts w:ascii="Arial" w:cs="Arial" w:eastAsia="Arial" w:hAnsi="Arial"/>
          <w:sz w:val="12"/>
          <w:szCs w:val="12"/>
          <w:color w:val="auto"/>
        </w:rPr>
        <w:t xml:space="preserve"> Level II 6-Year Annuity</w:t>
      </w:r>
    </w:p>
    <w:p>
      <w:pPr>
        <w:ind w:left="440"/>
        <w:spacing w:after="0" w:line="190" w:lineRule="auto"/>
        <w:rPr>
          <w:sz w:val="20"/>
          <w:szCs w:val="20"/>
          <w:color w:val="auto"/>
        </w:rPr>
      </w:pPr>
      <w:r>
        <w:rPr>
          <w:rFonts w:ascii="Arial" w:cs="Arial" w:eastAsia="Arial" w:hAnsi="Arial"/>
          <w:sz w:val="12"/>
          <w:szCs w:val="12"/>
          <w:color w:val="auto"/>
        </w:rPr>
        <w:t>File No. 333-276762 Brighthouse Shield</w:t>
      </w:r>
      <w:r>
        <w:rPr>
          <w:rFonts w:ascii="Arial" w:cs="Arial" w:eastAsia="Arial" w:hAnsi="Arial"/>
          <w:sz w:val="17"/>
          <w:szCs w:val="17"/>
          <w:color w:val="auto"/>
          <w:vertAlign w:val="superscript"/>
        </w:rPr>
        <w:t>®</w:t>
      </w:r>
      <w:r>
        <w:rPr>
          <w:rFonts w:ascii="Arial" w:cs="Arial" w:eastAsia="Arial" w:hAnsi="Arial"/>
          <w:sz w:val="12"/>
          <w:szCs w:val="12"/>
          <w:color w:val="auto"/>
        </w:rPr>
        <w:t xml:space="preserve"> Level II Advisory Annuity</w:t>
      </w:r>
    </w:p>
    <w:p>
      <w:pPr>
        <w:ind w:left="440" w:right="2019"/>
        <w:spacing w:after="0"/>
        <w:rPr>
          <w:sz w:val="20"/>
          <w:szCs w:val="20"/>
          <w:color w:val="auto"/>
        </w:rPr>
      </w:pPr>
      <w:r>
        <w:rPr>
          <w:rFonts w:ascii="Arial" w:cs="Arial" w:eastAsia="Arial" w:hAnsi="Arial"/>
          <w:sz w:val="14"/>
          <w:szCs w:val="14"/>
          <w:color w:val="auto"/>
        </w:rPr>
        <w:t>File No. 333-276763 Brighthouse Shield Level Pay Plus</w:t>
      </w:r>
      <w:r>
        <w:rPr>
          <w:rFonts w:ascii="Arial" w:cs="Arial" w:eastAsia="Arial" w:hAnsi="Arial"/>
          <w:sz w:val="20"/>
          <w:szCs w:val="20"/>
          <w:color w:val="auto"/>
          <w:vertAlign w:val="superscript"/>
        </w:rPr>
        <w:t>®</w:t>
      </w:r>
      <w:r>
        <w:rPr>
          <w:rFonts w:ascii="Arial" w:cs="Arial" w:eastAsia="Arial" w:hAnsi="Arial"/>
          <w:sz w:val="14"/>
          <w:szCs w:val="14"/>
          <w:color w:val="auto"/>
        </w:rPr>
        <w:t xml:space="preserve"> II Annuity and Brighthouse Shield Level Pay Plus</w:t>
      </w:r>
      <w:r>
        <w:rPr>
          <w:rFonts w:ascii="Arial" w:cs="Arial" w:eastAsia="Arial" w:hAnsi="Arial"/>
          <w:sz w:val="20"/>
          <w:szCs w:val="20"/>
          <w:color w:val="auto"/>
          <w:vertAlign w:val="superscript"/>
        </w:rPr>
        <w:t>®</w:t>
      </w:r>
      <w:r>
        <w:rPr>
          <w:rFonts w:ascii="Arial" w:cs="Arial" w:eastAsia="Arial" w:hAnsi="Arial"/>
          <w:sz w:val="14"/>
          <w:szCs w:val="14"/>
          <w:color w:val="auto"/>
        </w:rPr>
        <w:t xml:space="preserve"> II Advisory Annuity File No. 333-279302 Brighthouse Shield</w:t>
      </w:r>
      <w:r>
        <w:rPr>
          <w:rFonts w:ascii="Arial" w:cs="Arial" w:eastAsia="Arial" w:hAnsi="Arial"/>
          <w:sz w:val="20"/>
          <w:szCs w:val="20"/>
          <w:color w:val="auto"/>
          <w:vertAlign w:val="superscript"/>
        </w:rPr>
        <w:t>®</w:t>
      </w:r>
      <w:r>
        <w:rPr>
          <w:rFonts w:ascii="Arial" w:cs="Arial" w:eastAsia="Arial" w:hAnsi="Arial"/>
          <w:sz w:val="14"/>
          <w:szCs w:val="14"/>
          <w:color w:val="auto"/>
        </w:rPr>
        <w:t xml:space="preserve"> Level II 3-Year Annuity T-Mark Fixed Annuity</w:t>
      </w:r>
    </w:p>
    <w:p>
      <w:pPr>
        <w:spacing w:after="0" w:line="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Target Maturity,</w:t>
      </w:r>
    </w:p>
    <w:p>
      <w:pPr>
        <w:spacing w:after="0" w:line="166" w:lineRule="exact"/>
        <w:rPr>
          <w:sz w:val="20"/>
          <w:szCs w:val="20"/>
          <w:color w:val="auto"/>
        </w:rPr>
      </w:pPr>
    </w:p>
    <w:p>
      <w:pPr>
        <w:spacing w:after="0"/>
        <w:tabs>
          <w:tab w:leader="none" w:pos="14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3"/>
          <w:szCs w:val="13"/>
          <w:color w:val="auto"/>
        </w:rPr>
        <w:t>Brighthouse Life Insurance Company (RILA MVA)</w:t>
      </w:r>
    </w:p>
    <w:p>
      <w:pPr>
        <w:spacing w:after="0" w:line="5" w:lineRule="exact"/>
        <w:rPr>
          <w:sz w:val="20"/>
          <w:szCs w:val="20"/>
          <w:color w:val="auto"/>
        </w:rPr>
      </w:pPr>
    </w:p>
    <w:p>
      <w:pPr>
        <w:ind w:left="440" w:right="2019"/>
        <w:spacing w:after="0"/>
        <w:rPr>
          <w:sz w:val="20"/>
          <w:szCs w:val="20"/>
          <w:color w:val="auto"/>
        </w:rPr>
      </w:pPr>
      <w:r>
        <w:rPr>
          <w:rFonts w:ascii="Arial" w:cs="Arial" w:eastAsia="Arial" w:hAnsi="Arial"/>
          <w:sz w:val="13"/>
          <w:szCs w:val="13"/>
          <w:color w:val="auto"/>
        </w:rPr>
        <w:t>File No. 333-282752 Brighthouse Shield Level Pay Plus</w:t>
      </w:r>
      <w:r>
        <w:rPr>
          <w:rFonts w:ascii="Arial" w:cs="Arial" w:eastAsia="Arial" w:hAnsi="Arial"/>
          <w:sz w:val="19"/>
          <w:szCs w:val="19"/>
          <w:color w:val="auto"/>
          <w:vertAlign w:val="superscript"/>
        </w:rPr>
        <w:t>®</w:t>
      </w:r>
      <w:r>
        <w:rPr>
          <w:rFonts w:ascii="Arial" w:cs="Arial" w:eastAsia="Arial" w:hAnsi="Arial"/>
          <w:sz w:val="13"/>
          <w:szCs w:val="13"/>
          <w:color w:val="auto"/>
        </w:rPr>
        <w:t xml:space="preserve"> II Annuity and Brighthouse Shield Level Pay Plus</w:t>
      </w:r>
      <w:r>
        <w:rPr>
          <w:rFonts w:ascii="Arial" w:cs="Arial" w:eastAsia="Arial" w:hAnsi="Arial"/>
          <w:sz w:val="19"/>
          <w:szCs w:val="19"/>
          <w:color w:val="auto"/>
          <w:vertAlign w:val="superscript"/>
        </w:rPr>
        <w:t>®</w:t>
      </w:r>
      <w:r>
        <w:rPr>
          <w:rFonts w:ascii="Arial" w:cs="Arial" w:eastAsia="Arial" w:hAnsi="Arial"/>
          <w:sz w:val="13"/>
          <w:szCs w:val="13"/>
          <w:color w:val="auto"/>
        </w:rPr>
        <w:t xml:space="preserve"> II Advisory Annuity File No. 333-282871 Brighthouse Shield</w:t>
      </w:r>
      <w:r>
        <w:rPr>
          <w:rFonts w:ascii="Arial" w:cs="Arial" w:eastAsia="Arial" w:hAnsi="Arial"/>
          <w:sz w:val="19"/>
          <w:szCs w:val="19"/>
          <w:color w:val="auto"/>
          <w:vertAlign w:val="superscript"/>
        </w:rPr>
        <w:t>®</w:t>
      </w:r>
      <w:r>
        <w:rPr>
          <w:rFonts w:ascii="Arial" w:cs="Arial" w:eastAsia="Arial" w:hAnsi="Arial"/>
          <w:sz w:val="13"/>
          <w:szCs w:val="13"/>
          <w:color w:val="auto"/>
        </w:rPr>
        <w:t xml:space="preserve"> Level II Advisory Annuity File No. 333-283023 Brighthouse Shield</w:t>
      </w:r>
      <w:r>
        <w:rPr>
          <w:rFonts w:ascii="Arial" w:cs="Arial" w:eastAsia="Arial" w:hAnsi="Arial"/>
          <w:sz w:val="19"/>
          <w:szCs w:val="19"/>
          <w:color w:val="auto"/>
          <w:vertAlign w:val="superscript"/>
        </w:rPr>
        <w:t>®</w:t>
      </w:r>
      <w:r>
        <w:rPr>
          <w:rFonts w:ascii="Arial" w:cs="Arial" w:eastAsia="Arial" w:hAnsi="Arial"/>
          <w:sz w:val="13"/>
          <w:szCs w:val="13"/>
          <w:color w:val="auto"/>
        </w:rPr>
        <w:t xml:space="preserve"> Level II 6-Year Annuity</w:t>
      </w:r>
    </w:p>
    <w:p>
      <w:pPr>
        <w:ind w:left="440"/>
        <w:spacing w:after="0" w:line="188" w:lineRule="auto"/>
        <w:rPr>
          <w:sz w:val="20"/>
          <w:szCs w:val="20"/>
          <w:color w:val="auto"/>
        </w:rPr>
      </w:pPr>
      <w:r>
        <w:rPr>
          <w:rFonts w:ascii="Arial" w:cs="Arial" w:eastAsia="Arial" w:hAnsi="Arial"/>
          <w:sz w:val="14"/>
          <w:szCs w:val="14"/>
          <w:color w:val="auto"/>
        </w:rPr>
        <w:t>File No. 333-283024 Brighthouse Shield</w:t>
      </w:r>
      <w:r>
        <w:rPr>
          <w:rFonts w:ascii="Arial" w:cs="Arial" w:eastAsia="Arial" w:hAnsi="Arial"/>
          <w:sz w:val="20"/>
          <w:szCs w:val="20"/>
          <w:color w:val="auto"/>
          <w:vertAlign w:val="superscript"/>
        </w:rPr>
        <w:t>®</w:t>
      </w:r>
      <w:r>
        <w:rPr>
          <w:rFonts w:ascii="Arial" w:cs="Arial" w:eastAsia="Arial" w:hAnsi="Arial"/>
          <w:sz w:val="14"/>
          <w:szCs w:val="14"/>
          <w:color w:val="auto"/>
        </w:rPr>
        <w:t xml:space="preserve"> Level II 3-Year Annuity</w:t>
      </w:r>
    </w:p>
    <w:p>
      <w:pPr>
        <w:ind w:left="440"/>
        <w:spacing w:after="0" w:line="230" w:lineRule="auto"/>
        <w:rPr>
          <w:sz w:val="20"/>
          <w:szCs w:val="20"/>
          <w:color w:val="auto"/>
        </w:rPr>
      </w:pPr>
      <w:r>
        <w:rPr>
          <w:rFonts w:ascii="Arial" w:cs="Arial" w:eastAsia="Arial" w:hAnsi="Arial"/>
          <w:sz w:val="14"/>
          <w:szCs w:val="14"/>
          <w:color w:val="auto"/>
        </w:rPr>
        <w:t>File No. 333-290021 Fixed Account Annuity (Strategic Value Annuity)</w:t>
      </w:r>
    </w:p>
    <w:p>
      <w:pPr>
        <w:ind w:left="580" w:right="2199" w:hanging="155"/>
        <w:spacing w:after="0" w:line="230" w:lineRule="auto"/>
        <w:rPr>
          <w:sz w:val="20"/>
          <w:szCs w:val="20"/>
          <w:color w:val="auto"/>
        </w:rPr>
      </w:pPr>
      <w:r>
        <w:rPr>
          <w:rFonts w:ascii="Arial" w:cs="Arial" w:eastAsia="Arial" w:hAnsi="Arial"/>
          <w:sz w:val="14"/>
          <w:szCs w:val="14"/>
          <w:color w:val="auto"/>
        </w:rPr>
        <w:t>File No. 333-290022 Gold Track and Registered Fixed Account Option and Gold Track Select and Registered Fixed Account Option</w:t>
      </w:r>
    </w:p>
    <w:p>
      <w:pPr>
        <w:ind w:left="440" w:right="3859"/>
        <w:spacing w:after="0" w:line="247" w:lineRule="auto"/>
        <w:rPr>
          <w:sz w:val="20"/>
          <w:szCs w:val="20"/>
          <w:color w:val="auto"/>
        </w:rPr>
      </w:pPr>
      <w:r>
        <w:rPr>
          <w:rFonts w:ascii="Arial" w:cs="Arial" w:eastAsia="Arial" w:hAnsi="Arial"/>
          <w:sz w:val="13"/>
          <w:szCs w:val="13"/>
          <w:color w:val="auto"/>
        </w:rPr>
        <w:t>File No. 333-290023 Brighthouse Retirement Perspectives and Registered Fixed Account Option File No. 333-290024 Unallocated Group Variable Annuity and Registered Fixed Account Option</w:t>
      </w:r>
    </w:p>
    <w:p>
      <w:pPr>
        <w:spacing w:after="0" w:line="1" w:lineRule="exact"/>
        <w:rPr>
          <w:sz w:val="20"/>
          <w:szCs w:val="20"/>
          <w:color w:val="auto"/>
        </w:rPr>
      </w:pPr>
    </w:p>
    <w:p>
      <w:pPr>
        <w:ind w:left="580" w:right="2159" w:hanging="155"/>
        <w:spacing w:after="0"/>
        <w:rPr>
          <w:sz w:val="20"/>
          <w:szCs w:val="20"/>
          <w:color w:val="auto"/>
        </w:rPr>
      </w:pPr>
      <w:r>
        <w:rPr>
          <w:rFonts w:ascii="Arial" w:cs="Arial" w:eastAsia="Arial" w:hAnsi="Arial"/>
          <w:sz w:val="14"/>
          <w:szCs w:val="14"/>
          <w:color w:val="auto"/>
        </w:rPr>
        <w:t>File No. 333-290025 Brighthouse Retirement Account Annuity, Registered Fixed Account Option and Brighthouse Retirement Account Liquidity Benefit</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color w:val="auto"/>
        </w:rPr>
        <w:t>And new annuities and life products such as:</w:t>
      </w:r>
    </w:p>
    <w:p>
      <w:pPr>
        <w:ind w:left="440"/>
        <w:spacing w:after="0" w:line="237" w:lineRule="auto"/>
        <w:rPr>
          <w:sz w:val="20"/>
          <w:szCs w:val="20"/>
          <w:color w:val="auto"/>
        </w:rPr>
      </w:pPr>
      <w:r>
        <w:rPr>
          <w:rFonts w:ascii="Arial" w:cs="Arial" w:eastAsia="Arial" w:hAnsi="Arial"/>
          <w:sz w:val="14"/>
          <w:szCs w:val="14"/>
          <w:color w:val="auto"/>
        </w:rPr>
        <w:t>Brighthouse Shield Annuity</w:t>
      </w:r>
    </w:p>
    <w:p>
      <w:pPr>
        <w:ind w:left="440"/>
        <w:spacing w:after="0" w:line="230" w:lineRule="auto"/>
        <w:rPr>
          <w:sz w:val="20"/>
          <w:szCs w:val="20"/>
          <w:color w:val="auto"/>
        </w:rPr>
      </w:pPr>
      <w:r>
        <w:rPr>
          <w:rFonts w:ascii="Arial" w:cs="Arial" w:eastAsia="Arial" w:hAnsi="Arial"/>
          <w:sz w:val="14"/>
          <w:szCs w:val="14"/>
          <w:color w:val="auto"/>
        </w:rPr>
        <w:t>Brighthouse Shield 3-Year Annuity</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4"/>
          <w:szCs w:val="14"/>
          <w:color w:val="auto"/>
        </w:rPr>
        <w:t>Brighthouse Shield 6-Year Annuity</w:t>
      </w:r>
    </w:p>
    <w:p>
      <w:pPr>
        <w:sectPr>
          <w:pgSz w:w="11900" w:h="16838" w:orient="portrait"/>
          <w:cols w:equalWidth="0" w:num="1">
            <w:col w:w="10159"/>
          </w:cols>
          <w:pgMar w:left="300" w:top="240" w:right="1440" w:bottom="1440" w:gutter="0" w:footer="0" w:header="0"/>
        </w:sectPr>
      </w:pPr>
    </w:p>
    <w:bookmarkStart w:id="114" w:name="page115"/>
    <w:bookmarkEnd w:id="114"/>
    <w:p>
      <w:pPr>
        <w:ind w:left="44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6">
                      <a:extLst>
                        <a:ext uri="{28A0092B-C50C-407E-A947-70E740481C1C}"/>
                      </a:extLst>
                    </a:blip>
                    <a:srcRect/>
                    <a:stretch>
                      <a:fillRect/>
                    </a:stretch>
                  </pic:blipFill>
                  <pic:spPr bwMode="auto">
                    <a:xfrm>
                      <a:off x="0" y="0"/>
                      <a:ext cx="7203440" cy="32385"/>
                    </a:xfrm>
                    <a:prstGeom prst="rect">
                      <a:avLst/>
                    </a:prstGeom>
                    <a:noFill/>
                  </pic:spPr>
                </pic:pic>
              </a:graphicData>
            </a:graphic>
          </wp:anchor>
        </w:drawing>
        <w:t>Brighthouse Index-linked Life Insurance Policy,</w:t>
      </w:r>
    </w:p>
    <w:p>
      <w:pPr>
        <w:spacing w:after="0" w:line="158" w:lineRule="exact"/>
        <w:rPr>
          <w:sz w:val="20"/>
          <w:szCs w:val="20"/>
          <w:color w:val="auto"/>
        </w:rPr>
      </w:pPr>
    </w:p>
    <w:p>
      <w:pPr>
        <w:ind w:right="1979"/>
        <w:spacing w:after="0" w:line="239" w:lineRule="auto"/>
        <w:rPr>
          <w:sz w:val="20"/>
          <w:szCs w:val="20"/>
          <w:color w:val="auto"/>
        </w:rPr>
      </w:pPr>
      <w:r>
        <w:rPr>
          <w:rFonts w:ascii="Arial" w:cs="Arial" w:eastAsia="Arial" w:hAnsi="Arial"/>
          <w:sz w:val="14"/>
          <w:szCs w:val="14"/>
          <w:color w:val="auto"/>
        </w:rPr>
        <w:t>and to have full power and authority to do or cause to be done in my name, place and stead each and every act and thing necessary or appropriate in order to effectuate the same, as fully to all intents and purposes as I might or could do in person, hereby ratifying and confirming all that said attorneys-in-fact or any of them, may do or cause to be done by virtue hereof. This Power of Attorney does not revoke any prior powers of attorney.</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color w:val="auto"/>
        </w:rPr>
        <w:t>IN WITNESS WHEREOF, I have hereunto set my hand this 3rd day of November 2025.</w:t>
      </w:r>
    </w:p>
    <w:p>
      <w:pPr>
        <w:spacing w:after="0" w:line="322"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/s/ David. A. Rosenbaum</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David A. Rosenbaum</w:t>
      </w:r>
    </w:p>
    <w:p>
      <w:pPr>
        <w:sectPr>
          <w:pgSz w:w="11900" w:h="16838" w:orient="portrait"/>
          <w:cols w:equalWidth="0" w:num="1">
            <w:col w:w="10159"/>
          </w:cols>
          <w:pgMar w:left="300" w:top="240" w:right="1440" w:bottom="1440" w:gutter="0" w:footer="0" w:header="0"/>
        </w:sectPr>
      </w:pPr>
    </w:p>
    <w:bookmarkStart w:id="115" w:name="page116"/>
    <w:bookmarkEnd w:id="115"/>
    <w:p>
      <w:pPr>
        <w:jc w:val="center"/>
        <w:ind w:right="1779"/>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7">
                      <a:extLst>
                        <a:ext uri="{28A0092B-C50C-407E-A947-70E740481C1C}"/>
                      </a:extLst>
                    </a:blip>
                    <a:srcRect/>
                    <a:stretch>
                      <a:fillRect/>
                    </a:stretch>
                  </pic:blipFill>
                  <pic:spPr bwMode="auto">
                    <a:xfrm>
                      <a:off x="0" y="0"/>
                      <a:ext cx="7203440" cy="32385"/>
                    </a:xfrm>
                    <a:prstGeom prst="rect">
                      <a:avLst/>
                    </a:prstGeom>
                    <a:noFill/>
                  </pic:spPr>
                </pic:pic>
              </a:graphicData>
            </a:graphic>
          </wp:anchor>
        </w:drawing>
        <w:t>Brighthouse Life Insurance Company</w:t>
      </w:r>
    </w:p>
    <w:p>
      <w:pPr>
        <w:spacing w:after="0" w:line="158" w:lineRule="exact"/>
        <w:rPr>
          <w:sz w:val="20"/>
          <w:szCs w:val="20"/>
          <w:color w:val="auto"/>
        </w:rPr>
      </w:pPr>
    </w:p>
    <w:p>
      <w:pPr>
        <w:jc w:val="center"/>
        <w:ind w:right="1779"/>
        <w:spacing w:after="0"/>
        <w:rPr>
          <w:sz w:val="20"/>
          <w:szCs w:val="20"/>
          <w:color w:val="auto"/>
        </w:rPr>
      </w:pPr>
      <w:r>
        <w:rPr>
          <w:rFonts w:ascii="Arial" w:cs="Arial" w:eastAsia="Arial" w:hAnsi="Arial"/>
          <w:sz w:val="14"/>
          <w:szCs w:val="14"/>
          <w:color w:val="auto"/>
        </w:rPr>
        <w:t>POWER OF ATTORNEY</w:t>
      </w:r>
    </w:p>
    <w:p>
      <w:pPr>
        <w:spacing w:after="0" w:line="158" w:lineRule="exact"/>
        <w:rPr>
          <w:sz w:val="20"/>
          <w:szCs w:val="20"/>
          <w:color w:val="auto"/>
        </w:rPr>
      </w:pPr>
    </w:p>
    <w:p>
      <w:pPr>
        <w:jc w:val="center"/>
        <w:ind w:right="1779"/>
        <w:spacing w:after="0"/>
        <w:rPr>
          <w:sz w:val="20"/>
          <w:szCs w:val="20"/>
          <w:color w:val="auto"/>
        </w:rPr>
      </w:pPr>
      <w:r>
        <w:rPr>
          <w:rFonts w:ascii="Arial" w:cs="Arial" w:eastAsia="Arial" w:hAnsi="Arial"/>
          <w:sz w:val="14"/>
          <w:szCs w:val="14"/>
          <w:color w:val="auto"/>
        </w:rPr>
        <w:t>Jonathan Rosenthal</w:t>
      </w:r>
    </w:p>
    <w:p>
      <w:pPr>
        <w:spacing w:after="0" w:line="5" w:lineRule="exact"/>
        <w:rPr>
          <w:sz w:val="20"/>
          <w:szCs w:val="20"/>
          <w:color w:val="auto"/>
        </w:rPr>
      </w:pPr>
    </w:p>
    <w:p>
      <w:pPr>
        <w:jc w:val="center"/>
        <w:ind w:right="1779"/>
        <w:spacing w:after="0"/>
        <w:rPr>
          <w:sz w:val="20"/>
          <w:szCs w:val="20"/>
          <w:color w:val="auto"/>
        </w:rPr>
      </w:pPr>
      <w:r>
        <w:rPr>
          <w:rFonts w:ascii="Arial" w:cs="Arial" w:eastAsia="Arial" w:hAnsi="Arial"/>
          <w:sz w:val="14"/>
          <w:szCs w:val="14"/>
          <w:color w:val="auto"/>
        </w:rPr>
        <w:t>Director, Vice President and Chief Investment Officer</w:t>
      </w:r>
    </w:p>
    <w:p>
      <w:pPr>
        <w:spacing w:after="0" w:line="146" w:lineRule="exact"/>
        <w:rPr>
          <w:sz w:val="20"/>
          <w:szCs w:val="20"/>
          <w:color w:val="auto"/>
        </w:rPr>
      </w:pPr>
    </w:p>
    <w:p>
      <w:pPr>
        <w:ind w:right="1779"/>
        <w:spacing w:after="0" w:line="236" w:lineRule="auto"/>
        <w:rPr>
          <w:sz w:val="20"/>
          <w:szCs w:val="20"/>
          <w:color w:val="auto"/>
        </w:rPr>
      </w:pPr>
      <w:r>
        <w:rPr>
          <w:rFonts w:ascii="Arial" w:cs="Arial" w:eastAsia="Arial" w:hAnsi="Arial"/>
          <w:sz w:val="14"/>
          <w:szCs w:val="14"/>
          <w:color w:val="auto"/>
        </w:rPr>
        <w:t>KNOW ALL MEN BY THESE PRESENTS, that I, Jonathan Rosenthal, a Director, Vice President and Chief Investment Officer of Brighthouse Life Insurance Company, a Delaware company (the “Company”), do hereby constitute and appoint Michele H. Abate, Allie Lin, and Alexander Ulianov, as my attorney-in-fact and agent, each of whom may act individually and none of whom is required to act jointly with any of the others, to sign and file on my behalf and to execute and file any instrument or document required to be filed as part of or in connection with or in any way related to, the Registration Statements and any and all amendments thereto filed by the Company under the Securities Act of 1933 and/or the Investment Company Act of 1940, pertaining to:</w:t>
      </w:r>
    </w:p>
    <w:p>
      <w:pPr>
        <w:spacing w:after="0" w:line="140" w:lineRule="exact"/>
        <w:rPr>
          <w:sz w:val="20"/>
          <w:szCs w:val="20"/>
          <w:color w:val="auto"/>
        </w:rPr>
      </w:pPr>
    </w:p>
    <w:p>
      <w:pPr>
        <w:ind w:left="440" w:right="6379" w:hanging="438"/>
        <w:spacing w:after="0" w:line="196" w:lineRule="auto"/>
        <w:tabs>
          <w:tab w:leader="none" w:pos="95" w:val="left"/>
        </w:tabs>
        <w:numPr>
          <w:ilvl w:val="0"/>
          <w:numId w:val="123"/>
        </w:numPr>
        <w:rPr>
          <w:rFonts w:ascii="Arial" w:cs="Arial" w:eastAsia="Arial" w:hAnsi="Arial"/>
          <w:sz w:val="14"/>
          <w:szCs w:val="14"/>
          <w:color w:val="auto"/>
        </w:rPr>
      </w:pPr>
      <w:r>
        <w:rPr>
          <w:rFonts w:ascii="Arial" w:cs="Arial" w:eastAsia="Arial" w:hAnsi="Arial"/>
          <w:sz w:val="14"/>
          <w:szCs w:val="14"/>
          <w:color w:val="auto"/>
        </w:rPr>
        <w:t>Brighthouse Fund UL for Variable Life Insurance (811-03927) File No. 002-88637 MarketLife</w:t>
      </w:r>
      <w:r>
        <w:rPr>
          <w:rFonts w:ascii="Arial" w:cs="Arial" w:eastAsia="Arial" w:hAnsi="Arial"/>
          <w:sz w:val="20"/>
          <w:szCs w:val="20"/>
          <w:color w:val="auto"/>
          <w:vertAlign w:val="superscript"/>
        </w:rPr>
        <w:t>SM</w:t>
      </w:r>
      <w:r>
        <w:rPr>
          <w:rFonts w:ascii="Arial" w:cs="Arial" w:eastAsia="Arial" w:hAnsi="Arial"/>
          <w:sz w:val="14"/>
          <w:szCs w:val="14"/>
          <w:color w:val="auto"/>
        </w:rPr>
        <w:t xml:space="preserve"> and Invest</w:t>
      </w:r>
    </w:p>
    <w:p>
      <w:pPr>
        <w:spacing w:after="0" w:line="1" w:lineRule="exact"/>
        <w:rPr>
          <w:rFonts w:ascii="Arial" w:cs="Arial" w:eastAsia="Arial" w:hAnsi="Arial"/>
          <w:sz w:val="14"/>
          <w:szCs w:val="14"/>
          <w:color w:val="auto"/>
        </w:rPr>
      </w:pPr>
    </w:p>
    <w:p>
      <w:pPr>
        <w:ind w:left="440"/>
        <w:spacing w:after="0" w:line="189" w:lineRule="auto"/>
        <w:rPr>
          <w:rFonts w:ascii="Arial" w:cs="Arial" w:eastAsia="Arial" w:hAnsi="Arial"/>
          <w:sz w:val="14"/>
          <w:szCs w:val="14"/>
          <w:color w:val="auto"/>
        </w:rPr>
      </w:pPr>
      <w:r>
        <w:rPr>
          <w:rFonts w:ascii="Arial" w:cs="Arial" w:eastAsia="Arial" w:hAnsi="Arial"/>
          <w:sz w:val="12"/>
          <w:szCs w:val="12"/>
          <w:color w:val="auto"/>
        </w:rPr>
        <w:t>File No. 333-152219 MarketLife</w:t>
      </w:r>
      <w:r>
        <w:rPr>
          <w:rFonts w:ascii="Arial" w:cs="Arial" w:eastAsia="Arial" w:hAnsi="Arial"/>
          <w:sz w:val="17"/>
          <w:szCs w:val="17"/>
          <w:color w:val="auto"/>
          <w:vertAlign w:val="superscript"/>
        </w:rPr>
        <w:t>SM</w:t>
      </w:r>
    </w:p>
    <w:p>
      <w:pPr>
        <w:ind w:left="440" w:right="6099"/>
        <w:spacing w:after="0" w:line="247" w:lineRule="auto"/>
        <w:rPr>
          <w:rFonts w:ascii="Arial" w:cs="Arial" w:eastAsia="Arial" w:hAnsi="Arial"/>
          <w:sz w:val="14"/>
          <w:szCs w:val="14"/>
          <w:color w:val="auto"/>
        </w:rPr>
      </w:pPr>
      <w:r>
        <w:rPr>
          <w:rFonts w:ascii="Arial" w:cs="Arial" w:eastAsia="Arial" w:hAnsi="Arial"/>
          <w:sz w:val="13"/>
          <w:szCs w:val="13"/>
          <w:color w:val="auto"/>
        </w:rPr>
        <w:t>File No. 333-56952 Brighthouse Variable Survivorship Life II File No. 333-69771 Brighthouse Variable Survivorship Life</w:t>
      </w:r>
    </w:p>
    <w:p>
      <w:pPr>
        <w:ind w:left="440" w:right="2939"/>
        <w:spacing w:after="0" w:line="230" w:lineRule="auto"/>
        <w:rPr>
          <w:rFonts w:ascii="Arial" w:cs="Arial" w:eastAsia="Arial" w:hAnsi="Arial"/>
          <w:sz w:val="14"/>
          <w:szCs w:val="14"/>
          <w:color w:val="auto"/>
        </w:rPr>
      </w:pPr>
      <w:r>
        <w:rPr>
          <w:rFonts w:ascii="Arial" w:cs="Arial" w:eastAsia="Arial" w:hAnsi="Arial"/>
          <w:sz w:val="14"/>
          <w:szCs w:val="14"/>
          <w:color w:val="auto"/>
        </w:rPr>
        <w:t>File No. 333-96515 Brighthouse Variable Life Accumulator and Brighthouse Variable Life Accumulator - Series 2 File No. 333-96519 Brighthouse Variable Life</w:t>
      </w:r>
    </w:p>
    <w:p>
      <w:pPr>
        <w:ind w:left="440" w:right="5499"/>
        <w:spacing w:after="0" w:line="230" w:lineRule="auto"/>
        <w:rPr>
          <w:rFonts w:ascii="Arial" w:cs="Arial" w:eastAsia="Arial" w:hAnsi="Arial"/>
          <w:sz w:val="14"/>
          <w:szCs w:val="14"/>
          <w:color w:val="auto"/>
        </w:rPr>
      </w:pPr>
      <w:r>
        <w:rPr>
          <w:rFonts w:ascii="Arial" w:cs="Arial" w:eastAsia="Arial" w:hAnsi="Arial"/>
          <w:sz w:val="14"/>
          <w:szCs w:val="14"/>
          <w:color w:val="auto"/>
        </w:rPr>
        <w:t>File No. 333-113109 Brighthouse Variable Life Accumulator - Series 3 File No. 333-152216 Portfolio Architect Life</w:t>
      </w:r>
    </w:p>
    <w:p>
      <w:pPr>
        <w:ind w:left="440"/>
        <w:spacing w:after="0"/>
        <w:rPr>
          <w:rFonts w:ascii="Arial" w:cs="Arial" w:eastAsia="Arial" w:hAnsi="Arial"/>
          <w:sz w:val="14"/>
          <w:szCs w:val="14"/>
          <w:color w:val="auto"/>
        </w:rPr>
      </w:pPr>
      <w:r>
        <w:rPr>
          <w:rFonts w:ascii="Arial" w:cs="Arial" w:eastAsia="Arial" w:hAnsi="Arial"/>
          <w:sz w:val="14"/>
          <w:szCs w:val="14"/>
          <w:color w:val="auto"/>
        </w:rPr>
        <w:t>File No. 333-152217 VintageLife,</w:t>
      </w:r>
    </w:p>
    <w:p>
      <w:pPr>
        <w:spacing w:after="0" w:line="166" w:lineRule="exact"/>
        <w:rPr>
          <w:rFonts w:ascii="Arial" w:cs="Arial" w:eastAsia="Arial" w:hAnsi="Arial"/>
          <w:sz w:val="14"/>
          <w:szCs w:val="14"/>
          <w:color w:val="auto"/>
        </w:rPr>
      </w:pPr>
    </w:p>
    <w:p>
      <w:pPr>
        <w:ind w:left="160" w:hanging="158"/>
        <w:spacing w:after="0"/>
        <w:tabs>
          <w:tab w:leader="none" w:pos="160" w:val="left"/>
        </w:tabs>
        <w:numPr>
          <w:ilvl w:val="0"/>
          <w:numId w:val="123"/>
        </w:numPr>
        <w:rPr>
          <w:rFonts w:ascii="Arial" w:cs="Arial" w:eastAsia="Arial" w:hAnsi="Arial"/>
          <w:sz w:val="14"/>
          <w:szCs w:val="14"/>
          <w:color w:val="auto"/>
        </w:rPr>
      </w:pPr>
      <w:r>
        <w:rPr>
          <w:rFonts w:ascii="Arial" w:cs="Arial" w:eastAsia="Arial" w:hAnsi="Arial"/>
          <w:sz w:val="14"/>
          <w:szCs w:val="14"/>
          <w:color w:val="auto"/>
        </w:rPr>
        <w:t>Brighthouse Fund UL III for Variable Life Insurance (811-09215)</w:t>
      </w:r>
    </w:p>
    <w:p>
      <w:pPr>
        <w:ind w:left="440"/>
        <w:spacing w:after="0" w:line="237" w:lineRule="auto"/>
        <w:rPr>
          <w:sz w:val="20"/>
          <w:szCs w:val="20"/>
          <w:color w:val="auto"/>
        </w:rPr>
      </w:pPr>
      <w:r>
        <w:rPr>
          <w:rFonts w:ascii="Arial" w:cs="Arial" w:eastAsia="Arial" w:hAnsi="Arial"/>
          <w:sz w:val="14"/>
          <w:szCs w:val="14"/>
          <w:color w:val="auto"/>
        </w:rPr>
        <w:t>File No. 333-71349 Corporate Owned VUL Series 1</w:t>
      </w:r>
    </w:p>
    <w:p>
      <w:pPr>
        <w:ind w:left="440"/>
        <w:spacing w:after="0" w:line="230" w:lineRule="auto"/>
        <w:rPr>
          <w:sz w:val="20"/>
          <w:szCs w:val="20"/>
          <w:color w:val="auto"/>
        </w:rPr>
      </w:pPr>
      <w:r>
        <w:rPr>
          <w:rFonts w:ascii="Arial" w:cs="Arial" w:eastAsia="Arial" w:hAnsi="Arial"/>
          <w:sz w:val="14"/>
          <w:szCs w:val="14"/>
          <w:color w:val="auto"/>
        </w:rPr>
        <w:t>File No. 333-94779 Corporate Owned VUL 2000 and Corporate Owned VUL III</w:t>
      </w:r>
    </w:p>
    <w:p>
      <w:pPr>
        <w:ind w:left="440"/>
        <w:spacing w:after="0" w:line="230" w:lineRule="auto"/>
        <w:rPr>
          <w:sz w:val="20"/>
          <w:szCs w:val="20"/>
          <w:color w:val="auto"/>
        </w:rPr>
      </w:pPr>
      <w:r>
        <w:rPr>
          <w:rFonts w:ascii="Arial" w:cs="Arial" w:eastAsia="Arial" w:hAnsi="Arial"/>
          <w:sz w:val="14"/>
          <w:szCs w:val="14"/>
          <w:color w:val="auto"/>
        </w:rPr>
        <w:t>File No. 333-105335 Corporate Select Policy</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4"/>
          <w:szCs w:val="14"/>
          <w:color w:val="auto"/>
        </w:rPr>
        <w:t>File No. 333-113533 Corporate Owned VUL IV,</w:t>
      </w:r>
    </w:p>
    <w:p>
      <w:pPr>
        <w:spacing w:after="0" w:line="166" w:lineRule="exact"/>
        <w:rPr>
          <w:sz w:val="20"/>
          <w:szCs w:val="20"/>
          <w:color w:val="auto"/>
        </w:rPr>
      </w:pPr>
    </w:p>
    <w:p>
      <w:pPr>
        <w:spacing w:after="0"/>
        <w:tabs>
          <w:tab w:leader="none" w:pos="14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3"/>
          <w:szCs w:val="13"/>
          <w:color w:val="auto"/>
        </w:rPr>
        <w:t>Brighthouse Separate Account A (811-03365)</w:t>
      </w:r>
    </w:p>
    <w:p>
      <w:pPr>
        <w:ind w:left="440"/>
        <w:spacing w:after="0" w:line="237" w:lineRule="auto"/>
        <w:rPr>
          <w:sz w:val="20"/>
          <w:szCs w:val="20"/>
          <w:color w:val="auto"/>
        </w:rPr>
      </w:pPr>
      <w:r>
        <w:rPr>
          <w:rFonts w:ascii="Arial" w:cs="Arial" w:eastAsia="Arial" w:hAnsi="Arial"/>
          <w:sz w:val="14"/>
          <w:szCs w:val="14"/>
          <w:color w:val="auto"/>
        </w:rPr>
        <w:t>File No. 333-200231 Series VA (offered between October 7, 2011 and May 1, 2016)</w:t>
      </w:r>
    </w:p>
    <w:p>
      <w:pPr>
        <w:spacing w:after="0" w:line="1" w:lineRule="exact"/>
        <w:rPr>
          <w:sz w:val="20"/>
          <w:szCs w:val="20"/>
          <w:color w:val="auto"/>
        </w:rPr>
      </w:pPr>
    </w:p>
    <w:p>
      <w:pPr>
        <w:ind w:left="580" w:right="1899" w:hanging="155"/>
        <w:spacing w:after="0" w:line="229" w:lineRule="auto"/>
        <w:rPr>
          <w:sz w:val="20"/>
          <w:szCs w:val="20"/>
          <w:color w:val="auto"/>
        </w:rPr>
      </w:pPr>
      <w:r>
        <w:rPr>
          <w:rFonts w:ascii="Arial" w:cs="Arial" w:eastAsia="Arial" w:hAnsi="Arial"/>
          <w:sz w:val="14"/>
          <w:szCs w:val="14"/>
          <w:color w:val="auto"/>
        </w:rPr>
        <w:t>File No. 333-200232 Series S (offered between October 7, 2011 and May 1, 2016) and Series S-L Share Option (offered between October 7, 2011 and May 1, 2016)</w:t>
      </w:r>
    </w:p>
    <w:p>
      <w:pPr>
        <w:ind w:left="440"/>
        <w:spacing w:after="0" w:line="232" w:lineRule="auto"/>
        <w:rPr>
          <w:sz w:val="20"/>
          <w:szCs w:val="20"/>
          <w:color w:val="auto"/>
        </w:rPr>
      </w:pPr>
      <w:r>
        <w:rPr>
          <w:rFonts w:ascii="Arial" w:cs="Arial" w:eastAsia="Arial" w:hAnsi="Arial"/>
          <w:sz w:val="14"/>
          <w:szCs w:val="14"/>
          <w:color w:val="auto"/>
        </w:rPr>
        <w:t>File No. 333-200233 Series VA-4 (offered between October 7, 2011 and May 1, 2016)</w:t>
      </w:r>
    </w:p>
    <w:p>
      <w:pPr>
        <w:ind w:left="440"/>
        <w:spacing w:after="0" w:line="230" w:lineRule="auto"/>
        <w:rPr>
          <w:sz w:val="20"/>
          <w:szCs w:val="20"/>
          <w:color w:val="auto"/>
        </w:rPr>
      </w:pPr>
      <w:r>
        <w:rPr>
          <w:rFonts w:ascii="Arial" w:cs="Arial" w:eastAsia="Arial" w:hAnsi="Arial"/>
          <w:sz w:val="14"/>
          <w:szCs w:val="14"/>
          <w:color w:val="auto"/>
        </w:rPr>
        <w:t>File No. 333-200234 Series O (offered between April 30, 2012 and July 19, 2015)</w:t>
      </w:r>
    </w:p>
    <w:p>
      <w:pPr>
        <w:ind w:left="440"/>
        <w:spacing w:after="0" w:line="230" w:lineRule="auto"/>
        <w:rPr>
          <w:sz w:val="20"/>
          <w:szCs w:val="20"/>
          <w:color w:val="auto"/>
        </w:rPr>
      </w:pPr>
      <w:r>
        <w:rPr>
          <w:rFonts w:ascii="Arial" w:cs="Arial" w:eastAsia="Arial" w:hAnsi="Arial"/>
          <w:sz w:val="14"/>
          <w:szCs w:val="14"/>
          <w:color w:val="auto"/>
        </w:rPr>
        <w:t>File No. 333-200236 Series L - 4 Year (offered on and after April 29, 2013)</w:t>
      </w:r>
    </w:p>
    <w:p>
      <w:pPr>
        <w:ind w:left="440"/>
        <w:spacing w:after="0" w:line="230" w:lineRule="auto"/>
        <w:rPr>
          <w:sz w:val="20"/>
          <w:szCs w:val="20"/>
          <w:color w:val="auto"/>
        </w:rPr>
      </w:pPr>
      <w:r>
        <w:rPr>
          <w:rFonts w:ascii="Arial" w:cs="Arial" w:eastAsia="Arial" w:hAnsi="Arial"/>
          <w:sz w:val="14"/>
          <w:szCs w:val="14"/>
          <w:color w:val="auto"/>
        </w:rPr>
        <w:t>File No. 333-200237 PrimElite IV</w:t>
      </w:r>
    </w:p>
    <w:p>
      <w:pPr>
        <w:ind w:left="440"/>
        <w:spacing w:after="0" w:line="229" w:lineRule="auto"/>
        <w:rPr>
          <w:sz w:val="20"/>
          <w:szCs w:val="20"/>
          <w:color w:val="auto"/>
        </w:rPr>
      </w:pPr>
      <w:r>
        <w:rPr>
          <w:rFonts w:ascii="Arial" w:cs="Arial" w:eastAsia="Arial" w:hAnsi="Arial"/>
          <w:sz w:val="14"/>
          <w:szCs w:val="14"/>
          <w:color w:val="auto"/>
        </w:rPr>
        <w:t>File No. 333-200238 Marquis Portfolios (offered on and after April 30, 2012)</w:t>
      </w:r>
    </w:p>
    <w:p>
      <w:pPr>
        <w:ind w:left="440"/>
        <w:spacing w:after="0" w:line="231" w:lineRule="auto"/>
        <w:rPr>
          <w:sz w:val="20"/>
          <w:szCs w:val="20"/>
          <w:color w:val="auto"/>
        </w:rPr>
      </w:pPr>
      <w:r>
        <w:rPr>
          <w:rFonts w:ascii="Arial" w:cs="Arial" w:eastAsia="Arial" w:hAnsi="Arial"/>
          <w:sz w:val="14"/>
          <w:szCs w:val="14"/>
          <w:color w:val="auto"/>
        </w:rPr>
        <w:t>File No. 333-200239 Brighthouse Growth and Income</w:t>
      </w:r>
    </w:p>
    <w:p>
      <w:pPr>
        <w:ind w:left="440"/>
        <w:spacing w:after="0" w:line="230" w:lineRule="auto"/>
        <w:rPr>
          <w:sz w:val="20"/>
          <w:szCs w:val="20"/>
          <w:color w:val="auto"/>
        </w:rPr>
      </w:pPr>
      <w:r>
        <w:rPr>
          <w:rFonts w:ascii="Arial" w:cs="Arial" w:eastAsia="Arial" w:hAnsi="Arial"/>
          <w:sz w:val="14"/>
          <w:szCs w:val="14"/>
          <w:color w:val="auto"/>
        </w:rPr>
        <w:t>File No. 333-200240 Group Flexible Payment Variable Annuity (Flexible Bonus/Retirement Companion/Smart Choice)</w:t>
      </w:r>
    </w:p>
    <w:p>
      <w:pPr>
        <w:ind w:left="440"/>
        <w:spacing w:after="0" w:line="230" w:lineRule="auto"/>
        <w:rPr>
          <w:sz w:val="20"/>
          <w:szCs w:val="20"/>
          <w:color w:val="auto"/>
        </w:rPr>
      </w:pPr>
      <w:r>
        <w:rPr>
          <w:rFonts w:ascii="Arial" w:cs="Arial" w:eastAsia="Arial" w:hAnsi="Arial"/>
          <w:sz w:val="14"/>
          <w:szCs w:val="14"/>
          <w:color w:val="auto"/>
        </w:rPr>
        <w:t>File No. 333-200243 PrimElite III</w:t>
      </w:r>
    </w:p>
    <w:p>
      <w:pPr>
        <w:ind w:left="440"/>
        <w:spacing w:after="0" w:line="189" w:lineRule="auto"/>
        <w:rPr>
          <w:sz w:val="20"/>
          <w:szCs w:val="20"/>
          <w:color w:val="auto"/>
        </w:rPr>
      </w:pPr>
      <w:r>
        <w:rPr>
          <w:rFonts w:ascii="Arial" w:cs="Arial" w:eastAsia="Arial" w:hAnsi="Arial"/>
          <w:sz w:val="12"/>
          <w:szCs w:val="12"/>
          <w:color w:val="auto"/>
        </w:rPr>
        <w:t>File No. 333-200246 Brighthouse Simple Solutions</w:t>
      </w:r>
      <w:r>
        <w:rPr>
          <w:rFonts w:ascii="Arial" w:cs="Arial" w:eastAsia="Arial" w:hAnsi="Arial"/>
          <w:sz w:val="17"/>
          <w:szCs w:val="17"/>
          <w:color w:val="auto"/>
          <w:vertAlign w:val="superscript"/>
        </w:rPr>
        <w:t>SM</w:t>
      </w:r>
    </w:p>
    <w:p>
      <w:pPr>
        <w:ind w:left="440"/>
        <w:spacing w:after="0" w:line="230" w:lineRule="auto"/>
        <w:rPr>
          <w:sz w:val="20"/>
          <w:szCs w:val="20"/>
          <w:color w:val="auto"/>
        </w:rPr>
      </w:pPr>
      <w:r>
        <w:rPr>
          <w:rFonts w:ascii="Arial" w:cs="Arial" w:eastAsia="Arial" w:hAnsi="Arial"/>
          <w:sz w:val="14"/>
          <w:szCs w:val="14"/>
          <w:color w:val="auto"/>
        </w:rPr>
        <w:t>File No. 333-200250 Marquis Portfolios (offered between November 7, 2005 and April 30, 2012)</w:t>
      </w:r>
    </w:p>
    <w:p>
      <w:pPr>
        <w:ind w:left="440"/>
        <w:spacing w:after="0" w:line="230" w:lineRule="auto"/>
        <w:rPr>
          <w:sz w:val="20"/>
          <w:szCs w:val="20"/>
          <w:color w:val="auto"/>
        </w:rPr>
      </w:pPr>
      <w:r>
        <w:rPr>
          <w:rFonts w:ascii="Arial" w:cs="Arial" w:eastAsia="Arial" w:hAnsi="Arial"/>
          <w:sz w:val="14"/>
          <w:szCs w:val="14"/>
          <w:color w:val="auto"/>
        </w:rPr>
        <w:t>File No. 333-200253 Series XC</w:t>
      </w:r>
    </w:p>
    <w:p>
      <w:pPr>
        <w:ind w:left="440"/>
        <w:spacing w:after="0" w:line="230" w:lineRule="auto"/>
        <w:rPr>
          <w:sz w:val="20"/>
          <w:szCs w:val="20"/>
          <w:color w:val="auto"/>
        </w:rPr>
      </w:pPr>
      <w:r>
        <w:rPr>
          <w:rFonts w:ascii="Arial" w:cs="Arial" w:eastAsia="Arial" w:hAnsi="Arial"/>
          <w:sz w:val="14"/>
          <w:szCs w:val="14"/>
          <w:color w:val="auto"/>
        </w:rPr>
        <w:t>File No. 333-200256 Series VA (offered between March 22, 2001 and October 7, 2011)</w:t>
      </w:r>
    </w:p>
    <w:p>
      <w:pPr>
        <w:ind w:left="440"/>
        <w:spacing w:after="0" w:line="230" w:lineRule="auto"/>
        <w:rPr>
          <w:sz w:val="20"/>
          <w:szCs w:val="20"/>
          <w:color w:val="auto"/>
        </w:rPr>
      </w:pPr>
      <w:r>
        <w:rPr>
          <w:rFonts w:ascii="Arial" w:cs="Arial" w:eastAsia="Arial" w:hAnsi="Arial"/>
          <w:sz w:val="14"/>
          <w:szCs w:val="14"/>
          <w:color w:val="auto"/>
        </w:rPr>
        <w:t>File No. 333-200259 Series L and Series L - 4 Year (offered between November 22, 2004 and October 7, 2011)</w:t>
      </w:r>
    </w:p>
    <w:p>
      <w:pPr>
        <w:ind w:left="440"/>
        <w:spacing w:after="0" w:line="230" w:lineRule="auto"/>
        <w:rPr>
          <w:sz w:val="20"/>
          <w:szCs w:val="20"/>
          <w:color w:val="auto"/>
        </w:rPr>
      </w:pPr>
      <w:r>
        <w:rPr>
          <w:rFonts w:ascii="Arial" w:cs="Arial" w:eastAsia="Arial" w:hAnsi="Arial"/>
          <w:sz w:val="14"/>
          <w:szCs w:val="14"/>
          <w:color w:val="auto"/>
        </w:rPr>
        <w:t>File No. 333-200261 Series C (offered between September 4, 2001 and October 7, 2011)</w:t>
      </w:r>
    </w:p>
    <w:p>
      <w:pPr>
        <w:ind w:left="440"/>
        <w:spacing w:after="0" w:line="230" w:lineRule="auto"/>
        <w:rPr>
          <w:sz w:val="20"/>
          <w:szCs w:val="20"/>
          <w:color w:val="auto"/>
        </w:rPr>
      </w:pPr>
      <w:r>
        <w:rPr>
          <w:rFonts w:ascii="Arial" w:cs="Arial" w:eastAsia="Arial" w:hAnsi="Arial"/>
          <w:sz w:val="14"/>
          <w:szCs w:val="14"/>
          <w:color w:val="auto"/>
        </w:rPr>
        <w:t>File No. 333-200263 Series XTRA</w:t>
      </w:r>
    </w:p>
    <w:p>
      <w:pPr>
        <w:ind w:left="440"/>
        <w:spacing w:after="0" w:line="230" w:lineRule="auto"/>
        <w:rPr>
          <w:sz w:val="20"/>
          <w:szCs w:val="20"/>
          <w:color w:val="auto"/>
        </w:rPr>
      </w:pPr>
      <w:r>
        <w:rPr>
          <w:rFonts w:ascii="Arial" w:cs="Arial" w:eastAsia="Arial" w:hAnsi="Arial"/>
          <w:sz w:val="14"/>
          <w:szCs w:val="14"/>
          <w:color w:val="auto"/>
        </w:rPr>
        <w:t>File No. 333-200265 Series S and Series S-L Share Option (offered between April 30, 2007 and October 7, 2011)</w:t>
      </w:r>
    </w:p>
    <w:p>
      <w:pPr>
        <w:ind w:left="440"/>
        <w:spacing w:after="0" w:line="230" w:lineRule="auto"/>
        <w:rPr>
          <w:sz w:val="20"/>
          <w:szCs w:val="20"/>
          <w:color w:val="auto"/>
        </w:rPr>
      </w:pPr>
      <w:r>
        <w:rPr>
          <w:rFonts w:ascii="Arial" w:cs="Arial" w:eastAsia="Arial" w:hAnsi="Arial"/>
          <w:sz w:val="14"/>
          <w:szCs w:val="14"/>
          <w:color w:val="auto"/>
        </w:rPr>
        <w:t>File No. 333-200268 Series L - 4 Year (offered between October 7, 2011 and April 28, 2013)</w:t>
      </w:r>
    </w:p>
    <w:p>
      <w:pPr>
        <w:ind w:left="440"/>
        <w:spacing w:after="0" w:line="230" w:lineRule="auto"/>
        <w:rPr>
          <w:sz w:val="20"/>
          <w:szCs w:val="20"/>
          <w:color w:val="auto"/>
        </w:rPr>
      </w:pPr>
      <w:r>
        <w:rPr>
          <w:rFonts w:ascii="Arial" w:cs="Arial" w:eastAsia="Arial" w:hAnsi="Arial"/>
          <w:sz w:val="14"/>
          <w:szCs w:val="14"/>
          <w:color w:val="auto"/>
        </w:rPr>
        <w:t>File No. 333-200270 Group Annuity SF 101</w:t>
      </w:r>
    </w:p>
    <w:p>
      <w:pPr>
        <w:ind w:left="440"/>
        <w:spacing w:after="0" w:line="230" w:lineRule="auto"/>
        <w:rPr>
          <w:sz w:val="20"/>
          <w:szCs w:val="20"/>
          <w:color w:val="auto"/>
        </w:rPr>
      </w:pPr>
      <w:r>
        <w:rPr>
          <w:rFonts w:ascii="Arial" w:cs="Arial" w:eastAsia="Arial" w:hAnsi="Arial"/>
          <w:sz w:val="14"/>
          <w:szCs w:val="14"/>
          <w:color w:val="auto"/>
        </w:rPr>
        <w:t>File No. 333-200272 Ultimate Annuity FSL 224</w:t>
      </w:r>
    </w:p>
    <w:p>
      <w:pPr>
        <w:ind w:left="440"/>
        <w:spacing w:after="0" w:line="230" w:lineRule="auto"/>
        <w:rPr>
          <w:sz w:val="20"/>
          <w:szCs w:val="20"/>
          <w:color w:val="auto"/>
        </w:rPr>
      </w:pPr>
      <w:r>
        <w:rPr>
          <w:rFonts w:ascii="Arial" w:cs="Arial" w:eastAsia="Arial" w:hAnsi="Arial"/>
          <w:sz w:val="14"/>
          <w:szCs w:val="14"/>
          <w:color w:val="auto"/>
        </w:rPr>
        <w:t>File No. 333-200275 Foresight SF 137</w:t>
      </w:r>
    </w:p>
    <w:p>
      <w:pPr>
        <w:ind w:left="440"/>
        <w:spacing w:after="0" w:line="230" w:lineRule="auto"/>
        <w:rPr>
          <w:sz w:val="20"/>
          <w:szCs w:val="20"/>
          <w:color w:val="auto"/>
        </w:rPr>
      </w:pPr>
      <w:r>
        <w:rPr>
          <w:rFonts w:ascii="Arial" w:cs="Arial" w:eastAsia="Arial" w:hAnsi="Arial"/>
          <w:sz w:val="14"/>
          <w:szCs w:val="14"/>
          <w:color w:val="auto"/>
        </w:rPr>
        <w:t>File No. 333-200277 SecurAnnuity (CLICO) 224/ SF 1700</w:t>
      </w:r>
    </w:p>
    <w:p>
      <w:pPr>
        <w:ind w:left="440"/>
        <w:spacing w:after="0" w:line="230" w:lineRule="auto"/>
        <w:rPr>
          <w:sz w:val="20"/>
          <w:szCs w:val="20"/>
          <w:color w:val="auto"/>
        </w:rPr>
      </w:pPr>
      <w:r>
        <w:rPr>
          <w:rFonts w:ascii="Arial" w:cs="Arial" w:eastAsia="Arial" w:hAnsi="Arial"/>
          <w:sz w:val="14"/>
          <w:szCs w:val="14"/>
          <w:color w:val="auto"/>
        </w:rPr>
        <w:t>File No. 333-200278 Group VA SF 234 (Texas)</w:t>
      </w:r>
    </w:p>
    <w:p>
      <w:pPr>
        <w:ind w:left="440"/>
        <w:spacing w:after="0" w:line="230" w:lineRule="auto"/>
        <w:rPr>
          <w:sz w:val="20"/>
          <w:szCs w:val="20"/>
          <w:color w:val="auto"/>
        </w:rPr>
      </w:pPr>
      <w:r>
        <w:rPr>
          <w:rFonts w:ascii="Arial" w:cs="Arial" w:eastAsia="Arial" w:hAnsi="Arial"/>
          <w:sz w:val="14"/>
          <w:szCs w:val="14"/>
          <w:color w:val="auto"/>
        </w:rPr>
        <w:t>File No. 333-200280 Sunshine SF 236 FL</w:t>
      </w:r>
    </w:p>
    <w:p>
      <w:pPr>
        <w:ind w:left="440"/>
        <w:spacing w:after="0" w:line="230" w:lineRule="auto"/>
        <w:rPr>
          <w:sz w:val="20"/>
          <w:szCs w:val="20"/>
          <w:color w:val="auto"/>
        </w:rPr>
      </w:pPr>
      <w:r>
        <w:rPr>
          <w:rFonts w:ascii="Arial" w:cs="Arial" w:eastAsia="Arial" w:hAnsi="Arial"/>
          <w:sz w:val="14"/>
          <w:szCs w:val="14"/>
          <w:color w:val="auto"/>
        </w:rPr>
        <w:t>File No. 333-200281 Flexible Value SF 230</w:t>
      </w:r>
    </w:p>
    <w:p>
      <w:pPr>
        <w:ind w:left="440" w:right="3199"/>
        <w:spacing w:after="0"/>
        <w:rPr>
          <w:sz w:val="20"/>
          <w:szCs w:val="20"/>
          <w:color w:val="auto"/>
        </w:rPr>
      </w:pPr>
      <w:r>
        <w:rPr>
          <w:rFonts w:ascii="Arial" w:cs="Arial" w:eastAsia="Arial" w:hAnsi="Arial"/>
          <w:sz w:val="14"/>
          <w:szCs w:val="14"/>
          <w:color w:val="auto"/>
        </w:rPr>
        <w:t>File No. 333-200282 Investors Choice Annuity, Capital Strategist Annuity, Imprint Annuity and Strive Annuity File No. 333-200283 Protected Equity Portfolio (PEP)</w:t>
      </w:r>
    </w:p>
    <w:p>
      <w:pPr>
        <w:sectPr>
          <w:pgSz w:w="11900" w:h="16838" w:orient="portrait"/>
          <w:cols w:equalWidth="0" w:num="1">
            <w:col w:w="10159"/>
          </w:cols>
          <w:pgMar w:left="300" w:top="240" w:right="1440" w:bottom="1440" w:gutter="0" w:footer="0" w:header="0"/>
        </w:sectPr>
      </w:pPr>
    </w:p>
    <w:bookmarkStart w:id="116" w:name="page117"/>
    <w:bookmarkEnd w:id="116"/>
    <w:p>
      <w:pPr>
        <w:ind w:left="44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8">
                      <a:extLst>
                        <a:ext uri="{28A0092B-C50C-407E-A947-70E740481C1C}"/>
                      </a:extLst>
                    </a:blip>
                    <a:srcRect/>
                    <a:stretch>
                      <a:fillRect/>
                    </a:stretch>
                  </pic:blipFill>
                  <pic:spPr bwMode="auto">
                    <a:xfrm>
                      <a:off x="0" y="0"/>
                      <a:ext cx="7203440" cy="32385"/>
                    </a:xfrm>
                    <a:prstGeom prst="rect">
                      <a:avLst/>
                    </a:prstGeom>
                    <a:noFill/>
                  </pic:spPr>
                </pic:pic>
              </a:graphicData>
            </a:graphic>
          </wp:anchor>
        </w:drawing>
        <w:t>File No. 333-200284 Vintage L and Vintage XC</w:t>
      </w:r>
    </w:p>
    <w:p>
      <w:pPr>
        <w:ind w:left="440"/>
        <w:spacing w:after="0" w:line="237" w:lineRule="auto"/>
        <w:rPr>
          <w:sz w:val="20"/>
          <w:szCs w:val="20"/>
          <w:color w:val="auto"/>
        </w:rPr>
      </w:pPr>
      <w:r>
        <w:rPr>
          <w:rFonts w:ascii="Arial" w:cs="Arial" w:eastAsia="Arial" w:hAnsi="Arial"/>
          <w:sz w:val="14"/>
          <w:szCs w:val="14"/>
          <w:color w:val="auto"/>
        </w:rPr>
        <w:t>File No. 333-200285 Series XTRA 6</w:t>
      </w:r>
    </w:p>
    <w:p>
      <w:pPr>
        <w:ind w:left="440"/>
        <w:spacing w:after="0" w:line="230" w:lineRule="auto"/>
        <w:rPr>
          <w:sz w:val="20"/>
          <w:szCs w:val="20"/>
          <w:color w:val="auto"/>
        </w:rPr>
      </w:pPr>
      <w:r>
        <w:rPr>
          <w:rFonts w:ascii="Arial" w:cs="Arial" w:eastAsia="Arial" w:hAnsi="Arial"/>
          <w:sz w:val="14"/>
          <w:szCs w:val="14"/>
          <w:color w:val="auto"/>
        </w:rPr>
        <w:t>File No. 333-200286 Series VA - 4 (offered between May 1, 2011 and October 7, 2011)</w:t>
      </w:r>
    </w:p>
    <w:p>
      <w:pPr>
        <w:ind w:left="440"/>
        <w:spacing w:after="0" w:line="230" w:lineRule="auto"/>
        <w:rPr>
          <w:sz w:val="20"/>
          <w:szCs w:val="20"/>
          <w:color w:val="auto"/>
        </w:rPr>
      </w:pPr>
      <w:r>
        <w:rPr>
          <w:rFonts w:ascii="Arial" w:cs="Arial" w:eastAsia="Arial" w:hAnsi="Arial"/>
          <w:sz w:val="14"/>
          <w:szCs w:val="14"/>
          <w:color w:val="auto"/>
        </w:rPr>
        <w:t>File No. 333-200287 Series C (offered on and after October 7, 2011)</w:t>
      </w:r>
    </w:p>
    <w:p>
      <w:pPr>
        <w:ind w:left="440"/>
        <w:spacing w:after="0" w:line="230" w:lineRule="auto"/>
        <w:rPr>
          <w:sz w:val="20"/>
          <w:szCs w:val="20"/>
          <w:color w:val="auto"/>
        </w:rPr>
      </w:pPr>
      <w:r>
        <w:rPr>
          <w:rFonts w:ascii="Arial" w:cs="Arial" w:eastAsia="Arial" w:hAnsi="Arial"/>
          <w:sz w:val="14"/>
          <w:szCs w:val="14"/>
          <w:color w:val="auto"/>
        </w:rPr>
        <w:t>File No. 333-200288 Pioneer PRISM</w:t>
      </w:r>
    </w:p>
    <w:p>
      <w:pPr>
        <w:ind w:left="440"/>
        <w:spacing w:after="0" w:line="230" w:lineRule="auto"/>
        <w:rPr>
          <w:sz w:val="20"/>
          <w:szCs w:val="20"/>
          <w:color w:val="auto"/>
        </w:rPr>
      </w:pPr>
      <w:r>
        <w:rPr>
          <w:rFonts w:ascii="Arial" w:cs="Arial" w:eastAsia="Arial" w:hAnsi="Arial"/>
          <w:sz w:val="14"/>
          <w:szCs w:val="14"/>
          <w:color w:val="auto"/>
        </w:rPr>
        <w:t>File No. 333-200289 Pioneer PRISM L</w:t>
      </w:r>
    </w:p>
    <w:p>
      <w:pPr>
        <w:ind w:left="440"/>
        <w:spacing w:after="0" w:line="230" w:lineRule="auto"/>
        <w:rPr>
          <w:sz w:val="20"/>
          <w:szCs w:val="20"/>
          <w:color w:val="auto"/>
        </w:rPr>
      </w:pPr>
      <w:r>
        <w:rPr>
          <w:rFonts w:ascii="Arial" w:cs="Arial" w:eastAsia="Arial" w:hAnsi="Arial"/>
          <w:sz w:val="14"/>
          <w:szCs w:val="14"/>
          <w:color w:val="auto"/>
        </w:rPr>
        <w:t>File No. 333-200290 Pioneer PRISM XC</w:t>
      </w:r>
    </w:p>
    <w:p>
      <w:pPr>
        <w:spacing w:after="0" w:line="1" w:lineRule="exact"/>
        <w:rPr>
          <w:sz w:val="20"/>
          <w:szCs w:val="20"/>
          <w:color w:val="auto"/>
        </w:rPr>
      </w:pPr>
    </w:p>
    <w:p>
      <w:pPr>
        <w:ind w:left="580" w:right="2279" w:hanging="155"/>
        <w:spacing w:after="0" w:line="214" w:lineRule="auto"/>
        <w:rPr>
          <w:sz w:val="20"/>
          <w:szCs w:val="20"/>
          <w:color w:val="auto"/>
        </w:rPr>
      </w:pPr>
      <w:r>
        <w:rPr>
          <w:rFonts w:ascii="Arial" w:cs="Arial" w:eastAsia="Arial" w:hAnsi="Arial"/>
          <w:sz w:val="12"/>
          <w:szCs w:val="12"/>
          <w:color w:val="auto"/>
        </w:rPr>
        <w:t>File No. 333-200323 Brighthouse Investment Portfolio Architect</w:t>
      </w:r>
      <w:r>
        <w:rPr>
          <w:rFonts w:ascii="Arial" w:cs="Arial" w:eastAsia="Arial" w:hAnsi="Arial"/>
          <w:sz w:val="18"/>
          <w:szCs w:val="18"/>
          <w:color w:val="auto"/>
          <w:vertAlign w:val="superscript"/>
        </w:rPr>
        <w:t>SM</w:t>
      </w:r>
      <w:r>
        <w:rPr>
          <w:rFonts w:ascii="Arial" w:cs="Arial" w:eastAsia="Arial" w:hAnsi="Arial"/>
          <w:sz w:val="12"/>
          <w:szCs w:val="12"/>
          <w:color w:val="auto"/>
        </w:rPr>
        <w:t xml:space="preserve"> - Standard Version and Brighthouse Investment Portfolio Architect</w:t>
      </w:r>
      <w:r>
        <w:rPr>
          <w:rFonts w:ascii="Arial" w:cs="Arial" w:eastAsia="Arial" w:hAnsi="Arial"/>
          <w:sz w:val="18"/>
          <w:szCs w:val="18"/>
          <w:color w:val="auto"/>
          <w:vertAlign w:val="superscript"/>
        </w:rPr>
        <w:t>SM</w:t>
      </w:r>
      <w:r>
        <w:rPr>
          <w:rFonts w:ascii="Arial" w:cs="Arial" w:eastAsia="Arial" w:hAnsi="Arial"/>
          <w:sz w:val="12"/>
          <w:szCs w:val="12"/>
          <w:color w:val="auto"/>
        </w:rPr>
        <w:t xml:space="preserve"> - C Share Option</w:t>
      </w:r>
    </w:p>
    <w:p>
      <w:pPr>
        <w:ind w:left="440"/>
        <w:spacing w:after="0" w:line="231" w:lineRule="auto"/>
        <w:rPr>
          <w:sz w:val="20"/>
          <w:szCs w:val="20"/>
          <w:color w:val="auto"/>
        </w:rPr>
      </w:pPr>
      <w:r>
        <w:rPr>
          <w:rFonts w:ascii="Arial" w:cs="Arial" w:eastAsia="Arial" w:hAnsi="Arial"/>
          <w:sz w:val="14"/>
          <w:szCs w:val="14"/>
          <w:color w:val="auto"/>
        </w:rPr>
        <w:t>File No. 333-203748 Series O (offered on and after July 20, 2015)</w:t>
      </w:r>
    </w:p>
    <w:p>
      <w:pPr>
        <w:ind w:left="440"/>
        <w:spacing w:after="0" w:line="230" w:lineRule="auto"/>
        <w:rPr>
          <w:sz w:val="20"/>
          <w:szCs w:val="20"/>
          <w:color w:val="auto"/>
        </w:rPr>
      </w:pPr>
      <w:r>
        <w:rPr>
          <w:rFonts w:ascii="Arial" w:cs="Arial" w:eastAsia="Arial" w:hAnsi="Arial"/>
          <w:sz w:val="14"/>
          <w:szCs w:val="14"/>
          <w:color w:val="auto"/>
        </w:rPr>
        <w:t>File No. 333-209053 Series VA (offered on and after May 2, 2016)</w:t>
      </w:r>
    </w:p>
    <w:p>
      <w:pPr>
        <w:ind w:left="440"/>
        <w:spacing w:after="0" w:line="230" w:lineRule="auto"/>
        <w:rPr>
          <w:sz w:val="20"/>
          <w:szCs w:val="20"/>
          <w:color w:val="auto"/>
        </w:rPr>
      </w:pPr>
      <w:r>
        <w:rPr>
          <w:rFonts w:ascii="Arial" w:cs="Arial" w:eastAsia="Arial" w:hAnsi="Arial"/>
          <w:sz w:val="14"/>
          <w:szCs w:val="14"/>
          <w:color w:val="auto"/>
        </w:rPr>
        <w:t>File No. 333-209054 Series VA- 4 (offered on and after May 2, 2016)</w:t>
      </w:r>
    </w:p>
    <w:p>
      <w:pPr>
        <w:ind w:left="440"/>
        <w:spacing w:after="0"/>
        <w:rPr>
          <w:sz w:val="20"/>
          <w:szCs w:val="20"/>
          <w:color w:val="auto"/>
        </w:rPr>
      </w:pPr>
      <w:r>
        <w:rPr>
          <w:rFonts w:ascii="Arial" w:cs="Arial" w:eastAsia="Arial" w:hAnsi="Arial"/>
          <w:sz w:val="13"/>
          <w:szCs w:val="13"/>
          <w:color w:val="auto"/>
        </w:rPr>
        <w:t>File No. 333-209055 Series S (offered on and after May 2, 2016) and Series S-L Share Option (offered on and after May 2, 2016)</w:t>
      </w:r>
    </w:p>
    <w:p>
      <w:pPr>
        <w:spacing w:after="0" w:line="5" w:lineRule="exact"/>
        <w:rPr>
          <w:sz w:val="20"/>
          <w:szCs w:val="20"/>
          <w:color w:val="auto"/>
        </w:rPr>
      </w:pPr>
    </w:p>
    <w:p>
      <w:pPr>
        <w:ind w:left="440"/>
        <w:spacing w:after="0"/>
        <w:rPr>
          <w:sz w:val="20"/>
          <w:szCs w:val="20"/>
          <w:color w:val="auto"/>
        </w:rPr>
      </w:pPr>
      <w:r>
        <w:rPr>
          <w:rFonts w:ascii="Arial" w:cs="Arial" w:eastAsia="Arial" w:hAnsi="Arial"/>
          <w:sz w:val="14"/>
          <w:szCs w:val="14"/>
          <w:color w:val="auto"/>
        </w:rPr>
        <w:t>File No. 333-209411 Brighthouse Prime Options,</w:t>
      </w:r>
    </w:p>
    <w:p>
      <w:pPr>
        <w:spacing w:after="0" w:line="166" w:lineRule="exact"/>
        <w:rPr>
          <w:sz w:val="20"/>
          <w:szCs w:val="20"/>
          <w:color w:val="auto"/>
        </w:rPr>
      </w:pPr>
    </w:p>
    <w:p>
      <w:pPr>
        <w:spacing w:after="0"/>
        <w:tabs>
          <w:tab w:leader="none" w:pos="14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3"/>
          <w:szCs w:val="13"/>
          <w:color w:val="auto"/>
        </w:rPr>
        <w:t>Brighthouse Separate Account Eleven for Variable Annuities (811-21262)</w:t>
      </w:r>
    </w:p>
    <w:p>
      <w:pPr>
        <w:spacing w:after="0" w:line="5" w:lineRule="exact"/>
        <w:rPr>
          <w:sz w:val="20"/>
          <w:szCs w:val="20"/>
          <w:color w:val="auto"/>
        </w:rPr>
      </w:pPr>
    </w:p>
    <w:p>
      <w:pPr>
        <w:ind w:left="580" w:right="2059" w:hanging="155"/>
        <w:spacing w:after="0" w:line="230" w:lineRule="auto"/>
        <w:rPr>
          <w:sz w:val="20"/>
          <w:szCs w:val="20"/>
          <w:color w:val="auto"/>
        </w:rPr>
      </w:pPr>
      <w:r>
        <w:rPr>
          <w:rFonts w:ascii="Arial" w:cs="Arial" w:eastAsia="Arial" w:hAnsi="Arial"/>
          <w:sz w:val="14"/>
          <w:szCs w:val="14"/>
          <w:color w:val="auto"/>
        </w:rPr>
        <w:t>File Nos. 333-101778 and 333-152234 Pioneer AnnuiStar Plus Annuity, Portfolio Architect Plus Annuity and Scudder Advocate Rewards Annuity</w:t>
      </w:r>
    </w:p>
    <w:p>
      <w:pPr>
        <w:ind w:left="440"/>
        <w:spacing w:after="0" w:line="230" w:lineRule="auto"/>
        <w:rPr>
          <w:sz w:val="20"/>
          <w:szCs w:val="20"/>
          <w:color w:val="auto"/>
        </w:rPr>
      </w:pPr>
      <w:r>
        <w:rPr>
          <w:rFonts w:ascii="Arial" w:cs="Arial" w:eastAsia="Arial" w:hAnsi="Arial"/>
          <w:sz w:val="14"/>
          <w:szCs w:val="14"/>
          <w:color w:val="auto"/>
        </w:rPr>
        <w:t>File No. 333-152189 Universal Annuity</w:t>
      </w:r>
    </w:p>
    <w:p>
      <w:pPr>
        <w:ind w:left="440"/>
        <w:spacing w:after="0" w:line="230" w:lineRule="auto"/>
        <w:rPr>
          <w:sz w:val="20"/>
          <w:szCs w:val="20"/>
          <w:color w:val="auto"/>
        </w:rPr>
      </w:pPr>
      <w:r>
        <w:rPr>
          <w:rFonts w:ascii="Arial" w:cs="Arial" w:eastAsia="Arial" w:hAnsi="Arial"/>
          <w:sz w:val="14"/>
          <w:szCs w:val="14"/>
          <w:color w:val="auto"/>
        </w:rPr>
        <w:t>File No. 333-152190 Universal Select Annuity</w:t>
      </w:r>
    </w:p>
    <w:p>
      <w:pPr>
        <w:ind w:left="440"/>
        <w:spacing w:after="0" w:line="230" w:lineRule="auto"/>
        <w:rPr>
          <w:sz w:val="20"/>
          <w:szCs w:val="20"/>
          <w:color w:val="auto"/>
        </w:rPr>
      </w:pPr>
      <w:r>
        <w:rPr>
          <w:rFonts w:ascii="Arial" w:cs="Arial" w:eastAsia="Arial" w:hAnsi="Arial"/>
          <w:sz w:val="14"/>
          <w:szCs w:val="14"/>
          <w:color w:val="auto"/>
        </w:rPr>
        <w:t>File No. 333-152191 Universal Annuity Advantage</w:t>
      </w:r>
    </w:p>
    <w:p>
      <w:pPr>
        <w:ind w:left="440"/>
        <w:spacing w:after="0" w:line="230" w:lineRule="auto"/>
        <w:rPr>
          <w:sz w:val="20"/>
          <w:szCs w:val="20"/>
          <w:color w:val="auto"/>
        </w:rPr>
      </w:pPr>
      <w:r>
        <w:rPr>
          <w:rFonts w:ascii="Arial" w:cs="Arial" w:eastAsia="Arial" w:hAnsi="Arial"/>
          <w:sz w:val="14"/>
          <w:szCs w:val="14"/>
          <w:color w:val="auto"/>
        </w:rPr>
        <w:t>File Nos. 333-152192 and 333-152193 Brighthouse Retirement Account</w:t>
      </w:r>
    </w:p>
    <w:p>
      <w:pPr>
        <w:ind w:left="440"/>
        <w:spacing w:after="0" w:line="230" w:lineRule="auto"/>
        <w:rPr>
          <w:sz w:val="20"/>
          <w:szCs w:val="20"/>
          <w:color w:val="auto"/>
        </w:rPr>
      </w:pPr>
      <w:r>
        <w:rPr>
          <w:rFonts w:ascii="Arial" w:cs="Arial" w:eastAsia="Arial" w:hAnsi="Arial"/>
          <w:sz w:val="14"/>
          <w:szCs w:val="14"/>
          <w:color w:val="auto"/>
        </w:rPr>
        <w:t>File No. 333-152194 Gold Track and Gold Track Select</w:t>
      </w:r>
    </w:p>
    <w:p>
      <w:pPr>
        <w:ind w:left="440" w:right="3219"/>
        <w:spacing w:after="0" w:line="230" w:lineRule="auto"/>
        <w:rPr>
          <w:sz w:val="20"/>
          <w:szCs w:val="20"/>
          <w:color w:val="auto"/>
        </w:rPr>
      </w:pPr>
      <w:r>
        <w:rPr>
          <w:rFonts w:ascii="Arial" w:cs="Arial" w:eastAsia="Arial" w:hAnsi="Arial"/>
          <w:sz w:val="14"/>
          <w:szCs w:val="14"/>
          <w:color w:val="auto"/>
        </w:rPr>
        <w:t>File Nos. 333-152197 and 333-152198 Brighthouse Access Annuity and Brighthouse Access Select Annuity File Nos. 333-152199 and 333-152200 Vintage Annuity File Nos. 333-152201 and 333-152202 Index Annuity</w:t>
      </w:r>
    </w:p>
    <w:p>
      <w:pPr>
        <w:ind w:left="580" w:right="2119" w:hanging="155"/>
        <w:spacing w:after="0" w:line="229" w:lineRule="auto"/>
        <w:rPr>
          <w:sz w:val="20"/>
          <w:szCs w:val="20"/>
          <w:color w:val="auto"/>
        </w:rPr>
      </w:pPr>
      <w:r>
        <w:rPr>
          <w:rFonts w:ascii="Arial" w:cs="Arial" w:eastAsia="Arial" w:hAnsi="Arial"/>
          <w:sz w:val="14"/>
          <w:szCs w:val="14"/>
          <w:color w:val="auto"/>
        </w:rPr>
        <w:t>File Nos. 333-152232 and 333-152233 Portfolio Architect Annuity, Portfolio Architect Select Annuity, Premier Advisers Annuity (Class I) and Premier Advisers Annuity (Class II)</w:t>
      </w:r>
    </w:p>
    <w:p>
      <w:pPr>
        <w:spacing w:after="0" w:line="1" w:lineRule="exact"/>
        <w:rPr>
          <w:sz w:val="20"/>
          <w:szCs w:val="20"/>
          <w:color w:val="auto"/>
        </w:rPr>
      </w:pPr>
    </w:p>
    <w:p>
      <w:pPr>
        <w:ind w:left="580" w:right="2199" w:hanging="155"/>
        <w:spacing w:after="0" w:line="230" w:lineRule="auto"/>
        <w:rPr>
          <w:sz w:val="20"/>
          <w:szCs w:val="20"/>
          <w:color w:val="auto"/>
        </w:rPr>
      </w:pPr>
      <w:r>
        <w:rPr>
          <w:rFonts w:ascii="Arial" w:cs="Arial" w:eastAsia="Arial" w:hAnsi="Arial"/>
          <w:sz w:val="14"/>
          <w:szCs w:val="14"/>
          <w:color w:val="auto"/>
        </w:rPr>
        <w:t>File Nos. 333-152235 and 333-152236 Pioneer AnnuiStar Annuity, Portfolio Architect II Annuity and Pioneer AnnuiStar Value Annuity</w:t>
      </w:r>
    </w:p>
    <w:p>
      <w:pPr>
        <w:ind w:left="580" w:right="1839" w:hanging="155"/>
        <w:spacing w:after="0" w:line="230" w:lineRule="auto"/>
        <w:rPr>
          <w:sz w:val="20"/>
          <w:szCs w:val="20"/>
          <w:color w:val="auto"/>
        </w:rPr>
      </w:pPr>
      <w:r>
        <w:rPr>
          <w:rFonts w:ascii="Arial" w:cs="Arial" w:eastAsia="Arial" w:hAnsi="Arial"/>
          <w:sz w:val="14"/>
          <w:szCs w:val="14"/>
          <w:color w:val="auto"/>
        </w:rPr>
        <w:t>File Nos. 333-152237 and 333-152238 Premier Advisers II Annuity, Premier Advisers III (Series I) and Premier Advisers III Annuity (Series II)</w:t>
      </w:r>
    </w:p>
    <w:p>
      <w:pPr>
        <w:ind w:left="580" w:right="1779" w:hanging="155"/>
        <w:spacing w:after="0" w:line="229" w:lineRule="auto"/>
        <w:rPr>
          <w:sz w:val="20"/>
          <w:szCs w:val="20"/>
          <w:color w:val="auto"/>
        </w:rPr>
      </w:pPr>
      <w:r>
        <w:rPr>
          <w:rFonts w:ascii="Arial" w:cs="Arial" w:eastAsia="Arial" w:hAnsi="Arial"/>
          <w:sz w:val="14"/>
          <w:szCs w:val="14"/>
          <w:color w:val="auto"/>
        </w:rPr>
        <w:t>File Nos. 333-152239 and 333-152240 Premier Advisers AssetManager Annuity, Premier Advisers L Annuity (Series I) and Premier Advisers L Annuity (Series II)</w:t>
      </w:r>
    </w:p>
    <w:p>
      <w:pPr>
        <w:spacing w:after="0" w:line="1" w:lineRule="exact"/>
        <w:rPr>
          <w:sz w:val="20"/>
          <w:szCs w:val="20"/>
          <w:color w:val="auto"/>
        </w:rPr>
      </w:pPr>
    </w:p>
    <w:p>
      <w:pPr>
        <w:ind w:left="580" w:right="1799" w:hanging="155"/>
        <w:spacing w:after="0" w:line="230" w:lineRule="auto"/>
        <w:rPr>
          <w:sz w:val="20"/>
          <w:szCs w:val="20"/>
          <w:color w:val="auto"/>
        </w:rPr>
      </w:pPr>
      <w:r>
        <w:rPr>
          <w:rFonts w:ascii="Arial" w:cs="Arial" w:eastAsia="Arial" w:hAnsi="Arial"/>
          <w:sz w:val="14"/>
          <w:szCs w:val="14"/>
          <w:color w:val="auto"/>
        </w:rPr>
        <w:t>File Nos. 333-152255 and 333-152265 Vintage XTRA Annuity, Portfolio Architect XTRA Annuity and Vintage XTRA Annuity (Series II)</w:t>
      </w:r>
    </w:p>
    <w:p>
      <w:pPr>
        <w:ind w:left="580" w:right="2119" w:hanging="155"/>
        <w:spacing w:after="0" w:line="230" w:lineRule="auto"/>
        <w:rPr>
          <w:sz w:val="20"/>
          <w:szCs w:val="20"/>
          <w:color w:val="auto"/>
        </w:rPr>
      </w:pPr>
      <w:r>
        <w:rPr>
          <w:rFonts w:ascii="Arial" w:cs="Arial" w:eastAsia="Arial" w:hAnsi="Arial"/>
          <w:sz w:val="14"/>
          <w:szCs w:val="14"/>
          <w:color w:val="auto"/>
        </w:rPr>
        <w:t>File Nos. 333-152256 and 333-152292 Vintage 3 Annuity, Portfolio Architect 3 Annuity, Portfolio Architect L Annuity, Vintage L Annuity and Pioneer AnnuiStar Flex Annuity</w:t>
      </w:r>
    </w:p>
    <w:p>
      <w:pPr>
        <w:ind w:left="440"/>
        <w:spacing w:after="0" w:line="230" w:lineRule="auto"/>
        <w:rPr>
          <w:sz w:val="20"/>
          <w:szCs w:val="20"/>
          <w:color w:val="auto"/>
        </w:rPr>
      </w:pPr>
      <w:r>
        <w:rPr>
          <w:rFonts w:ascii="Arial" w:cs="Arial" w:eastAsia="Arial" w:hAnsi="Arial"/>
          <w:sz w:val="14"/>
          <w:szCs w:val="14"/>
          <w:color w:val="auto"/>
        </w:rPr>
        <w:t>File Nos. 333-152258 and 333-152261 PrimElite Annuity</w:t>
      </w:r>
    </w:p>
    <w:p>
      <w:pPr>
        <w:ind w:left="440"/>
        <w:spacing w:after="0" w:line="230" w:lineRule="auto"/>
        <w:rPr>
          <w:sz w:val="20"/>
          <w:szCs w:val="20"/>
          <w:color w:val="auto"/>
        </w:rPr>
      </w:pPr>
      <w:r>
        <w:rPr>
          <w:rFonts w:ascii="Arial" w:cs="Arial" w:eastAsia="Arial" w:hAnsi="Arial"/>
          <w:sz w:val="14"/>
          <w:szCs w:val="14"/>
          <w:color w:val="auto"/>
        </w:rPr>
        <w:t>File Nos. 333-152259 and 333-152262 PrimElite II Annuity</w:t>
      </w:r>
    </w:p>
    <w:p>
      <w:pPr>
        <w:ind w:left="440"/>
        <w:spacing w:after="0" w:line="230" w:lineRule="auto"/>
        <w:rPr>
          <w:sz w:val="20"/>
          <w:szCs w:val="20"/>
          <w:color w:val="auto"/>
        </w:rPr>
      </w:pPr>
      <w:r>
        <w:rPr>
          <w:rFonts w:ascii="Arial" w:cs="Arial" w:eastAsia="Arial" w:hAnsi="Arial"/>
          <w:sz w:val="14"/>
          <w:szCs w:val="14"/>
          <w:color w:val="auto"/>
        </w:rPr>
        <w:t>File Nos. 333-152260 and 333-152266 Protected Equity Portfolio Annuity</w:t>
      </w:r>
    </w:p>
    <w:p>
      <w:pPr>
        <w:ind w:left="440"/>
        <w:spacing w:after="0" w:line="230" w:lineRule="auto"/>
        <w:rPr>
          <w:sz w:val="20"/>
          <w:szCs w:val="20"/>
          <w:color w:val="auto"/>
        </w:rPr>
      </w:pPr>
      <w:r>
        <w:rPr>
          <w:rFonts w:ascii="Arial" w:cs="Arial" w:eastAsia="Arial" w:hAnsi="Arial"/>
          <w:sz w:val="14"/>
          <w:szCs w:val="14"/>
          <w:color w:val="auto"/>
        </w:rPr>
        <w:t>File Nos. 333-152263 and 333-152269 Marquis Portfolios</w:t>
      </w:r>
    </w:p>
    <w:p>
      <w:pPr>
        <w:ind w:left="580" w:right="2259" w:hanging="155"/>
        <w:spacing w:after="0" w:line="230" w:lineRule="auto"/>
        <w:rPr>
          <w:sz w:val="20"/>
          <w:szCs w:val="20"/>
          <w:color w:val="auto"/>
        </w:rPr>
      </w:pPr>
      <w:r>
        <w:rPr>
          <w:rFonts w:ascii="Arial" w:cs="Arial" w:eastAsia="Arial" w:hAnsi="Arial"/>
          <w:sz w:val="14"/>
          <w:szCs w:val="14"/>
          <w:color w:val="auto"/>
        </w:rPr>
        <w:t>File Nos. 333-152264 and 333-152270 Vintage Access, Portfolio Architect Access, Scudder Advocate Advisor and Scudder Advocate Advisor - ST1 Annuity</w:t>
      </w:r>
    </w:p>
    <w:p>
      <w:pPr>
        <w:ind w:left="440"/>
        <w:spacing w:after="0" w:line="230" w:lineRule="auto"/>
        <w:rPr>
          <w:sz w:val="20"/>
          <w:szCs w:val="20"/>
          <w:color w:val="auto"/>
        </w:rPr>
      </w:pPr>
      <w:r>
        <w:rPr>
          <w:rFonts w:ascii="Arial" w:cs="Arial" w:eastAsia="Arial" w:hAnsi="Arial"/>
          <w:sz w:val="14"/>
          <w:szCs w:val="14"/>
          <w:color w:val="auto"/>
        </w:rPr>
        <w:t>File Nos. 333-152267 and 333-152268 Vintage II Annuity and Vintage II Annuity (Series II)</w:t>
      </w:r>
    </w:p>
    <w:p>
      <w:pPr>
        <w:ind w:left="440"/>
        <w:spacing w:after="0" w:line="230" w:lineRule="auto"/>
        <w:rPr>
          <w:sz w:val="20"/>
          <w:szCs w:val="20"/>
          <w:color w:val="auto"/>
        </w:rPr>
      </w:pPr>
      <w:r>
        <w:rPr>
          <w:rFonts w:ascii="Arial" w:cs="Arial" w:eastAsia="Arial" w:hAnsi="Arial"/>
          <w:sz w:val="14"/>
          <w:szCs w:val="14"/>
          <w:color w:val="auto"/>
        </w:rPr>
        <w:t>File No. 333-197658 Brighthouse Accumulation Annuity</w:t>
      </w:r>
    </w:p>
    <w:p>
      <w:pPr>
        <w:ind w:left="440"/>
        <w:spacing w:after="0"/>
        <w:rPr>
          <w:sz w:val="20"/>
          <w:szCs w:val="20"/>
          <w:color w:val="auto"/>
        </w:rPr>
      </w:pPr>
      <w:r>
        <w:rPr>
          <w:rFonts w:ascii="Arial" w:cs="Arial" w:eastAsia="Arial" w:hAnsi="Arial"/>
          <w:sz w:val="14"/>
          <w:szCs w:val="14"/>
          <w:color w:val="auto"/>
        </w:rPr>
        <w:t>File No. 333-208464 Brighthouse Premier Variable Annuity</w:t>
      </w:r>
      <w:r>
        <w:rPr>
          <w:rFonts w:ascii="Arial" w:cs="Arial" w:eastAsia="Arial" w:hAnsi="Arial"/>
          <w:sz w:val="20"/>
          <w:szCs w:val="20"/>
          <w:color w:val="auto"/>
          <w:vertAlign w:val="superscript"/>
        </w:rPr>
        <w:t>SM</w:t>
      </w:r>
      <w:r>
        <w:rPr>
          <w:rFonts w:ascii="Arial" w:cs="Arial" w:eastAsia="Arial" w:hAnsi="Arial"/>
          <w:sz w:val="14"/>
          <w:szCs w:val="14"/>
          <w:color w:val="auto"/>
        </w:rPr>
        <w:t>,</w:t>
      </w:r>
    </w:p>
    <w:p>
      <w:pPr>
        <w:spacing w:after="0" w:line="97" w:lineRule="exact"/>
        <w:rPr>
          <w:sz w:val="20"/>
          <w:szCs w:val="20"/>
          <w:color w:val="auto"/>
        </w:rPr>
      </w:pPr>
    </w:p>
    <w:p>
      <w:pPr>
        <w:ind w:left="440" w:right="6159" w:hanging="438"/>
        <w:spacing w:after="0" w:line="272" w:lineRule="auto"/>
        <w:tabs>
          <w:tab w:leader="none" w:pos="173" w:val="left"/>
        </w:tabs>
        <w:numPr>
          <w:ilvl w:val="0"/>
          <w:numId w:val="124"/>
        </w:numPr>
        <w:rPr>
          <w:rFonts w:ascii="Arial" w:cs="Arial" w:eastAsia="Arial" w:hAnsi="Arial"/>
          <w:sz w:val="13"/>
          <w:szCs w:val="13"/>
          <w:color w:val="auto"/>
        </w:rPr>
      </w:pPr>
      <w:r>
        <w:rPr>
          <w:rFonts w:ascii="Arial" w:cs="Arial" w:eastAsia="Arial" w:hAnsi="Arial"/>
          <w:sz w:val="13"/>
          <w:szCs w:val="13"/>
          <w:color w:val="auto"/>
        </w:rPr>
        <w:t>Brighthouse Separate Account QPN for Variable Annuities File No. 333-156867 Unallocated Group Variable Annuity File No. 333-156911 Brighthouse Retirement Perspectives,</w:t>
      </w:r>
    </w:p>
    <w:p>
      <w:pPr>
        <w:spacing w:after="0" w:line="139" w:lineRule="exact"/>
        <w:rPr>
          <w:rFonts w:ascii="Arial" w:cs="Arial" w:eastAsia="Arial" w:hAnsi="Arial"/>
          <w:sz w:val="13"/>
          <w:szCs w:val="13"/>
          <w:color w:val="auto"/>
        </w:rPr>
      </w:pPr>
    </w:p>
    <w:p>
      <w:pPr>
        <w:ind w:left="160" w:hanging="158"/>
        <w:spacing w:after="0"/>
        <w:tabs>
          <w:tab w:leader="none" w:pos="160" w:val="left"/>
        </w:tabs>
        <w:numPr>
          <w:ilvl w:val="0"/>
          <w:numId w:val="124"/>
        </w:numPr>
        <w:rPr>
          <w:rFonts w:ascii="Arial" w:cs="Arial" w:eastAsia="Arial" w:hAnsi="Arial"/>
          <w:sz w:val="14"/>
          <w:szCs w:val="14"/>
          <w:color w:val="auto"/>
        </w:rPr>
      </w:pPr>
      <w:r>
        <w:rPr>
          <w:rFonts w:ascii="Arial" w:cs="Arial" w:eastAsia="Arial" w:hAnsi="Arial"/>
          <w:sz w:val="14"/>
          <w:szCs w:val="14"/>
          <w:color w:val="auto"/>
        </w:rPr>
        <w:t>Brighthouse Variable Annuity Account C (811-05200)</w:t>
      </w:r>
    </w:p>
    <w:p>
      <w:pPr>
        <w:ind w:left="440"/>
        <w:spacing w:after="0" w:line="237" w:lineRule="auto"/>
        <w:rPr>
          <w:sz w:val="20"/>
          <w:szCs w:val="20"/>
          <w:color w:val="auto"/>
        </w:rPr>
      </w:pPr>
      <w:r>
        <w:rPr>
          <w:rFonts w:ascii="Arial" w:cs="Arial" w:eastAsia="Arial" w:hAnsi="Arial"/>
          <w:sz w:val="14"/>
          <w:szCs w:val="14"/>
          <w:color w:val="auto"/>
        </w:rPr>
        <w:t>File No. 333-200244 Class XC</w:t>
      </w:r>
    </w:p>
    <w:p>
      <w:pPr>
        <w:ind w:left="440"/>
        <w:spacing w:after="0" w:line="230" w:lineRule="auto"/>
        <w:rPr>
          <w:sz w:val="20"/>
          <w:szCs w:val="20"/>
          <w:color w:val="auto"/>
        </w:rPr>
      </w:pPr>
      <w:r>
        <w:rPr>
          <w:rFonts w:ascii="Arial" w:cs="Arial" w:eastAsia="Arial" w:hAnsi="Arial"/>
          <w:sz w:val="14"/>
          <w:szCs w:val="14"/>
          <w:color w:val="auto"/>
        </w:rPr>
        <w:t>File No. 333-200247 Class VA, Class AA and Class B</w:t>
      </w:r>
    </w:p>
    <w:p>
      <w:pPr>
        <w:ind w:left="440"/>
        <w:spacing w:after="0" w:line="230" w:lineRule="auto"/>
        <w:rPr>
          <w:sz w:val="20"/>
          <w:szCs w:val="20"/>
          <w:color w:val="auto"/>
        </w:rPr>
      </w:pPr>
      <w:r>
        <w:rPr>
          <w:rFonts w:ascii="Arial" w:cs="Arial" w:eastAsia="Arial" w:hAnsi="Arial"/>
          <w:sz w:val="14"/>
          <w:szCs w:val="14"/>
          <w:color w:val="auto"/>
        </w:rPr>
        <w:t>File No. 333-200249 Class L and Class L - 4 Year</w:t>
      </w:r>
    </w:p>
    <w:p>
      <w:pPr>
        <w:ind w:left="440"/>
        <w:spacing w:after="0" w:line="230" w:lineRule="auto"/>
        <w:rPr>
          <w:sz w:val="20"/>
          <w:szCs w:val="20"/>
          <w:color w:val="auto"/>
        </w:rPr>
      </w:pPr>
      <w:r>
        <w:rPr>
          <w:rFonts w:ascii="Arial" w:cs="Arial" w:eastAsia="Arial" w:hAnsi="Arial"/>
          <w:sz w:val="14"/>
          <w:szCs w:val="14"/>
          <w:color w:val="auto"/>
        </w:rPr>
        <w:t>File No. 333-200252 Class A</w:t>
      </w:r>
    </w:p>
    <w:p>
      <w:pPr>
        <w:ind w:left="440"/>
        <w:spacing w:after="0" w:line="230" w:lineRule="auto"/>
        <w:rPr>
          <w:sz w:val="20"/>
          <w:szCs w:val="20"/>
          <w:color w:val="auto"/>
        </w:rPr>
      </w:pPr>
      <w:r>
        <w:rPr>
          <w:rFonts w:ascii="Arial" w:cs="Arial" w:eastAsia="Arial" w:hAnsi="Arial"/>
          <w:sz w:val="14"/>
          <w:szCs w:val="14"/>
          <w:color w:val="auto"/>
        </w:rPr>
        <w:t>File No. 333-200255 COVA VA, Firstar Summit VA, Premier Advisor VA, Destiny Select VA and Prevail VA</w:t>
      </w:r>
    </w:p>
    <w:p>
      <w:pPr>
        <w:ind w:left="440"/>
        <w:spacing w:after="0" w:line="230" w:lineRule="auto"/>
        <w:rPr>
          <w:sz w:val="20"/>
          <w:szCs w:val="20"/>
          <w:color w:val="auto"/>
        </w:rPr>
      </w:pPr>
      <w:r>
        <w:rPr>
          <w:rFonts w:ascii="Arial" w:cs="Arial" w:eastAsia="Arial" w:hAnsi="Arial"/>
          <w:sz w:val="14"/>
          <w:szCs w:val="14"/>
          <w:color w:val="auto"/>
        </w:rPr>
        <w:t>File No. 333-200258 COVA VA SPDA</w:t>
      </w:r>
    </w:p>
    <w:p>
      <w:pPr>
        <w:ind w:left="440"/>
        <w:spacing w:after="0" w:line="230" w:lineRule="auto"/>
        <w:rPr>
          <w:sz w:val="20"/>
          <w:szCs w:val="20"/>
          <w:color w:val="auto"/>
        </w:rPr>
      </w:pPr>
      <w:r>
        <w:rPr>
          <w:rFonts w:ascii="Arial" w:cs="Arial" w:eastAsia="Arial" w:hAnsi="Arial"/>
          <w:sz w:val="14"/>
          <w:szCs w:val="14"/>
          <w:color w:val="auto"/>
        </w:rPr>
        <w:t>File No. 333-200260 COVA Series A</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4"/>
          <w:szCs w:val="14"/>
          <w:color w:val="auto"/>
        </w:rPr>
        <w:t>File No. 333-200262 Navigator-Select/Custom-Select/Russell-Select</w:t>
      </w:r>
    </w:p>
    <w:p>
      <w:pPr>
        <w:sectPr>
          <w:pgSz w:w="11900" w:h="16838" w:orient="portrait"/>
          <w:cols w:equalWidth="0" w:num="1">
            <w:col w:w="10159"/>
          </w:cols>
          <w:pgMar w:left="300" w:top="240" w:right="1440" w:bottom="1440" w:gutter="0" w:footer="0" w:header="0"/>
        </w:sectPr>
      </w:pPr>
    </w:p>
    <w:bookmarkStart w:id="117" w:name="page118"/>
    <w:bookmarkEnd w:id="117"/>
    <w:p>
      <w:pPr>
        <w:ind w:left="44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9">
                      <a:extLst>
                        <a:ext uri="{28A0092B-C50C-407E-A947-70E740481C1C}"/>
                      </a:extLst>
                    </a:blip>
                    <a:srcRect/>
                    <a:stretch>
                      <a:fillRect/>
                    </a:stretch>
                  </pic:blipFill>
                  <pic:spPr bwMode="auto">
                    <a:xfrm>
                      <a:off x="0" y="0"/>
                      <a:ext cx="7203440" cy="32385"/>
                    </a:xfrm>
                    <a:prstGeom prst="rect">
                      <a:avLst/>
                    </a:prstGeom>
                    <a:noFill/>
                  </pic:spPr>
                </pic:pic>
              </a:graphicData>
            </a:graphic>
          </wp:anchor>
        </w:drawing>
        <w:t>File No. 333-200264 Navigator-Select/Custom-Select/Russell-Select (CA)</w:t>
      </w:r>
    </w:p>
    <w:p>
      <w:pPr>
        <w:ind w:left="440"/>
        <w:spacing w:after="0" w:line="237" w:lineRule="auto"/>
        <w:rPr>
          <w:sz w:val="20"/>
          <w:szCs w:val="20"/>
          <w:color w:val="auto"/>
        </w:rPr>
      </w:pPr>
      <w:r>
        <w:rPr>
          <w:rFonts w:ascii="Arial" w:cs="Arial" w:eastAsia="Arial" w:hAnsi="Arial"/>
          <w:sz w:val="14"/>
          <w:szCs w:val="14"/>
          <w:color w:val="auto"/>
        </w:rPr>
        <w:t>File No. 333-200266 COVA VA and Premier Advisor (CA)</w:t>
      </w:r>
    </w:p>
    <w:p>
      <w:pPr>
        <w:ind w:left="440"/>
        <w:spacing w:after="0" w:line="230" w:lineRule="auto"/>
        <w:rPr>
          <w:sz w:val="20"/>
          <w:szCs w:val="20"/>
          <w:color w:val="auto"/>
        </w:rPr>
      </w:pPr>
      <w:r>
        <w:rPr>
          <w:rFonts w:ascii="Arial" w:cs="Arial" w:eastAsia="Arial" w:hAnsi="Arial"/>
          <w:sz w:val="14"/>
          <w:szCs w:val="14"/>
          <w:color w:val="auto"/>
        </w:rPr>
        <w:t>File No. 333-200267 COVA Series A (CA)</w:t>
      </w:r>
    </w:p>
    <w:p>
      <w:pPr>
        <w:ind w:left="440"/>
        <w:spacing w:after="0" w:line="230" w:lineRule="auto"/>
        <w:rPr>
          <w:sz w:val="20"/>
          <w:szCs w:val="20"/>
          <w:color w:val="auto"/>
        </w:rPr>
      </w:pPr>
      <w:r>
        <w:rPr>
          <w:rFonts w:ascii="Arial" w:cs="Arial" w:eastAsia="Arial" w:hAnsi="Arial"/>
          <w:sz w:val="14"/>
          <w:szCs w:val="14"/>
          <w:color w:val="auto"/>
        </w:rPr>
        <w:t>File No. 333-200269 Class C</w:t>
      </w:r>
    </w:p>
    <w:p>
      <w:pPr>
        <w:ind w:left="440"/>
        <w:spacing w:after="0" w:line="230" w:lineRule="auto"/>
        <w:rPr>
          <w:sz w:val="20"/>
          <w:szCs w:val="20"/>
          <w:color w:val="auto"/>
        </w:rPr>
      </w:pPr>
      <w:r>
        <w:rPr>
          <w:rFonts w:ascii="Arial" w:cs="Arial" w:eastAsia="Arial" w:hAnsi="Arial"/>
          <w:sz w:val="14"/>
          <w:szCs w:val="14"/>
          <w:color w:val="auto"/>
        </w:rPr>
        <w:t>File No. 333-200271 Class VA (CA), Class AA (CA), and Class B (CA)</w:t>
      </w:r>
    </w:p>
    <w:p>
      <w:pPr>
        <w:ind w:left="440"/>
        <w:spacing w:after="0" w:line="230" w:lineRule="auto"/>
        <w:rPr>
          <w:sz w:val="20"/>
          <w:szCs w:val="20"/>
          <w:color w:val="auto"/>
        </w:rPr>
      </w:pPr>
      <w:r>
        <w:rPr>
          <w:rFonts w:ascii="Arial" w:cs="Arial" w:eastAsia="Arial" w:hAnsi="Arial"/>
          <w:sz w:val="14"/>
          <w:szCs w:val="14"/>
          <w:color w:val="auto"/>
        </w:rPr>
        <w:t>File No. 333-200273 Class XC (CA)</w:t>
      </w:r>
    </w:p>
    <w:p>
      <w:pPr>
        <w:ind w:left="440"/>
        <w:spacing w:after="0" w:line="230" w:lineRule="auto"/>
        <w:rPr>
          <w:sz w:val="20"/>
          <w:szCs w:val="20"/>
          <w:color w:val="auto"/>
        </w:rPr>
      </w:pPr>
      <w:r>
        <w:rPr>
          <w:rFonts w:ascii="Arial" w:cs="Arial" w:eastAsia="Arial" w:hAnsi="Arial"/>
          <w:sz w:val="14"/>
          <w:szCs w:val="14"/>
          <w:color w:val="auto"/>
        </w:rPr>
        <w:t>File No. 333-200274 Class L (CA) and Class L - 4 Year (CA)</w:t>
      </w:r>
    </w:p>
    <w:p>
      <w:pPr>
        <w:ind w:left="440"/>
        <w:spacing w:after="0" w:line="230" w:lineRule="auto"/>
        <w:rPr>
          <w:sz w:val="20"/>
          <w:szCs w:val="20"/>
          <w:color w:val="auto"/>
        </w:rPr>
      </w:pPr>
      <w:r>
        <w:rPr>
          <w:rFonts w:ascii="Arial" w:cs="Arial" w:eastAsia="Arial" w:hAnsi="Arial"/>
          <w:sz w:val="14"/>
          <w:szCs w:val="14"/>
          <w:color w:val="auto"/>
        </w:rPr>
        <w:t>File No. 333-200276 Class A (CA)</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4"/>
          <w:szCs w:val="14"/>
          <w:color w:val="auto"/>
        </w:rPr>
        <w:t>File No. 333-200279 Class C (CA),</w:t>
      </w:r>
    </w:p>
    <w:p>
      <w:pPr>
        <w:spacing w:after="0" w:line="166" w:lineRule="exact"/>
        <w:rPr>
          <w:sz w:val="20"/>
          <w:szCs w:val="20"/>
          <w:color w:val="auto"/>
        </w:rPr>
      </w:pPr>
    </w:p>
    <w:p>
      <w:pPr>
        <w:spacing w:after="0"/>
        <w:tabs>
          <w:tab w:leader="none" w:pos="14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3"/>
          <w:szCs w:val="13"/>
          <w:color w:val="auto"/>
        </w:rPr>
        <w:t>Brighthouse Variable Life Account A (811-21851)</w:t>
      </w:r>
    </w:p>
    <w:p>
      <w:pPr>
        <w:spacing w:after="0" w:line="5" w:lineRule="exact"/>
        <w:rPr>
          <w:sz w:val="20"/>
          <w:szCs w:val="20"/>
          <w:color w:val="auto"/>
        </w:rPr>
      </w:pPr>
    </w:p>
    <w:p>
      <w:pPr>
        <w:ind w:left="440"/>
        <w:spacing w:after="0"/>
        <w:rPr>
          <w:sz w:val="20"/>
          <w:szCs w:val="20"/>
          <w:color w:val="auto"/>
        </w:rPr>
      </w:pPr>
      <w:r>
        <w:rPr>
          <w:rFonts w:ascii="Arial" w:cs="Arial" w:eastAsia="Arial" w:hAnsi="Arial"/>
          <w:sz w:val="14"/>
          <w:szCs w:val="14"/>
          <w:color w:val="auto"/>
        </w:rPr>
        <w:t>File No. 333-200241 Equity Advantage Variable Universal Life,</w:t>
      </w:r>
    </w:p>
    <w:p>
      <w:pPr>
        <w:spacing w:after="0" w:line="166" w:lineRule="exact"/>
        <w:rPr>
          <w:sz w:val="20"/>
          <w:szCs w:val="20"/>
          <w:color w:val="auto"/>
        </w:rPr>
      </w:pPr>
    </w:p>
    <w:p>
      <w:pPr>
        <w:ind w:left="440" w:right="6859" w:hanging="438"/>
        <w:spacing w:after="0" w:line="238" w:lineRule="auto"/>
        <w:tabs>
          <w:tab w:leader="none" w:pos="173" w:val="left"/>
        </w:tabs>
        <w:numPr>
          <w:ilvl w:val="0"/>
          <w:numId w:val="125"/>
        </w:numPr>
        <w:rPr>
          <w:rFonts w:ascii="Arial" w:cs="Arial" w:eastAsia="Arial" w:hAnsi="Arial"/>
          <w:sz w:val="14"/>
          <w:szCs w:val="14"/>
          <w:color w:val="auto"/>
        </w:rPr>
      </w:pPr>
      <w:r>
        <w:rPr>
          <w:rFonts w:ascii="Arial" w:cs="Arial" w:eastAsia="Arial" w:hAnsi="Arial"/>
          <w:sz w:val="14"/>
          <w:szCs w:val="14"/>
          <w:color w:val="auto"/>
        </w:rPr>
        <w:t>Brighthouse Variable Life Account One (811-07971) File No. 333-200242 Class VL</w:t>
      </w:r>
    </w:p>
    <w:p>
      <w:pPr>
        <w:spacing w:after="0" w:line="1" w:lineRule="exact"/>
        <w:rPr>
          <w:rFonts w:ascii="Arial" w:cs="Arial" w:eastAsia="Arial" w:hAnsi="Arial"/>
          <w:sz w:val="14"/>
          <w:szCs w:val="14"/>
          <w:color w:val="auto"/>
        </w:rPr>
      </w:pPr>
    </w:p>
    <w:p>
      <w:pPr>
        <w:ind w:left="440"/>
        <w:spacing w:after="0" w:line="230" w:lineRule="auto"/>
        <w:rPr>
          <w:rFonts w:ascii="Arial" w:cs="Arial" w:eastAsia="Arial" w:hAnsi="Arial"/>
          <w:sz w:val="14"/>
          <w:szCs w:val="14"/>
          <w:color w:val="auto"/>
        </w:rPr>
      </w:pPr>
      <w:r>
        <w:rPr>
          <w:rFonts w:ascii="Arial" w:cs="Arial" w:eastAsia="Arial" w:hAnsi="Arial"/>
          <w:sz w:val="14"/>
          <w:szCs w:val="14"/>
          <w:color w:val="auto"/>
        </w:rPr>
        <w:t>File No. 333-200245 Class VL (CA)</w:t>
      </w:r>
    </w:p>
    <w:p>
      <w:pPr>
        <w:ind w:left="440"/>
        <w:spacing w:after="0" w:line="230" w:lineRule="auto"/>
        <w:rPr>
          <w:rFonts w:ascii="Arial" w:cs="Arial" w:eastAsia="Arial" w:hAnsi="Arial"/>
          <w:sz w:val="14"/>
          <w:szCs w:val="14"/>
          <w:color w:val="auto"/>
        </w:rPr>
      </w:pPr>
      <w:r>
        <w:rPr>
          <w:rFonts w:ascii="Arial" w:cs="Arial" w:eastAsia="Arial" w:hAnsi="Arial"/>
          <w:sz w:val="14"/>
          <w:szCs w:val="14"/>
          <w:color w:val="auto"/>
        </w:rPr>
        <w:t>File No. 333-200248 Modified Single Premium Variable Life</w:t>
      </w:r>
    </w:p>
    <w:p>
      <w:pPr>
        <w:ind w:left="440" w:right="5599"/>
        <w:spacing w:after="0" w:line="236" w:lineRule="auto"/>
        <w:rPr>
          <w:rFonts w:ascii="Arial" w:cs="Arial" w:eastAsia="Arial" w:hAnsi="Arial"/>
          <w:sz w:val="14"/>
          <w:szCs w:val="14"/>
          <w:color w:val="auto"/>
        </w:rPr>
      </w:pPr>
      <w:r>
        <w:rPr>
          <w:rFonts w:ascii="Arial" w:cs="Arial" w:eastAsia="Arial" w:hAnsi="Arial"/>
          <w:sz w:val="14"/>
          <w:szCs w:val="14"/>
          <w:color w:val="auto"/>
        </w:rPr>
        <w:t>File No. 333-200251 Custom Select and Russell Select Variable Life File No. 333-200254 Modified Single Premium Variable Life (CA) File No. 333-200257 Custom Select Variable Life,</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color w:val="auto"/>
        </w:rPr>
        <w:t>And pertaining to:</w:t>
      </w:r>
    </w:p>
    <w:p>
      <w:pPr>
        <w:ind w:left="440"/>
        <w:spacing w:after="0" w:line="185" w:lineRule="auto"/>
        <w:rPr>
          <w:sz w:val="20"/>
          <w:szCs w:val="20"/>
          <w:color w:val="auto"/>
        </w:rPr>
      </w:pPr>
      <w:r>
        <w:rPr>
          <w:rFonts w:ascii="Arial" w:cs="Arial" w:eastAsia="Arial" w:hAnsi="Arial"/>
          <w:sz w:val="12"/>
          <w:szCs w:val="12"/>
          <w:color w:val="auto"/>
        </w:rPr>
        <w:t>File No. 333-268618 Brighthouse SmartGuard Plus</w:t>
      </w:r>
      <w:r>
        <w:rPr>
          <w:rFonts w:ascii="Arial" w:cs="Arial" w:eastAsia="Arial" w:hAnsi="Arial"/>
          <w:sz w:val="18"/>
          <w:szCs w:val="18"/>
          <w:color w:val="auto"/>
          <w:vertAlign w:val="superscript"/>
        </w:rPr>
        <w:t>SM</w:t>
      </w:r>
    </w:p>
    <w:p>
      <w:pPr>
        <w:ind w:left="440" w:right="1939"/>
        <w:spacing w:after="0" w:line="189" w:lineRule="auto"/>
        <w:rPr>
          <w:sz w:val="20"/>
          <w:szCs w:val="20"/>
          <w:color w:val="auto"/>
        </w:rPr>
      </w:pPr>
      <w:r>
        <w:rPr>
          <w:rFonts w:ascii="Arial" w:cs="Arial" w:eastAsia="Arial" w:hAnsi="Arial"/>
          <w:sz w:val="13"/>
          <w:szCs w:val="13"/>
          <w:color w:val="auto"/>
        </w:rPr>
        <w:t>File No. 333-262390 Brighthouse Shield</w:t>
      </w:r>
      <w:r>
        <w:rPr>
          <w:rFonts w:ascii="Arial" w:cs="Arial" w:eastAsia="Arial" w:hAnsi="Arial"/>
          <w:sz w:val="19"/>
          <w:szCs w:val="19"/>
          <w:color w:val="auto"/>
          <w:vertAlign w:val="superscript"/>
        </w:rPr>
        <w:t>®</w:t>
      </w:r>
      <w:r>
        <w:rPr>
          <w:rFonts w:ascii="Arial" w:cs="Arial" w:eastAsia="Arial" w:hAnsi="Arial"/>
          <w:sz w:val="13"/>
          <w:szCs w:val="13"/>
          <w:color w:val="auto"/>
        </w:rPr>
        <w:t xml:space="preserve"> Level Pay Plus</w:t>
      </w:r>
      <w:r>
        <w:rPr>
          <w:rFonts w:ascii="Arial" w:cs="Arial" w:eastAsia="Arial" w:hAnsi="Arial"/>
          <w:sz w:val="19"/>
          <w:szCs w:val="19"/>
          <w:color w:val="auto"/>
          <w:vertAlign w:val="superscript"/>
        </w:rPr>
        <w:t>SM</w:t>
      </w:r>
      <w:r>
        <w:rPr>
          <w:rFonts w:ascii="Arial" w:cs="Arial" w:eastAsia="Arial" w:hAnsi="Arial"/>
          <w:sz w:val="13"/>
          <w:szCs w:val="13"/>
          <w:color w:val="auto"/>
        </w:rPr>
        <w:t xml:space="preserve"> Annuity and Brighthouse Shield</w:t>
      </w:r>
      <w:r>
        <w:rPr>
          <w:rFonts w:ascii="Arial" w:cs="Arial" w:eastAsia="Arial" w:hAnsi="Arial"/>
          <w:sz w:val="19"/>
          <w:szCs w:val="19"/>
          <w:color w:val="auto"/>
          <w:vertAlign w:val="superscript"/>
        </w:rPr>
        <w:t>®</w:t>
      </w:r>
      <w:r>
        <w:rPr>
          <w:rFonts w:ascii="Arial" w:cs="Arial" w:eastAsia="Arial" w:hAnsi="Arial"/>
          <w:sz w:val="13"/>
          <w:szCs w:val="13"/>
          <w:color w:val="auto"/>
        </w:rPr>
        <w:t xml:space="preserve"> Level Pay Plus</w:t>
      </w:r>
      <w:r>
        <w:rPr>
          <w:rFonts w:ascii="Arial" w:cs="Arial" w:eastAsia="Arial" w:hAnsi="Arial"/>
          <w:sz w:val="19"/>
          <w:szCs w:val="19"/>
          <w:color w:val="auto"/>
          <w:vertAlign w:val="superscript"/>
        </w:rPr>
        <w:t>SM</w:t>
      </w:r>
      <w:r>
        <w:rPr>
          <w:rFonts w:ascii="Arial" w:cs="Arial" w:eastAsia="Arial" w:hAnsi="Arial"/>
          <w:sz w:val="13"/>
          <w:szCs w:val="13"/>
          <w:color w:val="auto"/>
        </w:rPr>
        <w:t xml:space="preserve"> Advisory Annuity File No. 333-259505 Brighthouse Shield</w:t>
      </w:r>
      <w:r>
        <w:rPr>
          <w:rFonts w:ascii="Arial" w:cs="Arial" w:eastAsia="Arial" w:hAnsi="Arial"/>
          <w:sz w:val="19"/>
          <w:szCs w:val="19"/>
          <w:color w:val="auto"/>
          <w:vertAlign w:val="superscript"/>
        </w:rPr>
        <w:t>®</w:t>
      </w:r>
      <w:r>
        <w:rPr>
          <w:rFonts w:ascii="Arial" w:cs="Arial" w:eastAsia="Arial" w:hAnsi="Arial"/>
          <w:sz w:val="13"/>
          <w:szCs w:val="13"/>
          <w:color w:val="auto"/>
        </w:rPr>
        <w:t xml:space="preserve"> Level Select 6-Year Annuity v.3 File No. 333-233240 Brighthouse Shield</w:t>
      </w:r>
      <w:r>
        <w:rPr>
          <w:rFonts w:ascii="Arial" w:cs="Arial" w:eastAsia="Arial" w:hAnsi="Arial"/>
          <w:sz w:val="19"/>
          <w:szCs w:val="19"/>
          <w:color w:val="auto"/>
          <w:vertAlign w:val="superscript"/>
        </w:rPr>
        <w:t>®</w:t>
      </w:r>
      <w:r>
        <w:rPr>
          <w:rFonts w:ascii="Arial" w:cs="Arial" w:eastAsia="Arial" w:hAnsi="Arial"/>
          <w:sz w:val="13"/>
          <w:szCs w:val="13"/>
          <w:color w:val="auto"/>
        </w:rPr>
        <w:t xml:space="preserve"> Level 10 Advisory Annuity</w:t>
      </w:r>
    </w:p>
    <w:p>
      <w:pPr>
        <w:ind w:left="440"/>
        <w:spacing w:after="0" w:line="180" w:lineRule="auto"/>
        <w:rPr>
          <w:sz w:val="20"/>
          <w:szCs w:val="20"/>
          <w:color w:val="auto"/>
        </w:rPr>
      </w:pPr>
      <w:r>
        <w:rPr>
          <w:rFonts w:ascii="Arial" w:cs="Arial" w:eastAsia="Arial" w:hAnsi="Arial"/>
          <w:sz w:val="12"/>
          <w:szCs w:val="12"/>
          <w:color w:val="auto"/>
        </w:rPr>
        <w:t>File No. 333-268427 Brighthouse Shield</w:t>
      </w:r>
      <w:r>
        <w:rPr>
          <w:rFonts w:ascii="Arial" w:cs="Arial" w:eastAsia="Arial" w:hAnsi="Arial"/>
          <w:sz w:val="18"/>
          <w:szCs w:val="18"/>
          <w:color w:val="auto"/>
          <w:vertAlign w:val="superscript"/>
        </w:rPr>
        <w:t>®</w:t>
      </w:r>
      <w:r>
        <w:rPr>
          <w:rFonts w:ascii="Arial" w:cs="Arial" w:eastAsia="Arial" w:hAnsi="Arial"/>
          <w:sz w:val="12"/>
          <w:szCs w:val="12"/>
          <w:color w:val="auto"/>
        </w:rPr>
        <w:t xml:space="preserve"> Level Select Advisory Annuity</w:t>
      </w:r>
    </w:p>
    <w:p>
      <w:pPr>
        <w:ind w:left="440"/>
        <w:spacing w:after="0" w:line="189" w:lineRule="auto"/>
        <w:rPr>
          <w:sz w:val="20"/>
          <w:szCs w:val="20"/>
          <w:color w:val="auto"/>
        </w:rPr>
      </w:pPr>
      <w:r>
        <w:rPr>
          <w:rFonts w:ascii="Arial" w:cs="Arial" w:eastAsia="Arial" w:hAnsi="Arial"/>
          <w:sz w:val="12"/>
          <w:szCs w:val="12"/>
          <w:color w:val="auto"/>
        </w:rPr>
        <w:t>File No. 333-263492 Brighthouse Shield</w:t>
      </w:r>
      <w:r>
        <w:rPr>
          <w:rFonts w:ascii="Arial" w:cs="Arial" w:eastAsia="Arial" w:hAnsi="Arial"/>
          <w:sz w:val="17"/>
          <w:szCs w:val="17"/>
          <w:color w:val="auto"/>
          <w:vertAlign w:val="superscript"/>
        </w:rPr>
        <w:t>®</w:t>
      </w:r>
      <w:r>
        <w:rPr>
          <w:rFonts w:ascii="Arial" w:cs="Arial" w:eastAsia="Arial" w:hAnsi="Arial"/>
          <w:sz w:val="12"/>
          <w:szCs w:val="12"/>
          <w:color w:val="auto"/>
        </w:rPr>
        <w:t xml:space="preserve"> Level Select 6-Year Annuity</w:t>
      </w:r>
    </w:p>
    <w:p>
      <w:pPr>
        <w:ind w:left="440"/>
        <w:spacing w:after="0" w:line="189" w:lineRule="auto"/>
        <w:rPr>
          <w:sz w:val="20"/>
          <w:szCs w:val="20"/>
          <w:color w:val="auto"/>
        </w:rPr>
      </w:pPr>
      <w:r>
        <w:rPr>
          <w:rFonts w:ascii="Arial" w:cs="Arial" w:eastAsia="Arial" w:hAnsi="Arial"/>
          <w:sz w:val="12"/>
          <w:szCs w:val="12"/>
          <w:color w:val="auto"/>
        </w:rPr>
        <w:t>File No. 333-263495 Brighthouse Shield</w:t>
      </w:r>
      <w:r>
        <w:rPr>
          <w:rFonts w:ascii="Arial" w:cs="Arial" w:eastAsia="Arial" w:hAnsi="Arial"/>
          <w:sz w:val="17"/>
          <w:szCs w:val="17"/>
          <w:color w:val="auto"/>
          <w:vertAlign w:val="superscript"/>
        </w:rPr>
        <w:t>®</w:t>
      </w:r>
      <w:r>
        <w:rPr>
          <w:rFonts w:ascii="Arial" w:cs="Arial" w:eastAsia="Arial" w:hAnsi="Arial"/>
          <w:sz w:val="12"/>
          <w:szCs w:val="12"/>
          <w:color w:val="auto"/>
        </w:rPr>
        <w:t xml:space="preserve"> Level Select 3-Year Annuity</w:t>
      </w:r>
    </w:p>
    <w:p>
      <w:pPr>
        <w:ind w:left="440"/>
        <w:spacing w:after="0" w:line="190" w:lineRule="auto"/>
        <w:rPr>
          <w:sz w:val="20"/>
          <w:szCs w:val="20"/>
          <w:color w:val="auto"/>
        </w:rPr>
      </w:pPr>
      <w:r>
        <w:rPr>
          <w:rFonts w:ascii="Arial" w:cs="Arial" w:eastAsia="Arial" w:hAnsi="Arial"/>
          <w:sz w:val="12"/>
          <w:szCs w:val="12"/>
          <w:color w:val="auto"/>
        </w:rPr>
        <w:t>File No. 333-238213 Brighthouse Shield</w:t>
      </w:r>
      <w:r>
        <w:rPr>
          <w:rFonts w:ascii="Arial" w:cs="Arial" w:eastAsia="Arial" w:hAnsi="Arial"/>
          <w:sz w:val="17"/>
          <w:szCs w:val="17"/>
          <w:color w:val="auto"/>
          <w:vertAlign w:val="superscript"/>
        </w:rPr>
        <w:t>®</w:t>
      </w:r>
      <w:r>
        <w:rPr>
          <w:rFonts w:ascii="Arial" w:cs="Arial" w:eastAsia="Arial" w:hAnsi="Arial"/>
          <w:sz w:val="12"/>
          <w:szCs w:val="12"/>
          <w:color w:val="auto"/>
        </w:rPr>
        <w:t xml:space="preserve"> Level 10 Annuity</w:t>
      </w:r>
    </w:p>
    <w:p>
      <w:pPr>
        <w:ind w:left="440"/>
        <w:spacing w:after="0" w:line="189" w:lineRule="auto"/>
        <w:rPr>
          <w:sz w:val="20"/>
          <w:szCs w:val="20"/>
          <w:color w:val="auto"/>
        </w:rPr>
      </w:pPr>
      <w:r>
        <w:rPr>
          <w:rFonts w:ascii="Arial" w:cs="Arial" w:eastAsia="Arial" w:hAnsi="Arial"/>
          <w:sz w:val="12"/>
          <w:szCs w:val="12"/>
          <w:color w:val="auto"/>
        </w:rPr>
        <w:t>File No. 333-208664 Brighthouse Shield Level Selector</w:t>
      </w:r>
      <w:r>
        <w:rPr>
          <w:rFonts w:ascii="Arial" w:cs="Arial" w:eastAsia="Arial" w:hAnsi="Arial"/>
          <w:sz w:val="17"/>
          <w:szCs w:val="17"/>
          <w:color w:val="auto"/>
          <w:vertAlign w:val="superscript"/>
        </w:rPr>
        <w:t>®</w:t>
      </w:r>
      <w:r>
        <w:rPr>
          <w:rFonts w:ascii="Arial" w:cs="Arial" w:eastAsia="Arial" w:hAnsi="Arial"/>
          <w:sz w:val="12"/>
          <w:szCs w:val="12"/>
          <w:color w:val="auto"/>
        </w:rPr>
        <w:t xml:space="preserve"> Annuity</w:t>
      </w:r>
    </w:p>
    <w:p>
      <w:pPr>
        <w:ind w:left="440"/>
        <w:spacing w:after="0" w:line="190" w:lineRule="auto"/>
        <w:rPr>
          <w:sz w:val="20"/>
          <w:szCs w:val="20"/>
          <w:color w:val="auto"/>
        </w:rPr>
      </w:pPr>
      <w:r>
        <w:rPr>
          <w:rFonts w:ascii="Arial" w:cs="Arial" w:eastAsia="Arial" w:hAnsi="Arial"/>
          <w:sz w:val="12"/>
          <w:szCs w:val="12"/>
          <w:color w:val="auto"/>
        </w:rPr>
        <w:t>File No. 333-207091 Brighthouse Shield Level Selector</w:t>
      </w:r>
      <w:r>
        <w:rPr>
          <w:rFonts w:ascii="Arial" w:cs="Arial" w:eastAsia="Arial" w:hAnsi="Arial"/>
          <w:sz w:val="17"/>
          <w:szCs w:val="17"/>
          <w:color w:val="auto"/>
          <w:vertAlign w:val="superscript"/>
        </w:rPr>
        <w:t>®</w:t>
      </w:r>
      <w:r>
        <w:rPr>
          <w:rFonts w:ascii="Arial" w:cs="Arial" w:eastAsia="Arial" w:hAnsi="Arial"/>
          <w:sz w:val="12"/>
          <w:szCs w:val="12"/>
          <w:color w:val="auto"/>
        </w:rPr>
        <w:t xml:space="preserve"> 3-Year Annuity</w:t>
      </w:r>
    </w:p>
    <w:p>
      <w:pPr>
        <w:ind w:left="440"/>
        <w:spacing w:after="0" w:line="230" w:lineRule="auto"/>
        <w:rPr>
          <w:sz w:val="20"/>
          <w:szCs w:val="20"/>
          <w:color w:val="auto"/>
        </w:rPr>
      </w:pPr>
      <w:r>
        <w:rPr>
          <w:rFonts w:ascii="Arial" w:cs="Arial" w:eastAsia="Arial" w:hAnsi="Arial"/>
          <w:sz w:val="14"/>
          <w:szCs w:val="14"/>
          <w:color w:val="auto"/>
        </w:rPr>
        <w:t>File No. 333-276468 Registered Fixed Account Option</w:t>
      </w:r>
    </w:p>
    <w:p>
      <w:pPr>
        <w:ind w:left="440"/>
        <w:spacing w:after="0" w:line="230" w:lineRule="auto"/>
        <w:rPr>
          <w:sz w:val="20"/>
          <w:szCs w:val="20"/>
          <w:color w:val="auto"/>
        </w:rPr>
      </w:pPr>
      <w:r>
        <w:rPr>
          <w:rFonts w:ascii="Arial" w:cs="Arial" w:eastAsia="Arial" w:hAnsi="Arial"/>
          <w:sz w:val="14"/>
          <w:szCs w:val="14"/>
          <w:color w:val="auto"/>
        </w:rPr>
        <w:t>File No. 333-276469 Fixed Annuity (Strategic Value Annuity)</w:t>
      </w:r>
    </w:p>
    <w:p>
      <w:pPr>
        <w:ind w:left="440"/>
        <w:spacing w:after="0" w:line="230" w:lineRule="auto"/>
        <w:rPr>
          <w:sz w:val="20"/>
          <w:szCs w:val="20"/>
          <w:color w:val="auto"/>
        </w:rPr>
      </w:pPr>
      <w:r>
        <w:rPr>
          <w:rFonts w:ascii="Arial" w:cs="Arial" w:eastAsia="Arial" w:hAnsi="Arial"/>
          <w:sz w:val="14"/>
          <w:szCs w:val="14"/>
          <w:color w:val="auto"/>
        </w:rPr>
        <w:t>File No. 333-276470 Brighthouse Retirement Account Liquidity Benefit</w:t>
      </w:r>
    </w:p>
    <w:p>
      <w:pPr>
        <w:ind w:left="440"/>
        <w:spacing w:after="0" w:line="189" w:lineRule="auto"/>
        <w:rPr>
          <w:sz w:val="20"/>
          <w:szCs w:val="20"/>
          <w:color w:val="auto"/>
        </w:rPr>
      </w:pPr>
      <w:r>
        <w:rPr>
          <w:rFonts w:ascii="Arial" w:cs="Arial" w:eastAsia="Arial" w:hAnsi="Arial"/>
          <w:sz w:val="12"/>
          <w:szCs w:val="12"/>
          <w:color w:val="auto"/>
        </w:rPr>
        <w:t>File No. 333-276599 Brighthouse Shield</w:t>
      </w:r>
      <w:r>
        <w:rPr>
          <w:rFonts w:ascii="Arial" w:cs="Arial" w:eastAsia="Arial" w:hAnsi="Arial"/>
          <w:sz w:val="17"/>
          <w:szCs w:val="17"/>
          <w:color w:val="auto"/>
          <w:vertAlign w:val="superscript"/>
        </w:rPr>
        <w:t>®</w:t>
      </w:r>
      <w:r>
        <w:rPr>
          <w:rFonts w:ascii="Arial" w:cs="Arial" w:eastAsia="Arial" w:hAnsi="Arial"/>
          <w:sz w:val="12"/>
          <w:szCs w:val="12"/>
          <w:color w:val="auto"/>
        </w:rPr>
        <w:t xml:space="preserve"> Level II 6-Year Annuity</w:t>
      </w:r>
    </w:p>
    <w:p>
      <w:pPr>
        <w:ind w:left="440"/>
        <w:spacing w:after="0" w:line="190" w:lineRule="auto"/>
        <w:rPr>
          <w:sz w:val="20"/>
          <w:szCs w:val="20"/>
          <w:color w:val="auto"/>
        </w:rPr>
      </w:pPr>
      <w:r>
        <w:rPr>
          <w:rFonts w:ascii="Arial" w:cs="Arial" w:eastAsia="Arial" w:hAnsi="Arial"/>
          <w:sz w:val="12"/>
          <w:szCs w:val="12"/>
          <w:color w:val="auto"/>
        </w:rPr>
        <w:t>File No. 333-276762 Brighthouse Shield</w:t>
      </w:r>
      <w:r>
        <w:rPr>
          <w:rFonts w:ascii="Arial" w:cs="Arial" w:eastAsia="Arial" w:hAnsi="Arial"/>
          <w:sz w:val="17"/>
          <w:szCs w:val="17"/>
          <w:color w:val="auto"/>
          <w:vertAlign w:val="superscript"/>
        </w:rPr>
        <w:t>®</w:t>
      </w:r>
      <w:r>
        <w:rPr>
          <w:rFonts w:ascii="Arial" w:cs="Arial" w:eastAsia="Arial" w:hAnsi="Arial"/>
          <w:sz w:val="12"/>
          <w:szCs w:val="12"/>
          <w:color w:val="auto"/>
        </w:rPr>
        <w:t xml:space="preserve"> Level II Advisory Annuity</w:t>
      </w:r>
    </w:p>
    <w:p>
      <w:pPr>
        <w:ind w:left="440" w:right="2019"/>
        <w:spacing w:after="0"/>
        <w:rPr>
          <w:sz w:val="20"/>
          <w:szCs w:val="20"/>
          <w:color w:val="auto"/>
        </w:rPr>
      </w:pPr>
      <w:r>
        <w:rPr>
          <w:rFonts w:ascii="Arial" w:cs="Arial" w:eastAsia="Arial" w:hAnsi="Arial"/>
          <w:sz w:val="14"/>
          <w:szCs w:val="14"/>
          <w:color w:val="auto"/>
        </w:rPr>
        <w:t>File No. 333-276763 Brighthouse Shield Level Pay Plus</w:t>
      </w:r>
      <w:r>
        <w:rPr>
          <w:rFonts w:ascii="Arial" w:cs="Arial" w:eastAsia="Arial" w:hAnsi="Arial"/>
          <w:sz w:val="20"/>
          <w:szCs w:val="20"/>
          <w:color w:val="auto"/>
          <w:vertAlign w:val="superscript"/>
        </w:rPr>
        <w:t>®</w:t>
      </w:r>
      <w:r>
        <w:rPr>
          <w:rFonts w:ascii="Arial" w:cs="Arial" w:eastAsia="Arial" w:hAnsi="Arial"/>
          <w:sz w:val="14"/>
          <w:szCs w:val="14"/>
          <w:color w:val="auto"/>
        </w:rPr>
        <w:t xml:space="preserve"> II Annuity and Brighthouse Shield Level Pay Plus</w:t>
      </w:r>
      <w:r>
        <w:rPr>
          <w:rFonts w:ascii="Arial" w:cs="Arial" w:eastAsia="Arial" w:hAnsi="Arial"/>
          <w:sz w:val="20"/>
          <w:szCs w:val="20"/>
          <w:color w:val="auto"/>
          <w:vertAlign w:val="superscript"/>
        </w:rPr>
        <w:t>®</w:t>
      </w:r>
      <w:r>
        <w:rPr>
          <w:rFonts w:ascii="Arial" w:cs="Arial" w:eastAsia="Arial" w:hAnsi="Arial"/>
          <w:sz w:val="14"/>
          <w:szCs w:val="14"/>
          <w:color w:val="auto"/>
        </w:rPr>
        <w:t xml:space="preserve"> II Advisory Annuity File No. 333-279302 Brighthouse Shield</w:t>
      </w:r>
      <w:r>
        <w:rPr>
          <w:rFonts w:ascii="Arial" w:cs="Arial" w:eastAsia="Arial" w:hAnsi="Arial"/>
          <w:sz w:val="20"/>
          <w:szCs w:val="20"/>
          <w:color w:val="auto"/>
          <w:vertAlign w:val="superscript"/>
        </w:rPr>
        <w:t>®</w:t>
      </w:r>
      <w:r>
        <w:rPr>
          <w:rFonts w:ascii="Arial" w:cs="Arial" w:eastAsia="Arial" w:hAnsi="Arial"/>
          <w:sz w:val="14"/>
          <w:szCs w:val="14"/>
          <w:color w:val="auto"/>
        </w:rPr>
        <w:t xml:space="preserve"> Level II 3-Year Annuity T-Mark Fixed Annuity</w:t>
      </w:r>
    </w:p>
    <w:p>
      <w:pPr>
        <w:spacing w:after="0" w:line="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Target Maturity,</w:t>
      </w:r>
    </w:p>
    <w:p>
      <w:pPr>
        <w:spacing w:after="0" w:line="166" w:lineRule="exact"/>
        <w:rPr>
          <w:sz w:val="20"/>
          <w:szCs w:val="20"/>
          <w:color w:val="auto"/>
        </w:rPr>
      </w:pPr>
    </w:p>
    <w:p>
      <w:pPr>
        <w:spacing w:after="0"/>
        <w:tabs>
          <w:tab w:leader="none" w:pos="14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3"/>
          <w:szCs w:val="13"/>
          <w:color w:val="auto"/>
        </w:rPr>
        <w:t>Brighthouse Life Insurance Company (RILA MVA)</w:t>
      </w:r>
    </w:p>
    <w:p>
      <w:pPr>
        <w:spacing w:after="0" w:line="5" w:lineRule="exact"/>
        <w:rPr>
          <w:sz w:val="20"/>
          <w:szCs w:val="20"/>
          <w:color w:val="auto"/>
        </w:rPr>
      </w:pPr>
    </w:p>
    <w:p>
      <w:pPr>
        <w:ind w:left="440" w:right="2019"/>
        <w:spacing w:after="0"/>
        <w:rPr>
          <w:sz w:val="20"/>
          <w:szCs w:val="20"/>
          <w:color w:val="auto"/>
        </w:rPr>
      </w:pPr>
      <w:r>
        <w:rPr>
          <w:rFonts w:ascii="Arial" w:cs="Arial" w:eastAsia="Arial" w:hAnsi="Arial"/>
          <w:sz w:val="13"/>
          <w:szCs w:val="13"/>
          <w:color w:val="auto"/>
        </w:rPr>
        <w:t>File No. 333-282752 Brighthouse Shield Level Pay Plus</w:t>
      </w:r>
      <w:r>
        <w:rPr>
          <w:rFonts w:ascii="Arial" w:cs="Arial" w:eastAsia="Arial" w:hAnsi="Arial"/>
          <w:sz w:val="19"/>
          <w:szCs w:val="19"/>
          <w:color w:val="auto"/>
          <w:vertAlign w:val="superscript"/>
        </w:rPr>
        <w:t>®</w:t>
      </w:r>
      <w:r>
        <w:rPr>
          <w:rFonts w:ascii="Arial" w:cs="Arial" w:eastAsia="Arial" w:hAnsi="Arial"/>
          <w:sz w:val="13"/>
          <w:szCs w:val="13"/>
          <w:color w:val="auto"/>
        </w:rPr>
        <w:t xml:space="preserve"> II Annuity and Brighthouse Shield Level Pay Plus</w:t>
      </w:r>
      <w:r>
        <w:rPr>
          <w:rFonts w:ascii="Arial" w:cs="Arial" w:eastAsia="Arial" w:hAnsi="Arial"/>
          <w:sz w:val="19"/>
          <w:szCs w:val="19"/>
          <w:color w:val="auto"/>
          <w:vertAlign w:val="superscript"/>
        </w:rPr>
        <w:t>®</w:t>
      </w:r>
      <w:r>
        <w:rPr>
          <w:rFonts w:ascii="Arial" w:cs="Arial" w:eastAsia="Arial" w:hAnsi="Arial"/>
          <w:sz w:val="13"/>
          <w:szCs w:val="13"/>
          <w:color w:val="auto"/>
        </w:rPr>
        <w:t xml:space="preserve"> II Advisory Annuity File No. 333-282871 Brighthouse Shield</w:t>
      </w:r>
      <w:r>
        <w:rPr>
          <w:rFonts w:ascii="Arial" w:cs="Arial" w:eastAsia="Arial" w:hAnsi="Arial"/>
          <w:sz w:val="19"/>
          <w:szCs w:val="19"/>
          <w:color w:val="auto"/>
          <w:vertAlign w:val="superscript"/>
        </w:rPr>
        <w:t>®</w:t>
      </w:r>
      <w:r>
        <w:rPr>
          <w:rFonts w:ascii="Arial" w:cs="Arial" w:eastAsia="Arial" w:hAnsi="Arial"/>
          <w:sz w:val="13"/>
          <w:szCs w:val="13"/>
          <w:color w:val="auto"/>
        </w:rPr>
        <w:t xml:space="preserve"> Level II Advisory Annuity File No. 333-283023 Brighthouse Shield</w:t>
      </w:r>
      <w:r>
        <w:rPr>
          <w:rFonts w:ascii="Arial" w:cs="Arial" w:eastAsia="Arial" w:hAnsi="Arial"/>
          <w:sz w:val="19"/>
          <w:szCs w:val="19"/>
          <w:color w:val="auto"/>
          <w:vertAlign w:val="superscript"/>
        </w:rPr>
        <w:t>®</w:t>
      </w:r>
      <w:r>
        <w:rPr>
          <w:rFonts w:ascii="Arial" w:cs="Arial" w:eastAsia="Arial" w:hAnsi="Arial"/>
          <w:sz w:val="13"/>
          <w:szCs w:val="13"/>
          <w:color w:val="auto"/>
        </w:rPr>
        <w:t xml:space="preserve"> Level II 6-Year Annuity</w:t>
      </w:r>
    </w:p>
    <w:p>
      <w:pPr>
        <w:ind w:left="440"/>
        <w:spacing w:after="0" w:line="188" w:lineRule="auto"/>
        <w:rPr>
          <w:sz w:val="20"/>
          <w:szCs w:val="20"/>
          <w:color w:val="auto"/>
        </w:rPr>
      </w:pPr>
      <w:r>
        <w:rPr>
          <w:rFonts w:ascii="Arial" w:cs="Arial" w:eastAsia="Arial" w:hAnsi="Arial"/>
          <w:sz w:val="14"/>
          <w:szCs w:val="14"/>
          <w:color w:val="auto"/>
        </w:rPr>
        <w:t>File No. 333-283024 Brighthouse Shield</w:t>
      </w:r>
      <w:r>
        <w:rPr>
          <w:rFonts w:ascii="Arial" w:cs="Arial" w:eastAsia="Arial" w:hAnsi="Arial"/>
          <w:sz w:val="20"/>
          <w:szCs w:val="20"/>
          <w:color w:val="auto"/>
          <w:vertAlign w:val="superscript"/>
        </w:rPr>
        <w:t>®</w:t>
      </w:r>
      <w:r>
        <w:rPr>
          <w:rFonts w:ascii="Arial" w:cs="Arial" w:eastAsia="Arial" w:hAnsi="Arial"/>
          <w:sz w:val="14"/>
          <w:szCs w:val="14"/>
          <w:color w:val="auto"/>
        </w:rPr>
        <w:t xml:space="preserve"> Level II 3-Year Annuity</w:t>
      </w:r>
    </w:p>
    <w:p>
      <w:pPr>
        <w:ind w:left="440"/>
        <w:spacing w:after="0" w:line="230" w:lineRule="auto"/>
        <w:rPr>
          <w:sz w:val="20"/>
          <w:szCs w:val="20"/>
          <w:color w:val="auto"/>
        </w:rPr>
      </w:pPr>
      <w:r>
        <w:rPr>
          <w:rFonts w:ascii="Arial" w:cs="Arial" w:eastAsia="Arial" w:hAnsi="Arial"/>
          <w:sz w:val="14"/>
          <w:szCs w:val="14"/>
          <w:color w:val="auto"/>
        </w:rPr>
        <w:t>File No. 333-290021 Fixed Account Annuity (Strategic Value Annuity)</w:t>
      </w:r>
    </w:p>
    <w:p>
      <w:pPr>
        <w:ind w:left="580" w:right="2199" w:hanging="155"/>
        <w:spacing w:after="0" w:line="230" w:lineRule="auto"/>
        <w:rPr>
          <w:sz w:val="20"/>
          <w:szCs w:val="20"/>
          <w:color w:val="auto"/>
        </w:rPr>
      </w:pPr>
      <w:r>
        <w:rPr>
          <w:rFonts w:ascii="Arial" w:cs="Arial" w:eastAsia="Arial" w:hAnsi="Arial"/>
          <w:sz w:val="14"/>
          <w:szCs w:val="14"/>
          <w:color w:val="auto"/>
        </w:rPr>
        <w:t>File No. 333-290022 Gold Track and Registered Fixed Account Option and Gold Track Select and Registered Fixed Account Option</w:t>
      </w:r>
    </w:p>
    <w:p>
      <w:pPr>
        <w:ind w:left="440" w:right="3859"/>
        <w:spacing w:after="0" w:line="247" w:lineRule="auto"/>
        <w:rPr>
          <w:sz w:val="20"/>
          <w:szCs w:val="20"/>
          <w:color w:val="auto"/>
        </w:rPr>
      </w:pPr>
      <w:r>
        <w:rPr>
          <w:rFonts w:ascii="Arial" w:cs="Arial" w:eastAsia="Arial" w:hAnsi="Arial"/>
          <w:sz w:val="13"/>
          <w:szCs w:val="13"/>
          <w:color w:val="auto"/>
        </w:rPr>
        <w:t>File No. 333-290023 Brighthouse Retirement Perspectives and Registered Fixed Account Option File No. 333-290024 Unallocated Group Variable Annuity and Registered Fixed Account Option</w:t>
      </w:r>
    </w:p>
    <w:p>
      <w:pPr>
        <w:spacing w:after="0" w:line="1" w:lineRule="exact"/>
        <w:rPr>
          <w:sz w:val="20"/>
          <w:szCs w:val="20"/>
          <w:color w:val="auto"/>
        </w:rPr>
      </w:pPr>
    </w:p>
    <w:p>
      <w:pPr>
        <w:ind w:left="580" w:right="2159" w:hanging="155"/>
        <w:spacing w:after="0"/>
        <w:rPr>
          <w:sz w:val="20"/>
          <w:szCs w:val="20"/>
          <w:color w:val="auto"/>
        </w:rPr>
      </w:pPr>
      <w:r>
        <w:rPr>
          <w:rFonts w:ascii="Arial" w:cs="Arial" w:eastAsia="Arial" w:hAnsi="Arial"/>
          <w:sz w:val="14"/>
          <w:szCs w:val="14"/>
          <w:color w:val="auto"/>
        </w:rPr>
        <w:t>File No. 333-290025 Brighthouse Retirement Account Annuity, Registered Fixed Account Option and Brighthouse Retirement Account Liquidity Benefit</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color w:val="auto"/>
        </w:rPr>
        <w:t>And new annuities and life products such as:</w:t>
      </w:r>
    </w:p>
    <w:p>
      <w:pPr>
        <w:ind w:left="440"/>
        <w:spacing w:after="0" w:line="237" w:lineRule="auto"/>
        <w:rPr>
          <w:sz w:val="20"/>
          <w:szCs w:val="20"/>
          <w:color w:val="auto"/>
        </w:rPr>
      </w:pPr>
      <w:r>
        <w:rPr>
          <w:rFonts w:ascii="Arial" w:cs="Arial" w:eastAsia="Arial" w:hAnsi="Arial"/>
          <w:sz w:val="14"/>
          <w:szCs w:val="14"/>
          <w:color w:val="auto"/>
        </w:rPr>
        <w:t>Brighthouse Shield Annuity</w:t>
      </w:r>
    </w:p>
    <w:p>
      <w:pPr>
        <w:ind w:left="440"/>
        <w:spacing w:after="0" w:line="230" w:lineRule="auto"/>
        <w:rPr>
          <w:sz w:val="20"/>
          <w:szCs w:val="20"/>
          <w:color w:val="auto"/>
        </w:rPr>
      </w:pPr>
      <w:r>
        <w:rPr>
          <w:rFonts w:ascii="Arial" w:cs="Arial" w:eastAsia="Arial" w:hAnsi="Arial"/>
          <w:sz w:val="14"/>
          <w:szCs w:val="14"/>
          <w:color w:val="auto"/>
        </w:rPr>
        <w:t>Brighthouse Shield 3-Year Annuity</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4"/>
          <w:szCs w:val="14"/>
          <w:color w:val="auto"/>
        </w:rPr>
        <w:t>Brighthouse Shield 6-Year Annuity</w:t>
      </w:r>
    </w:p>
    <w:p>
      <w:pPr>
        <w:sectPr>
          <w:pgSz w:w="11900" w:h="16838" w:orient="portrait"/>
          <w:cols w:equalWidth="0" w:num="1">
            <w:col w:w="10159"/>
          </w:cols>
          <w:pgMar w:left="300" w:top="240" w:right="1440" w:bottom="1440" w:gutter="0" w:footer="0" w:header="0"/>
        </w:sectPr>
      </w:pPr>
    </w:p>
    <w:bookmarkStart w:id="118" w:name="page119"/>
    <w:bookmarkEnd w:id="118"/>
    <w:p>
      <w:pPr>
        <w:ind w:left="44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0">
                      <a:extLst>
                        <a:ext uri="{28A0092B-C50C-407E-A947-70E740481C1C}"/>
                      </a:extLst>
                    </a:blip>
                    <a:srcRect/>
                    <a:stretch>
                      <a:fillRect/>
                    </a:stretch>
                  </pic:blipFill>
                  <pic:spPr bwMode="auto">
                    <a:xfrm>
                      <a:off x="0" y="0"/>
                      <a:ext cx="7203440" cy="32385"/>
                    </a:xfrm>
                    <a:prstGeom prst="rect">
                      <a:avLst/>
                    </a:prstGeom>
                    <a:noFill/>
                  </pic:spPr>
                </pic:pic>
              </a:graphicData>
            </a:graphic>
          </wp:anchor>
        </w:drawing>
        <w:t>Brighthouse Index-linked Life Insurance Policy,</w:t>
      </w:r>
    </w:p>
    <w:p>
      <w:pPr>
        <w:spacing w:after="0" w:line="158" w:lineRule="exact"/>
        <w:rPr>
          <w:sz w:val="20"/>
          <w:szCs w:val="20"/>
          <w:color w:val="auto"/>
        </w:rPr>
      </w:pPr>
    </w:p>
    <w:p>
      <w:pPr>
        <w:ind w:right="1979"/>
        <w:spacing w:after="0" w:line="239" w:lineRule="auto"/>
        <w:rPr>
          <w:sz w:val="20"/>
          <w:szCs w:val="20"/>
          <w:color w:val="auto"/>
        </w:rPr>
      </w:pPr>
      <w:r>
        <w:rPr>
          <w:rFonts w:ascii="Arial" w:cs="Arial" w:eastAsia="Arial" w:hAnsi="Arial"/>
          <w:sz w:val="14"/>
          <w:szCs w:val="14"/>
          <w:color w:val="auto"/>
        </w:rPr>
        <w:t>and to have full power and authority to do or cause to be done in my name, place and stead each and every act and thing necessary or appropriate in order to effectuate the same, as fully to all intents and purposes as I might or could do in person, hereby ratifying and confirming all that said attorneys-in-fact or any of them, may do or cause to be done by virtue hereof. This Power of Attorney does not revoke any prior powers of attorney.</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color w:val="auto"/>
        </w:rPr>
        <w:t>IN WITNESS WHEREOF, I have hereunto set my hand this 3rd day of November 2025.</w:t>
      </w:r>
    </w:p>
    <w:p>
      <w:pPr>
        <w:spacing w:after="0" w:line="322"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/s/ Jonathan Rosenthal</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Jonathan Rosenthal</w:t>
      </w:r>
    </w:p>
    <w:p>
      <w:pPr>
        <w:sectPr>
          <w:pgSz w:w="11900" w:h="16838" w:orient="portrait"/>
          <w:cols w:equalWidth="0" w:num="1">
            <w:col w:w="10159"/>
          </w:cols>
          <w:pgMar w:left="300" w:top="240" w:right="1440" w:bottom="1440" w:gutter="0" w:footer="0" w:header="0"/>
        </w:sectPr>
      </w:pPr>
    </w:p>
    <w:bookmarkStart w:id="119" w:name="page120"/>
    <w:bookmarkEnd w:id="119"/>
    <w:p>
      <w:pPr>
        <w:jc w:val="center"/>
        <w:ind w:right="1759"/>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1">
                      <a:extLst>
                        <a:ext uri="{28A0092B-C50C-407E-A947-70E740481C1C}"/>
                      </a:extLst>
                    </a:blip>
                    <a:srcRect/>
                    <a:stretch>
                      <a:fillRect/>
                    </a:stretch>
                  </pic:blipFill>
                  <pic:spPr bwMode="auto">
                    <a:xfrm>
                      <a:off x="0" y="0"/>
                      <a:ext cx="7203440" cy="32385"/>
                    </a:xfrm>
                    <a:prstGeom prst="rect">
                      <a:avLst/>
                    </a:prstGeom>
                    <a:noFill/>
                  </pic:spPr>
                </pic:pic>
              </a:graphicData>
            </a:graphic>
          </wp:anchor>
        </w:drawing>
        <w:t>Brighthouse Life Insurance Company</w:t>
      </w:r>
    </w:p>
    <w:p>
      <w:pPr>
        <w:spacing w:after="0" w:line="158" w:lineRule="exact"/>
        <w:rPr>
          <w:sz w:val="20"/>
          <w:szCs w:val="20"/>
          <w:color w:val="auto"/>
        </w:rPr>
      </w:pPr>
    </w:p>
    <w:p>
      <w:pPr>
        <w:jc w:val="center"/>
        <w:ind w:right="1759"/>
        <w:spacing w:after="0"/>
        <w:rPr>
          <w:sz w:val="20"/>
          <w:szCs w:val="20"/>
          <w:color w:val="auto"/>
        </w:rPr>
      </w:pPr>
      <w:r>
        <w:rPr>
          <w:rFonts w:ascii="Arial" w:cs="Arial" w:eastAsia="Arial" w:hAnsi="Arial"/>
          <w:sz w:val="14"/>
          <w:szCs w:val="14"/>
          <w:color w:val="auto"/>
        </w:rPr>
        <w:t>POWER OF ATTORNEY</w:t>
      </w:r>
    </w:p>
    <w:p>
      <w:pPr>
        <w:spacing w:after="0" w:line="158" w:lineRule="exact"/>
        <w:rPr>
          <w:sz w:val="20"/>
          <w:szCs w:val="20"/>
          <w:color w:val="auto"/>
        </w:rPr>
      </w:pPr>
    </w:p>
    <w:p>
      <w:pPr>
        <w:jc w:val="center"/>
        <w:ind w:right="1759"/>
        <w:spacing w:after="0"/>
        <w:rPr>
          <w:sz w:val="20"/>
          <w:szCs w:val="20"/>
          <w:color w:val="auto"/>
        </w:rPr>
      </w:pPr>
      <w:r>
        <w:rPr>
          <w:rFonts w:ascii="Arial" w:cs="Arial" w:eastAsia="Arial" w:hAnsi="Arial"/>
          <w:sz w:val="14"/>
          <w:szCs w:val="14"/>
          <w:color w:val="auto"/>
        </w:rPr>
        <w:t>Edward A. Spehar</w:t>
      </w:r>
    </w:p>
    <w:p>
      <w:pPr>
        <w:spacing w:after="0" w:line="5" w:lineRule="exact"/>
        <w:rPr>
          <w:sz w:val="20"/>
          <w:szCs w:val="20"/>
          <w:color w:val="auto"/>
        </w:rPr>
      </w:pPr>
    </w:p>
    <w:p>
      <w:pPr>
        <w:jc w:val="center"/>
        <w:ind w:right="1759"/>
        <w:spacing w:after="0"/>
        <w:rPr>
          <w:sz w:val="20"/>
          <w:szCs w:val="20"/>
          <w:color w:val="auto"/>
        </w:rPr>
      </w:pPr>
      <w:r>
        <w:rPr>
          <w:rFonts w:ascii="Arial" w:cs="Arial" w:eastAsia="Arial" w:hAnsi="Arial"/>
          <w:sz w:val="14"/>
          <w:szCs w:val="14"/>
          <w:color w:val="auto"/>
        </w:rPr>
        <w:t>Director, Vice President and Chief Financial Officer</w:t>
      </w:r>
    </w:p>
    <w:p>
      <w:pPr>
        <w:spacing w:after="0" w:line="146" w:lineRule="exact"/>
        <w:rPr>
          <w:sz w:val="20"/>
          <w:szCs w:val="20"/>
          <w:color w:val="auto"/>
        </w:rPr>
      </w:pPr>
    </w:p>
    <w:p>
      <w:pPr>
        <w:ind w:right="1779"/>
        <w:spacing w:after="0" w:line="236" w:lineRule="auto"/>
        <w:rPr>
          <w:sz w:val="20"/>
          <w:szCs w:val="20"/>
          <w:color w:val="auto"/>
        </w:rPr>
      </w:pPr>
      <w:r>
        <w:rPr>
          <w:rFonts w:ascii="Arial" w:cs="Arial" w:eastAsia="Arial" w:hAnsi="Arial"/>
          <w:sz w:val="14"/>
          <w:szCs w:val="14"/>
          <w:color w:val="auto"/>
        </w:rPr>
        <w:t>KNOW ALL MEN BY THESE PRESENTS, that I, Edward A. Spehar, a Director, Vice President and Chief Financial Officer of Brighthouse Life Insurance Company, a Delaware company (the “Company”), do hereby constitute and appoint Michele H. Abate, Allie Lin, and Alexander Ulianov, as my attorney-in-fact and agent, each of whom may act individually and none of whom is required to act jointly with any of the others, to sign and file on my behalf and to execute and file any instrument or document required to be filed as part of or in connection with or in any way related to, the Registration Statements and any and all amendments thereto filed by the Company under the Securities Act of 1933 and/or the Investment Company Act of 1940, pertaining to:</w:t>
      </w:r>
    </w:p>
    <w:p>
      <w:pPr>
        <w:spacing w:after="0" w:line="161" w:lineRule="exact"/>
        <w:rPr>
          <w:sz w:val="20"/>
          <w:szCs w:val="20"/>
          <w:color w:val="auto"/>
        </w:rPr>
      </w:pPr>
    </w:p>
    <w:p>
      <w:pPr>
        <w:ind w:left="440" w:right="6299" w:hanging="438"/>
        <w:spacing w:after="0" w:line="196" w:lineRule="auto"/>
        <w:tabs>
          <w:tab w:leader="none" w:pos="173" w:val="left"/>
        </w:tabs>
        <w:numPr>
          <w:ilvl w:val="0"/>
          <w:numId w:val="126"/>
        </w:numPr>
        <w:rPr>
          <w:rFonts w:ascii="Arial" w:cs="Arial" w:eastAsia="Arial" w:hAnsi="Arial"/>
          <w:sz w:val="14"/>
          <w:szCs w:val="14"/>
          <w:color w:val="auto"/>
        </w:rPr>
      </w:pPr>
      <w:r>
        <w:rPr>
          <w:rFonts w:ascii="Arial" w:cs="Arial" w:eastAsia="Arial" w:hAnsi="Arial"/>
          <w:sz w:val="14"/>
          <w:szCs w:val="14"/>
          <w:color w:val="auto"/>
        </w:rPr>
        <w:t>Brighthouse Fund UL for Variable Life Insurance (811-03927) File No. 002-88637 MarketLife</w:t>
      </w:r>
      <w:r>
        <w:rPr>
          <w:rFonts w:ascii="Arial" w:cs="Arial" w:eastAsia="Arial" w:hAnsi="Arial"/>
          <w:sz w:val="20"/>
          <w:szCs w:val="20"/>
          <w:color w:val="auto"/>
          <w:vertAlign w:val="superscript"/>
        </w:rPr>
        <w:t>SM</w:t>
      </w:r>
      <w:r>
        <w:rPr>
          <w:rFonts w:ascii="Arial" w:cs="Arial" w:eastAsia="Arial" w:hAnsi="Arial"/>
          <w:sz w:val="14"/>
          <w:szCs w:val="14"/>
          <w:color w:val="auto"/>
        </w:rPr>
        <w:t xml:space="preserve"> and Invest</w:t>
      </w:r>
    </w:p>
    <w:p>
      <w:pPr>
        <w:spacing w:after="0" w:line="1" w:lineRule="exact"/>
        <w:rPr>
          <w:rFonts w:ascii="Arial" w:cs="Arial" w:eastAsia="Arial" w:hAnsi="Arial"/>
          <w:sz w:val="14"/>
          <w:szCs w:val="14"/>
          <w:color w:val="auto"/>
        </w:rPr>
      </w:pPr>
    </w:p>
    <w:p>
      <w:pPr>
        <w:ind w:left="440"/>
        <w:spacing w:after="0" w:line="189" w:lineRule="auto"/>
        <w:rPr>
          <w:rFonts w:ascii="Arial" w:cs="Arial" w:eastAsia="Arial" w:hAnsi="Arial"/>
          <w:sz w:val="14"/>
          <w:szCs w:val="14"/>
          <w:color w:val="auto"/>
        </w:rPr>
      </w:pPr>
      <w:r>
        <w:rPr>
          <w:rFonts w:ascii="Arial" w:cs="Arial" w:eastAsia="Arial" w:hAnsi="Arial"/>
          <w:sz w:val="12"/>
          <w:szCs w:val="12"/>
          <w:color w:val="auto"/>
        </w:rPr>
        <w:t>File No. 333-152219 MarketLife</w:t>
      </w:r>
      <w:r>
        <w:rPr>
          <w:rFonts w:ascii="Arial" w:cs="Arial" w:eastAsia="Arial" w:hAnsi="Arial"/>
          <w:sz w:val="17"/>
          <w:szCs w:val="17"/>
          <w:color w:val="auto"/>
          <w:vertAlign w:val="superscript"/>
        </w:rPr>
        <w:t>SM</w:t>
      </w:r>
    </w:p>
    <w:p>
      <w:pPr>
        <w:ind w:left="440" w:right="6099"/>
        <w:spacing w:after="0" w:line="247" w:lineRule="auto"/>
        <w:rPr>
          <w:rFonts w:ascii="Arial" w:cs="Arial" w:eastAsia="Arial" w:hAnsi="Arial"/>
          <w:sz w:val="14"/>
          <w:szCs w:val="14"/>
          <w:color w:val="auto"/>
        </w:rPr>
      </w:pPr>
      <w:r>
        <w:rPr>
          <w:rFonts w:ascii="Arial" w:cs="Arial" w:eastAsia="Arial" w:hAnsi="Arial"/>
          <w:sz w:val="13"/>
          <w:szCs w:val="13"/>
          <w:color w:val="auto"/>
        </w:rPr>
        <w:t>File No. 333-56952 Brighthouse Variable Survivorship Life II File No. 333-69771 Brighthouse Variable Survivorship Life</w:t>
      </w:r>
    </w:p>
    <w:p>
      <w:pPr>
        <w:ind w:left="440" w:right="2939"/>
        <w:spacing w:after="0" w:line="230" w:lineRule="auto"/>
        <w:rPr>
          <w:rFonts w:ascii="Arial" w:cs="Arial" w:eastAsia="Arial" w:hAnsi="Arial"/>
          <w:sz w:val="14"/>
          <w:szCs w:val="14"/>
          <w:color w:val="auto"/>
        </w:rPr>
      </w:pPr>
      <w:r>
        <w:rPr>
          <w:rFonts w:ascii="Arial" w:cs="Arial" w:eastAsia="Arial" w:hAnsi="Arial"/>
          <w:sz w:val="14"/>
          <w:szCs w:val="14"/>
          <w:color w:val="auto"/>
        </w:rPr>
        <w:t>File No. 333-96515 Brighthouse Variable Life Accumulator and Brighthouse Variable Life Accumulator - Series 2 File No. 333-96519 Brighthouse Variable Life</w:t>
      </w:r>
    </w:p>
    <w:p>
      <w:pPr>
        <w:ind w:left="440" w:right="5499"/>
        <w:spacing w:after="0" w:line="230" w:lineRule="auto"/>
        <w:rPr>
          <w:rFonts w:ascii="Arial" w:cs="Arial" w:eastAsia="Arial" w:hAnsi="Arial"/>
          <w:sz w:val="14"/>
          <w:szCs w:val="14"/>
          <w:color w:val="auto"/>
        </w:rPr>
      </w:pPr>
      <w:r>
        <w:rPr>
          <w:rFonts w:ascii="Arial" w:cs="Arial" w:eastAsia="Arial" w:hAnsi="Arial"/>
          <w:sz w:val="14"/>
          <w:szCs w:val="14"/>
          <w:color w:val="auto"/>
        </w:rPr>
        <w:t>File No. 333-113109 Brighthouse Variable Life Accumulator - Series 3 File No. 333-152216 Portfolio Architect Life</w:t>
      </w:r>
    </w:p>
    <w:p>
      <w:pPr>
        <w:ind w:left="440"/>
        <w:spacing w:after="0"/>
        <w:rPr>
          <w:rFonts w:ascii="Arial" w:cs="Arial" w:eastAsia="Arial" w:hAnsi="Arial"/>
          <w:sz w:val="14"/>
          <w:szCs w:val="14"/>
          <w:color w:val="auto"/>
        </w:rPr>
      </w:pPr>
      <w:r>
        <w:rPr>
          <w:rFonts w:ascii="Arial" w:cs="Arial" w:eastAsia="Arial" w:hAnsi="Arial"/>
          <w:sz w:val="14"/>
          <w:szCs w:val="14"/>
          <w:color w:val="auto"/>
        </w:rPr>
        <w:t>File No. 333-152217 VintageLife,</w:t>
      </w:r>
    </w:p>
    <w:p>
      <w:pPr>
        <w:spacing w:after="0" w:line="166" w:lineRule="exact"/>
        <w:rPr>
          <w:rFonts w:ascii="Arial" w:cs="Arial" w:eastAsia="Arial" w:hAnsi="Arial"/>
          <w:sz w:val="14"/>
          <w:szCs w:val="14"/>
          <w:color w:val="auto"/>
        </w:rPr>
      </w:pPr>
    </w:p>
    <w:p>
      <w:pPr>
        <w:ind w:left="160" w:hanging="158"/>
        <w:spacing w:after="0"/>
        <w:tabs>
          <w:tab w:leader="none" w:pos="160" w:val="left"/>
        </w:tabs>
        <w:numPr>
          <w:ilvl w:val="0"/>
          <w:numId w:val="126"/>
        </w:numPr>
        <w:rPr>
          <w:rFonts w:ascii="Arial" w:cs="Arial" w:eastAsia="Arial" w:hAnsi="Arial"/>
          <w:sz w:val="14"/>
          <w:szCs w:val="14"/>
          <w:color w:val="auto"/>
        </w:rPr>
      </w:pPr>
      <w:r>
        <w:rPr>
          <w:rFonts w:ascii="Arial" w:cs="Arial" w:eastAsia="Arial" w:hAnsi="Arial"/>
          <w:sz w:val="14"/>
          <w:szCs w:val="14"/>
          <w:color w:val="auto"/>
        </w:rPr>
        <w:t>Brighthouse Fund UL III for Variable Life Insurance (811-09215)</w:t>
      </w:r>
    </w:p>
    <w:p>
      <w:pPr>
        <w:ind w:left="440"/>
        <w:spacing w:after="0" w:line="237" w:lineRule="auto"/>
        <w:rPr>
          <w:sz w:val="20"/>
          <w:szCs w:val="20"/>
          <w:color w:val="auto"/>
        </w:rPr>
      </w:pPr>
      <w:r>
        <w:rPr>
          <w:rFonts w:ascii="Arial" w:cs="Arial" w:eastAsia="Arial" w:hAnsi="Arial"/>
          <w:sz w:val="14"/>
          <w:szCs w:val="14"/>
          <w:color w:val="auto"/>
        </w:rPr>
        <w:t>File No. 333-71349 Corporate Owned VUL Series 1</w:t>
      </w:r>
    </w:p>
    <w:p>
      <w:pPr>
        <w:ind w:left="440"/>
        <w:spacing w:after="0" w:line="230" w:lineRule="auto"/>
        <w:rPr>
          <w:sz w:val="20"/>
          <w:szCs w:val="20"/>
          <w:color w:val="auto"/>
        </w:rPr>
      </w:pPr>
      <w:r>
        <w:rPr>
          <w:rFonts w:ascii="Arial" w:cs="Arial" w:eastAsia="Arial" w:hAnsi="Arial"/>
          <w:sz w:val="14"/>
          <w:szCs w:val="14"/>
          <w:color w:val="auto"/>
        </w:rPr>
        <w:t>File No. 333-94779 Corporate Owned VUL 2000 and Corporate Owned VUL III</w:t>
      </w:r>
    </w:p>
    <w:p>
      <w:pPr>
        <w:ind w:left="440"/>
        <w:spacing w:after="0" w:line="230" w:lineRule="auto"/>
        <w:rPr>
          <w:sz w:val="20"/>
          <w:szCs w:val="20"/>
          <w:color w:val="auto"/>
        </w:rPr>
      </w:pPr>
      <w:r>
        <w:rPr>
          <w:rFonts w:ascii="Arial" w:cs="Arial" w:eastAsia="Arial" w:hAnsi="Arial"/>
          <w:sz w:val="14"/>
          <w:szCs w:val="14"/>
          <w:color w:val="auto"/>
        </w:rPr>
        <w:t>File No. 333-105335 Corporate Select Policy</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4"/>
          <w:szCs w:val="14"/>
          <w:color w:val="auto"/>
        </w:rPr>
        <w:t>File No. 333-113533 Corporate Owned VUL IV,</w:t>
      </w:r>
    </w:p>
    <w:p>
      <w:pPr>
        <w:spacing w:after="0" w:line="166" w:lineRule="exact"/>
        <w:rPr>
          <w:sz w:val="20"/>
          <w:szCs w:val="20"/>
          <w:color w:val="auto"/>
        </w:rPr>
      </w:pPr>
    </w:p>
    <w:p>
      <w:pPr>
        <w:spacing w:after="0"/>
        <w:tabs>
          <w:tab w:leader="none" w:pos="14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3"/>
          <w:szCs w:val="13"/>
          <w:color w:val="auto"/>
        </w:rPr>
        <w:t>Brighthouse Separate Account A (811-03365)</w:t>
      </w:r>
    </w:p>
    <w:p>
      <w:pPr>
        <w:ind w:left="440"/>
        <w:spacing w:after="0" w:line="237" w:lineRule="auto"/>
        <w:rPr>
          <w:sz w:val="20"/>
          <w:szCs w:val="20"/>
          <w:color w:val="auto"/>
        </w:rPr>
      </w:pPr>
      <w:r>
        <w:rPr>
          <w:rFonts w:ascii="Arial" w:cs="Arial" w:eastAsia="Arial" w:hAnsi="Arial"/>
          <w:sz w:val="14"/>
          <w:szCs w:val="14"/>
          <w:color w:val="auto"/>
        </w:rPr>
        <w:t>File No. 333-200231 Series VA (offered between October 7, 2011 and May 1, 2016)</w:t>
      </w:r>
    </w:p>
    <w:p>
      <w:pPr>
        <w:spacing w:after="0" w:line="1" w:lineRule="exact"/>
        <w:rPr>
          <w:sz w:val="20"/>
          <w:szCs w:val="20"/>
          <w:color w:val="auto"/>
        </w:rPr>
      </w:pPr>
    </w:p>
    <w:p>
      <w:pPr>
        <w:ind w:left="580" w:right="1899" w:hanging="155"/>
        <w:spacing w:after="0" w:line="229" w:lineRule="auto"/>
        <w:rPr>
          <w:sz w:val="20"/>
          <w:szCs w:val="20"/>
          <w:color w:val="auto"/>
        </w:rPr>
      </w:pPr>
      <w:r>
        <w:rPr>
          <w:rFonts w:ascii="Arial" w:cs="Arial" w:eastAsia="Arial" w:hAnsi="Arial"/>
          <w:sz w:val="14"/>
          <w:szCs w:val="14"/>
          <w:color w:val="auto"/>
        </w:rPr>
        <w:t>File No. 333-200232 Series S (offered between October 7, 2011 and May 1, 2016) and Series S-L Share Option (offered between October 7, 2011 and May 1, 2016)</w:t>
      </w:r>
    </w:p>
    <w:p>
      <w:pPr>
        <w:ind w:left="440"/>
        <w:spacing w:after="0" w:line="232" w:lineRule="auto"/>
        <w:rPr>
          <w:sz w:val="20"/>
          <w:szCs w:val="20"/>
          <w:color w:val="auto"/>
        </w:rPr>
      </w:pPr>
      <w:r>
        <w:rPr>
          <w:rFonts w:ascii="Arial" w:cs="Arial" w:eastAsia="Arial" w:hAnsi="Arial"/>
          <w:sz w:val="14"/>
          <w:szCs w:val="14"/>
          <w:color w:val="auto"/>
        </w:rPr>
        <w:t>File No. 333-200233 Series VA-4 (offered between October 7, 2011 and May 1, 2016)</w:t>
      </w:r>
    </w:p>
    <w:p>
      <w:pPr>
        <w:ind w:left="440"/>
        <w:spacing w:after="0" w:line="230" w:lineRule="auto"/>
        <w:rPr>
          <w:sz w:val="20"/>
          <w:szCs w:val="20"/>
          <w:color w:val="auto"/>
        </w:rPr>
      </w:pPr>
      <w:r>
        <w:rPr>
          <w:rFonts w:ascii="Arial" w:cs="Arial" w:eastAsia="Arial" w:hAnsi="Arial"/>
          <w:sz w:val="14"/>
          <w:szCs w:val="14"/>
          <w:color w:val="auto"/>
        </w:rPr>
        <w:t>File No. 333-200234 Series O (offered between April 30, 2012 and July 19, 2015)</w:t>
      </w:r>
    </w:p>
    <w:p>
      <w:pPr>
        <w:ind w:left="440"/>
        <w:spacing w:after="0" w:line="230" w:lineRule="auto"/>
        <w:rPr>
          <w:sz w:val="20"/>
          <w:szCs w:val="20"/>
          <w:color w:val="auto"/>
        </w:rPr>
      </w:pPr>
      <w:r>
        <w:rPr>
          <w:rFonts w:ascii="Arial" w:cs="Arial" w:eastAsia="Arial" w:hAnsi="Arial"/>
          <w:sz w:val="14"/>
          <w:szCs w:val="14"/>
          <w:color w:val="auto"/>
        </w:rPr>
        <w:t>File No. 333-200236 Series L - 4 Year (offered on and after April 29, 2013)</w:t>
      </w:r>
    </w:p>
    <w:p>
      <w:pPr>
        <w:ind w:left="440"/>
        <w:spacing w:after="0" w:line="230" w:lineRule="auto"/>
        <w:rPr>
          <w:sz w:val="20"/>
          <w:szCs w:val="20"/>
          <w:color w:val="auto"/>
        </w:rPr>
      </w:pPr>
      <w:r>
        <w:rPr>
          <w:rFonts w:ascii="Arial" w:cs="Arial" w:eastAsia="Arial" w:hAnsi="Arial"/>
          <w:sz w:val="14"/>
          <w:szCs w:val="14"/>
          <w:color w:val="auto"/>
        </w:rPr>
        <w:t>File No. 333-200237 PrimElite IV</w:t>
      </w:r>
    </w:p>
    <w:p>
      <w:pPr>
        <w:ind w:left="440"/>
        <w:spacing w:after="0" w:line="229" w:lineRule="auto"/>
        <w:rPr>
          <w:sz w:val="20"/>
          <w:szCs w:val="20"/>
          <w:color w:val="auto"/>
        </w:rPr>
      </w:pPr>
      <w:r>
        <w:rPr>
          <w:rFonts w:ascii="Arial" w:cs="Arial" w:eastAsia="Arial" w:hAnsi="Arial"/>
          <w:sz w:val="14"/>
          <w:szCs w:val="14"/>
          <w:color w:val="auto"/>
        </w:rPr>
        <w:t>File No. 333-200238 Marquis Portfolios (offered on and after April 30, 2012)</w:t>
      </w:r>
    </w:p>
    <w:p>
      <w:pPr>
        <w:ind w:left="440"/>
        <w:spacing w:after="0" w:line="231" w:lineRule="auto"/>
        <w:rPr>
          <w:sz w:val="20"/>
          <w:szCs w:val="20"/>
          <w:color w:val="auto"/>
        </w:rPr>
      </w:pPr>
      <w:r>
        <w:rPr>
          <w:rFonts w:ascii="Arial" w:cs="Arial" w:eastAsia="Arial" w:hAnsi="Arial"/>
          <w:sz w:val="14"/>
          <w:szCs w:val="14"/>
          <w:color w:val="auto"/>
        </w:rPr>
        <w:t>File No. 333-200239 Brighthouse Growth and Income</w:t>
      </w:r>
    </w:p>
    <w:p>
      <w:pPr>
        <w:ind w:left="440"/>
        <w:spacing w:after="0" w:line="230" w:lineRule="auto"/>
        <w:rPr>
          <w:sz w:val="20"/>
          <w:szCs w:val="20"/>
          <w:color w:val="auto"/>
        </w:rPr>
      </w:pPr>
      <w:r>
        <w:rPr>
          <w:rFonts w:ascii="Arial" w:cs="Arial" w:eastAsia="Arial" w:hAnsi="Arial"/>
          <w:sz w:val="14"/>
          <w:szCs w:val="14"/>
          <w:color w:val="auto"/>
        </w:rPr>
        <w:t>File No. 333-200240 Group Flexible Payment Variable Annuity (Flexible Bonus/Retirement Companion/Smart Choice)</w:t>
      </w:r>
    </w:p>
    <w:p>
      <w:pPr>
        <w:ind w:left="440"/>
        <w:spacing w:after="0" w:line="230" w:lineRule="auto"/>
        <w:rPr>
          <w:sz w:val="20"/>
          <w:szCs w:val="20"/>
          <w:color w:val="auto"/>
        </w:rPr>
      </w:pPr>
      <w:r>
        <w:rPr>
          <w:rFonts w:ascii="Arial" w:cs="Arial" w:eastAsia="Arial" w:hAnsi="Arial"/>
          <w:sz w:val="14"/>
          <w:szCs w:val="14"/>
          <w:color w:val="auto"/>
        </w:rPr>
        <w:t>File No. 333-200243 PrimElite III</w:t>
      </w:r>
    </w:p>
    <w:p>
      <w:pPr>
        <w:ind w:left="440"/>
        <w:spacing w:after="0" w:line="189" w:lineRule="auto"/>
        <w:rPr>
          <w:sz w:val="20"/>
          <w:szCs w:val="20"/>
          <w:color w:val="auto"/>
        </w:rPr>
      </w:pPr>
      <w:r>
        <w:rPr>
          <w:rFonts w:ascii="Arial" w:cs="Arial" w:eastAsia="Arial" w:hAnsi="Arial"/>
          <w:sz w:val="12"/>
          <w:szCs w:val="12"/>
          <w:color w:val="auto"/>
        </w:rPr>
        <w:t>File No. 333-200246 Brighthouse Simple Solutions</w:t>
      </w:r>
      <w:r>
        <w:rPr>
          <w:rFonts w:ascii="Arial" w:cs="Arial" w:eastAsia="Arial" w:hAnsi="Arial"/>
          <w:sz w:val="17"/>
          <w:szCs w:val="17"/>
          <w:color w:val="auto"/>
          <w:vertAlign w:val="superscript"/>
        </w:rPr>
        <w:t>SM</w:t>
      </w:r>
    </w:p>
    <w:p>
      <w:pPr>
        <w:ind w:left="440"/>
        <w:spacing w:after="0" w:line="230" w:lineRule="auto"/>
        <w:rPr>
          <w:sz w:val="20"/>
          <w:szCs w:val="20"/>
          <w:color w:val="auto"/>
        </w:rPr>
      </w:pPr>
      <w:r>
        <w:rPr>
          <w:rFonts w:ascii="Arial" w:cs="Arial" w:eastAsia="Arial" w:hAnsi="Arial"/>
          <w:sz w:val="14"/>
          <w:szCs w:val="14"/>
          <w:color w:val="auto"/>
        </w:rPr>
        <w:t>File No. 333-200250 Marquis Portfolios (offered between November 7, 2005 and April 30, 2012)</w:t>
      </w:r>
    </w:p>
    <w:p>
      <w:pPr>
        <w:ind w:left="440"/>
        <w:spacing w:after="0" w:line="230" w:lineRule="auto"/>
        <w:rPr>
          <w:sz w:val="20"/>
          <w:szCs w:val="20"/>
          <w:color w:val="auto"/>
        </w:rPr>
      </w:pPr>
      <w:r>
        <w:rPr>
          <w:rFonts w:ascii="Arial" w:cs="Arial" w:eastAsia="Arial" w:hAnsi="Arial"/>
          <w:sz w:val="14"/>
          <w:szCs w:val="14"/>
          <w:color w:val="auto"/>
        </w:rPr>
        <w:t>File No. 333-200253 Series XC</w:t>
      </w:r>
    </w:p>
    <w:p>
      <w:pPr>
        <w:ind w:left="440"/>
        <w:spacing w:after="0" w:line="230" w:lineRule="auto"/>
        <w:rPr>
          <w:sz w:val="20"/>
          <w:szCs w:val="20"/>
          <w:color w:val="auto"/>
        </w:rPr>
      </w:pPr>
      <w:r>
        <w:rPr>
          <w:rFonts w:ascii="Arial" w:cs="Arial" w:eastAsia="Arial" w:hAnsi="Arial"/>
          <w:sz w:val="14"/>
          <w:szCs w:val="14"/>
          <w:color w:val="auto"/>
        </w:rPr>
        <w:t>File No. 333-200256 Series VA (offered between March 22, 2001 and October 7, 2011)</w:t>
      </w:r>
    </w:p>
    <w:p>
      <w:pPr>
        <w:ind w:left="440"/>
        <w:spacing w:after="0" w:line="230" w:lineRule="auto"/>
        <w:rPr>
          <w:sz w:val="20"/>
          <w:szCs w:val="20"/>
          <w:color w:val="auto"/>
        </w:rPr>
      </w:pPr>
      <w:r>
        <w:rPr>
          <w:rFonts w:ascii="Arial" w:cs="Arial" w:eastAsia="Arial" w:hAnsi="Arial"/>
          <w:sz w:val="14"/>
          <w:szCs w:val="14"/>
          <w:color w:val="auto"/>
        </w:rPr>
        <w:t>File No. 333-200259 Series L and Series L - 4 Year (offered between November 22, 2004 and October 7, 2011)</w:t>
      </w:r>
    </w:p>
    <w:p>
      <w:pPr>
        <w:ind w:left="440"/>
        <w:spacing w:after="0" w:line="230" w:lineRule="auto"/>
        <w:rPr>
          <w:sz w:val="20"/>
          <w:szCs w:val="20"/>
          <w:color w:val="auto"/>
        </w:rPr>
      </w:pPr>
      <w:r>
        <w:rPr>
          <w:rFonts w:ascii="Arial" w:cs="Arial" w:eastAsia="Arial" w:hAnsi="Arial"/>
          <w:sz w:val="14"/>
          <w:szCs w:val="14"/>
          <w:color w:val="auto"/>
        </w:rPr>
        <w:t>File No. 333-200261 Series C (offered between September 4, 2001 and October 7, 2011)</w:t>
      </w:r>
    </w:p>
    <w:p>
      <w:pPr>
        <w:ind w:left="440"/>
        <w:spacing w:after="0" w:line="230" w:lineRule="auto"/>
        <w:rPr>
          <w:sz w:val="20"/>
          <w:szCs w:val="20"/>
          <w:color w:val="auto"/>
        </w:rPr>
      </w:pPr>
      <w:r>
        <w:rPr>
          <w:rFonts w:ascii="Arial" w:cs="Arial" w:eastAsia="Arial" w:hAnsi="Arial"/>
          <w:sz w:val="14"/>
          <w:szCs w:val="14"/>
          <w:color w:val="auto"/>
        </w:rPr>
        <w:t>File No. 333-200263 Series XTRA</w:t>
      </w:r>
    </w:p>
    <w:p>
      <w:pPr>
        <w:ind w:left="440"/>
        <w:spacing w:after="0" w:line="230" w:lineRule="auto"/>
        <w:rPr>
          <w:sz w:val="20"/>
          <w:szCs w:val="20"/>
          <w:color w:val="auto"/>
        </w:rPr>
      </w:pPr>
      <w:r>
        <w:rPr>
          <w:rFonts w:ascii="Arial" w:cs="Arial" w:eastAsia="Arial" w:hAnsi="Arial"/>
          <w:sz w:val="14"/>
          <w:szCs w:val="14"/>
          <w:color w:val="auto"/>
        </w:rPr>
        <w:t>File No. 333-200265 Series S and Series S-L Share Option (offered between April 30, 2007 and October 7, 2011)</w:t>
      </w:r>
    </w:p>
    <w:p>
      <w:pPr>
        <w:ind w:left="440"/>
        <w:spacing w:after="0" w:line="230" w:lineRule="auto"/>
        <w:rPr>
          <w:sz w:val="20"/>
          <w:szCs w:val="20"/>
          <w:color w:val="auto"/>
        </w:rPr>
      </w:pPr>
      <w:r>
        <w:rPr>
          <w:rFonts w:ascii="Arial" w:cs="Arial" w:eastAsia="Arial" w:hAnsi="Arial"/>
          <w:sz w:val="14"/>
          <w:szCs w:val="14"/>
          <w:color w:val="auto"/>
        </w:rPr>
        <w:t>File No. 333-200268 Series L - 4 Year (offered between October 7, 2011 and April 28, 2013)</w:t>
      </w:r>
    </w:p>
    <w:p>
      <w:pPr>
        <w:ind w:left="440"/>
        <w:spacing w:after="0" w:line="230" w:lineRule="auto"/>
        <w:rPr>
          <w:sz w:val="20"/>
          <w:szCs w:val="20"/>
          <w:color w:val="auto"/>
        </w:rPr>
      </w:pPr>
      <w:r>
        <w:rPr>
          <w:rFonts w:ascii="Arial" w:cs="Arial" w:eastAsia="Arial" w:hAnsi="Arial"/>
          <w:sz w:val="14"/>
          <w:szCs w:val="14"/>
          <w:color w:val="auto"/>
        </w:rPr>
        <w:t>File No. 333-200270 Group Annuity SF 101</w:t>
      </w:r>
    </w:p>
    <w:p>
      <w:pPr>
        <w:ind w:left="440"/>
        <w:spacing w:after="0" w:line="230" w:lineRule="auto"/>
        <w:rPr>
          <w:sz w:val="20"/>
          <w:szCs w:val="20"/>
          <w:color w:val="auto"/>
        </w:rPr>
      </w:pPr>
      <w:r>
        <w:rPr>
          <w:rFonts w:ascii="Arial" w:cs="Arial" w:eastAsia="Arial" w:hAnsi="Arial"/>
          <w:sz w:val="14"/>
          <w:szCs w:val="14"/>
          <w:color w:val="auto"/>
        </w:rPr>
        <w:t>File No. 333-200272 Ultimate Annuity FSL 224</w:t>
      </w:r>
    </w:p>
    <w:p>
      <w:pPr>
        <w:ind w:left="440"/>
        <w:spacing w:after="0" w:line="230" w:lineRule="auto"/>
        <w:rPr>
          <w:sz w:val="20"/>
          <w:szCs w:val="20"/>
          <w:color w:val="auto"/>
        </w:rPr>
      </w:pPr>
      <w:r>
        <w:rPr>
          <w:rFonts w:ascii="Arial" w:cs="Arial" w:eastAsia="Arial" w:hAnsi="Arial"/>
          <w:sz w:val="14"/>
          <w:szCs w:val="14"/>
          <w:color w:val="auto"/>
        </w:rPr>
        <w:t>File No. 333-200275 Foresight SF 137</w:t>
      </w:r>
    </w:p>
    <w:p>
      <w:pPr>
        <w:ind w:left="440"/>
        <w:spacing w:after="0" w:line="230" w:lineRule="auto"/>
        <w:rPr>
          <w:sz w:val="20"/>
          <w:szCs w:val="20"/>
          <w:color w:val="auto"/>
        </w:rPr>
      </w:pPr>
      <w:r>
        <w:rPr>
          <w:rFonts w:ascii="Arial" w:cs="Arial" w:eastAsia="Arial" w:hAnsi="Arial"/>
          <w:sz w:val="14"/>
          <w:szCs w:val="14"/>
          <w:color w:val="auto"/>
        </w:rPr>
        <w:t>File No. 333-200277 SecurAnnuity (CLICO) 224/ SF 1700</w:t>
      </w:r>
    </w:p>
    <w:p>
      <w:pPr>
        <w:ind w:left="440"/>
        <w:spacing w:after="0" w:line="230" w:lineRule="auto"/>
        <w:rPr>
          <w:sz w:val="20"/>
          <w:szCs w:val="20"/>
          <w:color w:val="auto"/>
        </w:rPr>
      </w:pPr>
      <w:r>
        <w:rPr>
          <w:rFonts w:ascii="Arial" w:cs="Arial" w:eastAsia="Arial" w:hAnsi="Arial"/>
          <w:sz w:val="14"/>
          <w:szCs w:val="14"/>
          <w:color w:val="auto"/>
        </w:rPr>
        <w:t>File No. 333-200278 Group VA SF 234 (Texas)</w:t>
      </w:r>
    </w:p>
    <w:p>
      <w:pPr>
        <w:ind w:left="440"/>
        <w:spacing w:after="0" w:line="230" w:lineRule="auto"/>
        <w:rPr>
          <w:sz w:val="20"/>
          <w:szCs w:val="20"/>
          <w:color w:val="auto"/>
        </w:rPr>
      </w:pPr>
      <w:r>
        <w:rPr>
          <w:rFonts w:ascii="Arial" w:cs="Arial" w:eastAsia="Arial" w:hAnsi="Arial"/>
          <w:sz w:val="14"/>
          <w:szCs w:val="14"/>
          <w:color w:val="auto"/>
        </w:rPr>
        <w:t>File No. 333-200280 Sunshine SF 236 FL</w:t>
      </w:r>
    </w:p>
    <w:p>
      <w:pPr>
        <w:ind w:left="440"/>
        <w:spacing w:after="0" w:line="230" w:lineRule="auto"/>
        <w:rPr>
          <w:sz w:val="20"/>
          <w:szCs w:val="20"/>
          <w:color w:val="auto"/>
        </w:rPr>
      </w:pPr>
      <w:r>
        <w:rPr>
          <w:rFonts w:ascii="Arial" w:cs="Arial" w:eastAsia="Arial" w:hAnsi="Arial"/>
          <w:sz w:val="14"/>
          <w:szCs w:val="14"/>
          <w:color w:val="auto"/>
        </w:rPr>
        <w:t>File No. 333-200281 Flexible Value SF 230</w:t>
      </w:r>
    </w:p>
    <w:p>
      <w:pPr>
        <w:ind w:left="440" w:right="3199"/>
        <w:spacing w:after="0"/>
        <w:rPr>
          <w:sz w:val="20"/>
          <w:szCs w:val="20"/>
          <w:color w:val="auto"/>
        </w:rPr>
      </w:pPr>
      <w:r>
        <w:rPr>
          <w:rFonts w:ascii="Arial" w:cs="Arial" w:eastAsia="Arial" w:hAnsi="Arial"/>
          <w:sz w:val="14"/>
          <w:szCs w:val="14"/>
          <w:color w:val="auto"/>
        </w:rPr>
        <w:t>File No. 333-200282 Investors Choice Annuity, Capital Strategist Annuity, Imprint Annuity and Strive Annuity File No. 333-200283 Protected Equity Portfolio (PEP)</w:t>
      </w:r>
    </w:p>
    <w:p>
      <w:pPr>
        <w:sectPr>
          <w:pgSz w:w="11900" w:h="16838" w:orient="portrait"/>
          <w:cols w:equalWidth="0" w:num="1">
            <w:col w:w="10159"/>
          </w:cols>
          <w:pgMar w:left="300" w:top="240" w:right="1440" w:bottom="1440" w:gutter="0" w:footer="0" w:header="0"/>
        </w:sectPr>
      </w:pPr>
    </w:p>
    <w:bookmarkStart w:id="120" w:name="page121"/>
    <w:bookmarkEnd w:id="120"/>
    <w:p>
      <w:pPr>
        <w:ind w:left="44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2">
                      <a:extLst>
                        <a:ext uri="{28A0092B-C50C-407E-A947-70E740481C1C}"/>
                      </a:extLst>
                    </a:blip>
                    <a:srcRect/>
                    <a:stretch>
                      <a:fillRect/>
                    </a:stretch>
                  </pic:blipFill>
                  <pic:spPr bwMode="auto">
                    <a:xfrm>
                      <a:off x="0" y="0"/>
                      <a:ext cx="7203440" cy="32385"/>
                    </a:xfrm>
                    <a:prstGeom prst="rect">
                      <a:avLst/>
                    </a:prstGeom>
                    <a:noFill/>
                  </pic:spPr>
                </pic:pic>
              </a:graphicData>
            </a:graphic>
          </wp:anchor>
        </w:drawing>
        <w:t>File No. 333-200284 Vintage L and Vintage XC</w:t>
      </w:r>
    </w:p>
    <w:p>
      <w:pPr>
        <w:ind w:left="440"/>
        <w:spacing w:after="0" w:line="237" w:lineRule="auto"/>
        <w:rPr>
          <w:sz w:val="20"/>
          <w:szCs w:val="20"/>
          <w:color w:val="auto"/>
        </w:rPr>
      </w:pPr>
      <w:r>
        <w:rPr>
          <w:rFonts w:ascii="Arial" w:cs="Arial" w:eastAsia="Arial" w:hAnsi="Arial"/>
          <w:sz w:val="14"/>
          <w:szCs w:val="14"/>
          <w:color w:val="auto"/>
        </w:rPr>
        <w:t>File No. 333-200285 Series XTRA 6</w:t>
      </w:r>
    </w:p>
    <w:p>
      <w:pPr>
        <w:ind w:left="440"/>
        <w:spacing w:after="0" w:line="230" w:lineRule="auto"/>
        <w:rPr>
          <w:sz w:val="20"/>
          <w:szCs w:val="20"/>
          <w:color w:val="auto"/>
        </w:rPr>
      </w:pPr>
      <w:r>
        <w:rPr>
          <w:rFonts w:ascii="Arial" w:cs="Arial" w:eastAsia="Arial" w:hAnsi="Arial"/>
          <w:sz w:val="14"/>
          <w:szCs w:val="14"/>
          <w:color w:val="auto"/>
        </w:rPr>
        <w:t>File No. 333-200286 Series VA - 4 (offered between May 1, 2011 and October 7, 2011)</w:t>
      </w:r>
    </w:p>
    <w:p>
      <w:pPr>
        <w:ind w:left="440"/>
        <w:spacing w:after="0" w:line="230" w:lineRule="auto"/>
        <w:rPr>
          <w:sz w:val="20"/>
          <w:szCs w:val="20"/>
          <w:color w:val="auto"/>
        </w:rPr>
      </w:pPr>
      <w:r>
        <w:rPr>
          <w:rFonts w:ascii="Arial" w:cs="Arial" w:eastAsia="Arial" w:hAnsi="Arial"/>
          <w:sz w:val="14"/>
          <w:szCs w:val="14"/>
          <w:color w:val="auto"/>
        </w:rPr>
        <w:t>File No. 333-200287 Series C (offered on and after October 7, 2011)</w:t>
      </w:r>
    </w:p>
    <w:p>
      <w:pPr>
        <w:ind w:left="440"/>
        <w:spacing w:after="0" w:line="230" w:lineRule="auto"/>
        <w:rPr>
          <w:sz w:val="20"/>
          <w:szCs w:val="20"/>
          <w:color w:val="auto"/>
        </w:rPr>
      </w:pPr>
      <w:r>
        <w:rPr>
          <w:rFonts w:ascii="Arial" w:cs="Arial" w:eastAsia="Arial" w:hAnsi="Arial"/>
          <w:sz w:val="14"/>
          <w:szCs w:val="14"/>
          <w:color w:val="auto"/>
        </w:rPr>
        <w:t>File No. 333-200288 Pioneer PRISM</w:t>
      </w:r>
    </w:p>
    <w:p>
      <w:pPr>
        <w:ind w:left="440"/>
        <w:spacing w:after="0" w:line="230" w:lineRule="auto"/>
        <w:rPr>
          <w:sz w:val="20"/>
          <w:szCs w:val="20"/>
          <w:color w:val="auto"/>
        </w:rPr>
      </w:pPr>
      <w:r>
        <w:rPr>
          <w:rFonts w:ascii="Arial" w:cs="Arial" w:eastAsia="Arial" w:hAnsi="Arial"/>
          <w:sz w:val="14"/>
          <w:szCs w:val="14"/>
          <w:color w:val="auto"/>
        </w:rPr>
        <w:t>File No. 333-200289 Pioneer PRISM L</w:t>
      </w:r>
    </w:p>
    <w:p>
      <w:pPr>
        <w:ind w:left="440"/>
        <w:spacing w:after="0" w:line="230" w:lineRule="auto"/>
        <w:rPr>
          <w:sz w:val="20"/>
          <w:szCs w:val="20"/>
          <w:color w:val="auto"/>
        </w:rPr>
      </w:pPr>
      <w:r>
        <w:rPr>
          <w:rFonts w:ascii="Arial" w:cs="Arial" w:eastAsia="Arial" w:hAnsi="Arial"/>
          <w:sz w:val="14"/>
          <w:szCs w:val="14"/>
          <w:color w:val="auto"/>
        </w:rPr>
        <w:t>File No. 333-200290 Pioneer PRISM XC</w:t>
      </w:r>
    </w:p>
    <w:p>
      <w:pPr>
        <w:spacing w:after="0" w:line="1" w:lineRule="exact"/>
        <w:rPr>
          <w:sz w:val="20"/>
          <w:szCs w:val="20"/>
          <w:color w:val="auto"/>
        </w:rPr>
      </w:pPr>
    </w:p>
    <w:p>
      <w:pPr>
        <w:ind w:left="580" w:right="2279" w:hanging="155"/>
        <w:spacing w:after="0" w:line="214" w:lineRule="auto"/>
        <w:rPr>
          <w:sz w:val="20"/>
          <w:szCs w:val="20"/>
          <w:color w:val="auto"/>
        </w:rPr>
      </w:pPr>
      <w:r>
        <w:rPr>
          <w:rFonts w:ascii="Arial" w:cs="Arial" w:eastAsia="Arial" w:hAnsi="Arial"/>
          <w:sz w:val="12"/>
          <w:szCs w:val="12"/>
          <w:color w:val="auto"/>
        </w:rPr>
        <w:t>File No. 333-200323 Brighthouse Investment Portfolio Architect</w:t>
      </w:r>
      <w:r>
        <w:rPr>
          <w:rFonts w:ascii="Arial" w:cs="Arial" w:eastAsia="Arial" w:hAnsi="Arial"/>
          <w:sz w:val="18"/>
          <w:szCs w:val="18"/>
          <w:color w:val="auto"/>
          <w:vertAlign w:val="superscript"/>
        </w:rPr>
        <w:t>SM</w:t>
      </w:r>
      <w:r>
        <w:rPr>
          <w:rFonts w:ascii="Arial" w:cs="Arial" w:eastAsia="Arial" w:hAnsi="Arial"/>
          <w:sz w:val="12"/>
          <w:szCs w:val="12"/>
          <w:color w:val="auto"/>
        </w:rPr>
        <w:t xml:space="preserve"> - Standard Version and Brighthouse Investment Portfolio Architect</w:t>
      </w:r>
      <w:r>
        <w:rPr>
          <w:rFonts w:ascii="Arial" w:cs="Arial" w:eastAsia="Arial" w:hAnsi="Arial"/>
          <w:sz w:val="18"/>
          <w:szCs w:val="18"/>
          <w:color w:val="auto"/>
          <w:vertAlign w:val="superscript"/>
        </w:rPr>
        <w:t>SM</w:t>
      </w:r>
      <w:r>
        <w:rPr>
          <w:rFonts w:ascii="Arial" w:cs="Arial" w:eastAsia="Arial" w:hAnsi="Arial"/>
          <w:sz w:val="12"/>
          <w:szCs w:val="12"/>
          <w:color w:val="auto"/>
        </w:rPr>
        <w:t xml:space="preserve"> - C Share Option</w:t>
      </w:r>
    </w:p>
    <w:p>
      <w:pPr>
        <w:ind w:left="440"/>
        <w:spacing w:after="0" w:line="231" w:lineRule="auto"/>
        <w:rPr>
          <w:sz w:val="20"/>
          <w:szCs w:val="20"/>
          <w:color w:val="auto"/>
        </w:rPr>
      </w:pPr>
      <w:r>
        <w:rPr>
          <w:rFonts w:ascii="Arial" w:cs="Arial" w:eastAsia="Arial" w:hAnsi="Arial"/>
          <w:sz w:val="14"/>
          <w:szCs w:val="14"/>
          <w:color w:val="auto"/>
        </w:rPr>
        <w:t>File No. 333-203748 Series O (offered on and after July 20, 2015)</w:t>
      </w:r>
    </w:p>
    <w:p>
      <w:pPr>
        <w:ind w:left="440"/>
        <w:spacing w:after="0" w:line="230" w:lineRule="auto"/>
        <w:rPr>
          <w:sz w:val="20"/>
          <w:szCs w:val="20"/>
          <w:color w:val="auto"/>
        </w:rPr>
      </w:pPr>
      <w:r>
        <w:rPr>
          <w:rFonts w:ascii="Arial" w:cs="Arial" w:eastAsia="Arial" w:hAnsi="Arial"/>
          <w:sz w:val="14"/>
          <w:szCs w:val="14"/>
          <w:color w:val="auto"/>
        </w:rPr>
        <w:t>File No. 333-209053 Series VA (offered on and after May 2, 2016)</w:t>
      </w:r>
    </w:p>
    <w:p>
      <w:pPr>
        <w:ind w:left="440"/>
        <w:spacing w:after="0" w:line="230" w:lineRule="auto"/>
        <w:rPr>
          <w:sz w:val="20"/>
          <w:szCs w:val="20"/>
          <w:color w:val="auto"/>
        </w:rPr>
      </w:pPr>
      <w:r>
        <w:rPr>
          <w:rFonts w:ascii="Arial" w:cs="Arial" w:eastAsia="Arial" w:hAnsi="Arial"/>
          <w:sz w:val="14"/>
          <w:szCs w:val="14"/>
          <w:color w:val="auto"/>
        </w:rPr>
        <w:t>File No. 333-209054 Series VA- 4 (offered on and after May 2, 2016)</w:t>
      </w:r>
    </w:p>
    <w:p>
      <w:pPr>
        <w:ind w:left="440"/>
        <w:spacing w:after="0"/>
        <w:rPr>
          <w:sz w:val="20"/>
          <w:szCs w:val="20"/>
          <w:color w:val="auto"/>
        </w:rPr>
      </w:pPr>
      <w:r>
        <w:rPr>
          <w:rFonts w:ascii="Arial" w:cs="Arial" w:eastAsia="Arial" w:hAnsi="Arial"/>
          <w:sz w:val="13"/>
          <w:szCs w:val="13"/>
          <w:color w:val="auto"/>
        </w:rPr>
        <w:t>File No. 333-209055 Series S (offered on and after May 2, 2016) and Series S-L Share Option (offered on and after May 2, 2016)</w:t>
      </w:r>
    </w:p>
    <w:p>
      <w:pPr>
        <w:spacing w:after="0" w:line="5" w:lineRule="exact"/>
        <w:rPr>
          <w:sz w:val="20"/>
          <w:szCs w:val="20"/>
          <w:color w:val="auto"/>
        </w:rPr>
      </w:pPr>
    </w:p>
    <w:p>
      <w:pPr>
        <w:ind w:left="440"/>
        <w:spacing w:after="0"/>
        <w:rPr>
          <w:sz w:val="20"/>
          <w:szCs w:val="20"/>
          <w:color w:val="auto"/>
        </w:rPr>
      </w:pPr>
      <w:r>
        <w:rPr>
          <w:rFonts w:ascii="Arial" w:cs="Arial" w:eastAsia="Arial" w:hAnsi="Arial"/>
          <w:sz w:val="14"/>
          <w:szCs w:val="14"/>
          <w:color w:val="auto"/>
        </w:rPr>
        <w:t>File No. 333-209411 Brighthouse Prime Options,</w:t>
      </w:r>
    </w:p>
    <w:p>
      <w:pPr>
        <w:spacing w:after="0" w:line="166" w:lineRule="exact"/>
        <w:rPr>
          <w:sz w:val="20"/>
          <w:szCs w:val="20"/>
          <w:color w:val="auto"/>
        </w:rPr>
      </w:pPr>
    </w:p>
    <w:p>
      <w:pPr>
        <w:spacing w:after="0"/>
        <w:tabs>
          <w:tab w:leader="none" w:pos="14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3"/>
          <w:szCs w:val="13"/>
          <w:color w:val="auto"/>
        </w:rPr>
        <w:t>Brighthouse Separate Account Eleven for Variable Annuities (811-21262)</w:t>
      </w:r>
    </w:p>
    <w:p>
      <w:pPr>
        <w:spacing w:after="0" w:line="5" w:lineRule="exact"/>
        <w:rPr>
          <w:sz w:val="20"/>
          <w:szCs w:val="20"/>
          <w:color w:val="auto"/>
        </w:rPr>
      </w:pPr>
    </w:p>
    <w:p>
      <w:pPr>
        <w:ind w:left="580" w:right="2059" w:hanging="155"/>
        <w:spacing w:after="0" w:line="230" w:lineRule="auto"/>
        <w:rPr>
          <w:sz w:val="20"/>
          <w:szCs w:val="20"/>
          <w:color w:val="auto"/>
        </w:rPr>
      </w:pPr>
      <w:r>
        <w:rPr>
          <w:rFonts w:ascii="Arial" w:cs="Arial" w:eastAsia="Arial" w:hAnsi="Arial"/>
          <w:sz w:val="14"/>
          <w:szCs w:val="14"/>
          <w:color w:val="auto"/>
        </w:rPr>
        <w:t>File Nos. 333-101778 and 333-152234 Pioneer AnnuiStar Plus Annuity, Portfolio Architect Plus Annuity and Scudder Advocate Rewards Annuity</w:t>
      </w:r>
    </w:p>
    <w:p>
      <w:pPr>
        <w:ind w:left="440"/>
        <w:spacing w:after="0" w:line="230" w:lineRule="auto"/>
        <w:rPr>
          <w:sz w:val="20"/>
          <w:szCs w:val="20"/>
          <w:color w:val="auto"/>
        </w:rPr>
      </w:pPr>
      <w:r>
        <w:rPr>
          <w:rFonts w:ascii="Arial" w:cs="Arial" w:eastAsia="Arial" w:hAnsi="Arial"/>
          <w:sz w:val="14"/>
          <w:szCs w:val="14"/>
          <w:color w:val="auto"/>
        </w:rPr>
        <w:t>File No. 333-152189 Universal Annuity</w:t>
      </w:r>
    </w:p>
    <w:p>
      <w:pPr>
        <w:ind w:left="440"/>
        <w:spacing w:after="0" w:line="230" w:lineRule="auto"/>
        <w:rPr>
          <w:sz w:val="20"/>
          <w:szCs w:val="20"/>
          <w:color w:val="auto"/>
        </w:rPr>
      </w:pPr>
      <w:r>
        <w:rPr>
          <w:rFonts w:ascii="Arial" w:cs="Arial" w:eastAsia="Arial" w:hAnsi="Arial"/>
          <w:sz w:val="14"/>
          <w:szCs w:val="14"/>
          <w:color w:val="auto"/>
        </w:rPr>
        <w:t>File No. 333-152190 Universal Select Annuity</w:t>
      </w:r>
    </w:p>
    <w:p>
      <w:pPr>
        <w:ind w:left="440"/>
        <w:spacing w:after="0" w:line="230" w:lineRule="auto"/>
        <w:rPr>
          <w:sz w:val="20"/>
          <w:szCs w:val="20"/>
          <w:color w:val="auto"/>
        </w:rPr>
      </w:pPr>
      <w:r>
        <w:rPr>
          <w:rFonts w:ascii="Arial" w:cs="Arial" w:eastAsia="Arial" w:hAnsi="Arial"/>
          <w:sz w:val="14"/>
          <w:szCs w:val="14"/>
          <w:color w:val="auto"/>
        </w:rPr>
        <w:t>File No. 333-152191 Universal Annuity Advantage</w:t>
      </w:r>
    </w:p>
    <w:p>
      <w:pPr>
        <w:ind w:left="440"/>
        <w:spacing w:after="0" w:line="230" w:lineRule="auto"/>
        <w:rPr>
          <w:sz w:val="20"/>
          <w:szCs w:val="20"/>
          <w:color w:val="auto"/>
        </w:rPr>
      </w:pPr>
      <w:r>
        <w:rPr>
          <w:rFonts w:ascii="Arial" w:cs="Arial" w:eastAsia="Arial" w:hAnsi="Arial"/>
          <w:sz w:val="14"/>
          <w:szCs w:val="14"/>
          <w:color w:val="auto"/>
        </w:rPr>
        <w:t>File Nos. 333-152192 and 333-152193 Brighthouse Retirement Account</w:t>
      </w:r>
    </w:p>
    <w:p>
      <w:pPr>
        <w:ind w:left="440"/>
        <w:spacing w:after="0" w:line="230" w:lineRule="auto"/>
        <w:rPr>
          <w:sz w:val="20"/>
          <w:szCs w:val="20"/>
          <w:color w:val="auto"/>
        </w:rPr>
      </w:pPr>
      <w:r>
        <w:rPr>
          <w:rFonts w:ascii="Arial" w:cs="Arial" w:eastAsia="Arial" w:hAnsi="Arial"/>
          <w:sz w:val="14"/>
          <w:szCs w:val="14"/>
          <w:color w:val="auto"/>
        </w:rPr>
        <w:t>File No. 333-152194 Gold Track and Gold Track Select</w:t>
      </w:r>
    </w:p>
    <w:p>
      <w:pPr>
        <w:ind w:left="440" w:right="3219"/>
        <w:spacing w:after="0" w:line="229" w:lineRule="auto"/>
        <w:rPr>
          <w:sz w:val="20"/>
          <w:szCs w:val="20"/>
          <w:color w:val="auto"/>
        </w:rPr>
      </w:pPr>
      <w:r>
        <w:rPr>
          <w:rFonts w:ascii="Arial" w:cs="Arial" w:eastAsia="Arial" w:hAnsi="Arial"/>
          <w:sz w:val="14"/>
          <w:szCs w:val="14"/>
          <w:color w:val="auto"/>
        </w:rPr>
        <w:t>File Nos. 333-152197 and 333-152198 Brighthouse Access Annuity and Brighthouse Access Select Annuity File Nos. 333-152199 and 333-152200 Vintage Annuity File Nos. 333-152201 and 333-152202 Index Annuity</w:t>
      </w:r>
    </w:p>
    <w:p>
      <w:pPr>
        <w:spacing w:after="0" w:line="2" w:lineRule="exact"/>
        <w:rPr>
          <w:sz w:val="20"/>
          <w:szCs w:val="20"/>
          <w:color w:val="auto"/>
        </w:rPr>
      </w:pPr>
    </w:p>
    <w:p>
      <w:pPr>
        <w:ind w:left="580" w:right="2119" w:hanging="155"/>
        <w:spacing w:after="0" w:line="230" w:lineRule="auto"/>
        <w:rPr>
          <w:sz w:val="20"/>
          <w:szCs w:val="20"/>
          <w:color w:val="auto"/>
        </w:rPr>
      </w:pPr>
      <w:r>
        <w:rPr>
          <w:rFonts w:ascii="Arial" w:cs="Arial" w:eastAsia="Arial" w:hAnsi="Arial"/>
          <w:sz w:val="14"/>
          <w:szCs w:val="14"/>
          <w:color w:val="auto"/>
        </w:rPr>
        <w:t>File Nos. 333-152232 and 333-152233 Portfolio Architect Annuity, Portfolio Architect Select Annuity, Premier Advisers Annuity (Class I) and Premier Advisers Annuity (Class II)</w:t>
      </w:r>
    </w:p>
    <w:p>
      <w:pPr>
        <w:ind w:left="580" w:right="2199" w:hanging="155"/>
        <w:spacing w:after="0" w:line="230" w:lineRule="auto"/>
        <w:rPr>
          <w:sz w:val="20"/>
          <w:szCs w:val="20"/>
          <w:color w:val="auto"/>
        </w:rPr>
      </w:pPr>
      <w:r>
        <w:rPr>
          <w:rFonts w:ascii="Arial" w:cs="Arial" w:eastAsia="Arial" w:hAnsi="Arial"/>
          <w:sz w:val="14"/>
          <w:szCs w:val="14"/>
          <w:color w:val="auto"/>
        </w:rPr>
        <w:t>File Nos. 333-152235 and 333-152236 Pioneer AnnuiStar Annuity, Portfolio Architect II Annuity and Pioneer AnnuiStar Value Annuity</w:t>
      </w:r>
    </w:p>
    <w:p>
      <w:pPr>
        <w:ind w:left="580" w:right="1839" w:hanging="155"/>
        <w:spacing w:after="0" w:line="229" w:lineRule="auto"/>
        <w:rPr>
          <w:sz w:val="20"/>
          <w:szCs w:val="20"/>
          <w:color w:val="auto"/>
        </w:rPr>
      </w:pPr>
      <w:r>
        <w:rPr>
          <w:rFonts w:ascii="Arial" w:cs="Arial" w:eastAsia="Arial" w:hAnsi="Arial"/>
          <w:sz w:val="14"/>
          <w:szCs w:val="14"/>
          <w:color w:val="auto"/>
        </w:rPr>
        <w:t>File Nos. 333-152237 and 333-152238 Premier Advisers II Annuity, Premier Advisers III (Series I) and Premier Advisers III Annuity (Series II)</w:t>
      </w:r>
    </w:p>
    <w:p>
      <w:pPr>
        <w:spacing w:after="0" w:line="1" w:lineRule="exact"/>
        <w:rPr>
          <w:sz w:val="20"/>
          <w:szCs w:val="20"/>
          <w:color w:val="auto"/>
        </w:rPr>
      </w:pPr>
    </w:p>
    <w:p>
      <w:pPr>
        <w:ind w:left="580" w:right="1779" w:hanging="155"/>
        <w:spacing w:after="0" w:line="230" w:lineRule="auto"/>
        <w:rPr>
          <w:sz w:val="20"/>
          <w:szCs w:val="20"/>
          <w:color w:val="auto"/>
        </w:rPr>
      </w:pPr>
      <w:r>
        <w:rPr>
          <w:rFonts w:ascii="Arial" w:cs="Arial" w:eastAsia="Arial" w:hAnsi="Arial"/>
          <w:sz w:val="14"/>
          <w:szCs w:val="14"/>
          <w:color w:val="auto"/>
        </w:rPr>
        <w:t>File Nos. 333-152239 and 333-152240 Premier Advisers AssetManager Annuity, Premier Advisers L Annuity (Series I) and Premier Advisers L Annuity (Series II)</w:t>
      </w:r>
    </w:p>
    <w:p>
      <w:pPr>
        <w:ind w:left="580" w:right="1799" w:hanging="155"/>
        <w:spacing w:after="0" w:line="230" w:lineRule="auto"/>
        <w:rPr>
          <w:sz w:val="20"/>
          <w:szCs w:val="20"/>
          <w:color w:val="auto"/>
        </w:rPr>
      </w:pPr>
      <w:r>
        <w:rPr>
          <w:rFonts w:ascii="Arial" w:cs="Arial" w:eastAsia="Arial" w:hAnsi="Arial"/>
          <w:sz w:val="14"/>
          <w:szCs w:val="14"/>
          <w:color w:val="auto"/>
        </w:rPr>
        <w:t>File Nos. 333-152255 and 333-152265 Vintage XTRA Annuity, Portfolio Architect XTRA Annuity and Vintage XTRA Annuity (Series II)</w:t>
      </w:r>
    </w:p>
    <w:p>
      <w:pPr>
        <w:ind w:left="580" w:right="2119" w:hanging="155"/>
        <w:spacing w:after="0" w:line="230" w:lineRule="auto"/>
        <w:rPr>
          <w:sz w:val="20"/>
          <w:szCs w:val="20"/>
          <w:color w:val="auto"/>
        </w:rPr>
      </w:pPr>
      <w:r>
        <w:rPr>
          <w:rFonts w:ascii="Arial" w:cs="Arial" w:eastAsia="Arial" w:hAnsi="Arial"/>
          <w:sz w:val="14"/>
          <w:szCs w:val="14"/>
          <w:color w:val="auto"/>
        </w:rPr>
        <w:t>File Nos. 333-152256 and 333-152292 Vintage 3 Annuity, Portfolio Architect 3 Annuity, Portfolio Architect L Annuity, Vintage L Annuity and Pioneer AnnuiStar Flex Annuity</w:t>
      </w:r>
    </w:p>
    <w:p>
      <w:pPr>
        <w:ind w:left="440"/>
        <w:spacing w:after="0" w:line="230" w:lineRule="auto"/>
        <w:rPr>
          <w:sz w:val="20"/>
          <w:szCs w:val="20"/>
          <w:color w:val="auto"/>
        </w:rPr>
      </w:pPr>
      <w:r>
        <w:rPr>
          <w:rFonts w:ascii="Arial" w:cs="Arial" w:eastAsia="Arial" w:hAnsi="Arial"/>
          <w:sz w:val="14"/>
          <w:szCs w:val="14"/>
          <w:color w:val="auto"/>
        </w:rPr>
        <w:t>File Nos. 333-152258 and 333-152261 PrimElite Annuity</w:t>
      </w:r>
    </w:p>
    <w:p>
      <w:pPr>
        <w:ind w:left="440"/>
        <w:spacing w:after="0" w:line="230" w:lineRule="auto"/>
        <w:rPr>
          <w:sz w:val="20"/>
          <w:szCs w:val="20"/>
          <w:color w:val="auto"/>
        </w:rPr>
      </w:pPr>
      <w:r>
        <w:rPr>
          <w:rFonts w:ascii="Arial" w:cs="Arial" w:eastAsia="Arial" w:hAnsi="Arial"/>
          <w:sz w:val="14"/>
          <w:szCs w:val="14"/>
          <w:color w:val="auto"/>
        </w:rPr>
        <w:t>File Nos. 333-152259 and 333-152262 PrimElite II Annuity</w:t>
      </w:r>
    </w:p>
    <w:p>
      <w:pPr>
        <w:ind w:left="440"/>
        <w:spacing w:after="0" w:line="230" w:lineRule="auto"/>
        <w:rPr>
          <w:sz w:val="20"/>
          <w:szCs w:val="20"/>
          <w:color w:val="auto"/>
        </w:rPr>
      </w:pPr>
      <w:r>
        <w:rPr>
          <w:rFonts w:ascii="Arial" w:cs="Arial" w:eastAsia="Arial" w:hAnsi="Arial"/>
          <w:sz w:val="14"/>
          <w:szCs w:val="14"/>
          <w:color w:val="auto"/>
        </w:rPr>
        <w:t>File Nos. 333-152260 and 333-152266 Protected Equity Portfolio Annuity</w:t>
      </w:r>
    </w:p>
    <w:p>
      <w:pPr>
        <w:ind w:left="440"/>
        <w:spacing w:after="0" w:line="230" w:lineRule="auto"/>
        <w:rPr>
          <w:sz w:val="20"/>
          <w:szCs w:val="20"/>
          <w:color w:val="auto"/>
        </w:rPr>
      </w:pPr>
      <w:r>
        <w:rPr>
          <w:rFonts w:ascii="Arial" w:cs="Arial" w:eastAsia="Arial" w:hAnsi="Arial"/>
          <w:sz w:val="14"/>
          <w:szCs w:val="14"/>
          <w:color w:val="auto"/>
        </w:rPr>
        <w:t>File Nos. 333-152263 and 333-152269 Marquis Portfolios</w:t>
      </w:r>
    </w:p>
    <w:p>
      <w:pPr>
        <w:ind w:left="580" w:right="2259" w:hanging="155"/>
        <w:spacing w:after="0" w:line="230" w:lineRule="auto"/>
        <w:rPr>
          <w:sz w:val="20"/>
          <w:szCs w:val="20"/>
          <w:color w:val="auto"/>
        </w:rPr>
      </w:pPr>
      <w:r>
        <w:rPr>
          <w:rFonts w:ascii="Arial" w:cs="Arial" w:eastAsia="Arial" w:hAnsi="Arial"/>
          <w:sz w:val="14"/>
          <w:szCs w:val="14"/>
          <w:color w:val="auto"/>
        </w:rPr>
        <w:t>File Nos. 333-152264 and 333-152270 Vintage Access, Portfolio Architect Access, Scudder Advocate Advisor and Scudder Advocate Advisor - ST1 Annuity</w:t>
      </w:r>
    </w:p>
    <w:p>
      <w:pPr>
        <w:ind w:left="440"/>
        <w:spacing w:after="0" w:line="230" w:lineRule="auto"/>
        <w:rPr>
          <w:sz w:val="20"/>
          <w:szCs w:val="20"/>
          <w:color w:val="auto"/>
        </w:rPr>
      </w:pPr>
      <w:r>
        <w:rPr>
          <w:rFonts w:ascii="Arial" w:cs="Arial" w:eastAsia="Arial" w:hAnsi="Arial"/>
          <w:sz w:val="14"/>
          <w:szCs w:val="14"/>
          <w:color w:val="auto"/>
        </w:rPr>
        <w:t>File Nos. 333-152267 and 333-152268 Vintage II Annuity and Vintage II Annuity (Series II)</w:t>
      </w:r>
    </w:p>
    <w:p>
      <w:pPr>
        <w:ind w:left="440"/>
        <w:spacing w:after="0" w:line="230" w:lineRule="auto"/>
        <w:rPr>
          <w:sz w:val="20"/>
          <w:szCs w:val="20"/>
          <w:color w:val="auto"/>
        </w:rPr>
      </w:pPr>
      <w:r>
        <w:rPr>
          <w:rFonts w:ascii="Arial" w:cs="Arial" w:eastAsia="Arial" w:hAnsi="Arial"/>
          <w:sz w:val="14"/>
          <w:szCs w:val="14"/>
          <w:color w:val="auto"/>
        </w:rPr>
        <w:t>File No. 333-197658 Brighthouse Accumulation Annuity</w:t>
      </w:r>
    </w:p>
    <w:p>
      <w:pPr>
        <w:ind w:left="440"/>
        <w:spacing w:after="0"/>
        <w:rPr>
          <w:sz w:val="20"/>
          <w:szCs w:val="20"/>
          <w:color w:val="auto"/>
        </w:rPr>
      </w:pPr>
      <w:r>
        <w:rPr>
          <w:rFonts w:ascii="Arial" w:cs="Arial" w:eastAsia="Arial" w:hAnsi="Arial"/>
          <w:sz w:val="14"/>
          <w:szCs w:val="14"/>
          <w:color w:val="auto"/>
        </w:rPr>
        <w:t>File No. 333-208464 Brighthouse Premier Variable Annuity</w:t>
      </w:r>
      <w:r>
        <w:rPr>
          <w:rFonts w:ascii="Arial" w:cs="Arial" w:eastAsia="Arial" w:hAnsi="Arial"/>
          <w:sz w:val="20"/>
          <w:szCs w:val="20"/>
          <w:color w:val="auto"/>
          <w:vertAlign w:val="superscript"/>
        </w:rPr>
        <w:t>SM</w:t>
      </w:r>
      <w:r>
        <w:rPr>
          <w:rFonts w:ascii="Arial" w:cs="Arial" w:eastAsia="Arial" w:hAnsi="Arial"/>
          <w:sz w:val="14"/>
          <w:szCs w:val="14"/>
          <w:color w:val="auto"/>
        </w:rPr>
        <w:t>,</w:t>
      </w:r>
    </w:p>
    <w:p>
      <w:pPr>
        <w:spacing w:after="0" w:line="97" w:lineRule="exact"/>
        <w:rPr>
          <w:sz w:val="20"/>
          <w:szCs w:val="20"/>
          <w:color w:val="auto"/>
        </w:rPr>
      </w:pPr>
    </w:p>
    <w:p>
      <w:pPr>
        <w:ind w:left="440" w:right="6159" w:hanging="438"/>
        <w:spacing w:after="0" w:line="272" w:lineRule="auto"/>
        <w:tabs>
          <w:tab w:leader="none" w:pos="173" w:val="left"/>
        </w:tabs>
        <w:numPr>
          <w:ilvl w:val="0"/>
          <w:numId w:val="127"/>
        </w:numPr>
        <w:rPr>
          <w:rFonts w:ascii="Arial" w:cs="Arial" w:eastAsia="Arial" w:hAnsi="Arial"/>
          <w:sz w:val="13"/>
          <w:szCs w:val="13"/>
          <w:color w:val="auto"/>
        </w:rPr>
      </w:pPr>
      <w:r>
        <w:rPr>
          <w:rFonts w:ascii="Arial" w:cs="Arial" w:eastAsia="Arial" w:hAnsi="Arial"/>
          <w:sz w:val="13"/>
          <w:szCs w:val="13"/>
          <w:color w:val="auto"/>
        </w:rPr>
        <w:t>Brighthouse Separate Account QPN for Variable Annuities File No. 333-156867 Unallocated Group Variable Annuity File No. 333-156911 Brighthouse Retirement Perspectives,</w:t>
      </w:r>
    </w:p>
    <w:p>
      <w:pPr>
        <w:spacing w:after="0" w:line="139" w:lineRule="exact"/>
        <w:rPr>
          <w:rFonts w:ascii="Arial" w:cs="Arial" w:eastAsia="Arial" w:hAnsi="Arial"/>
          <w:sz w:val="13"/>
          <w:szCs w:val="13"/>
          <w:color w:val="auto"/>
        </w:rPr>
      </w:pPr>
    </w:p>
    <w:p>
      <w:pPr>
        <w:ind w:left="160" w:hanging="158"/>
        <w:spacing w:after="0"/>
        <w:tabs>
          <w:tab w:leader="none" w:pos="160" w:val="left"/>
        </w:tabs>
        <w:numPr>
          <w:ilvl w:val="0"/>
          <w:numId w:val="127"/>
        </w:numPr>
        <w:rPr>
          <w:rFonts w:ascii="Arial" w:cs="Arial" w:eastAsia="Arial" w:hAnsi="Arial"/>
          <w:sz w:val="14"/>
          <w:szCs w:val="14"/>
          <w:color w:val="auto"/>
        </w:rPr>
      </w:pPr>
      <w:r>
        <w:rPr>
          <w:rFonts w:ascii="Arial" w:cs="Arial" w:eastAsia="Arial" w:hAnsi="Arial"/>
          <w:sz w:val="14"/>
          <w:szCs w:val="14"/>
          <w:color w:val="auto"/>
        </w:rPr>
        <w:t>Brighthouse Variable Annuity Account C (811-05200)</w:t>
      </w:r>
    </w:p>
    <w:p>
      <w:pPr>
        <w:ind w:left="440"/>
        <w:spacing w:after="0" w:line="237" w:lineRule="auto"/>
        <w:rPr>
          <w:sz w:val="20"/>
          <w:szCs w:val="20"/>
          <w:color w:val="auto"/>
        </w:rPr>
      </w:pPr>
      <w:r>
        <w:rPr>
          <w:rFonts w:ascii="Arial" w:cs="Arial" w:eastAsia="Arial" w:hAnsi="Arial"/>
          <w:sz w:val="14"/>
          <w:szCs w:val="14"/>
          <w:color w:val="auto"/>
        </w:rPr>
        <w:t>File No. 333-200244 Class XC</w:t>
      </w:r>
    </w:p>
    <w:p>
      <w:pPr>
        <w:ind w:left="440"/>
        <w:spacing w:after="0" w:line="230" w:lineRule="auto"/>
        <w:rPr>
          <w:sz w:val="20"/>
          <w:szCs w:val="20"/>
          <w:color w:val="auto"/>
        </w:rPr>
      </w:pPr>
      <w:r>
        <w:rPr>
          <w:rFonts w:ascii="Arial" w:cs="Arial" w:eastAsia="Arial" w:hAnsi="Arial"/>
          <w:sz w:val="14"/>
          <w:szCs w:val="14"/>
          <w:color w:val="auto"/>
        </w:rPr>
        <w:t>File No. 333-200247 Class VA, Class AA and Class B</w:t>
      </w:r>
    </w:p>
    <w:p>
      <w:pPr>
        <w:ind w:left="440"/>
        <w:spacing w:after="0" w:line="230" w:lineRule="auto"/>
        <w:rPr>
          <w:sz w:val="20"/>
          <w:szCs w:val="20"/>
          <w:color w:val="auto"/>
        </w:rPr>
      </w:pPr>
      <w:r>
        <w:rPr>
          <w:rFonts w:ascii="Arial" w:cs="Arial" w:eastAsia="Arial" w:hAnsi="Arial"/>
          <w:sz w:val="14"/>
          <w:szCs w:val="14"/>
          <w:color w:val="auto"/>
        </w:rPr>
        <w:t>File No. 333-200249 Class L and Class L - 4 Year</w:t>
      </w:r>
    </w:p>
    <w:p>
      <w:pPr>
        <w:ind w:left="440"/>
        <w:spacing w:after="0" w:line="230" w:lineRule="auto"/>
        <w:rPr>
          <w:sz w:val="20"/>
          <w:szCs w:val="20"/>
          <w:color w:val="auto"/>
        </w:rPr>
      </w:pPr>
      <w:r>
        <w:rPr>
          <w:rFonts w:ascii="Arial" w:cs="Arial" w:eastAsia="Arial" w:hAnsi="Arial"/>
          <w:sz w:val="14"/>
          <w:szCs w:val="14"/>
          <w:color w:val="auto"/>
        </w:rPr>
        <w:t>File No. 333-200252 Class A</w:t>
      </w:r>
    </w:p>
    <w:p>
      <w:pPr>
        <w:ind w:left="440"/>
        <w:spacing w:after="0" w:line="230" w:lineRule="auto"/>
        <w:rPr>
          <w:sz w:val="20"/>
          <w:szCs w:val="20"/>
          <w:color w:val="auto"/>
        </w:rPr>
      </w:pPr>
      <w:r>
        <w:rPr>
          <w:rFonts w:ascii="Arial" w:cs="Arial" w:eastAsia="Arial" w:hAnsi="Arial"/>
          <w:sz w:val="14"/>
          <w:szCs w:val="14"/>
          <w:color w:val="auto"/>
        </w:rPr>
        <w:t>File No. 333-200255 COVA VA, Firstar Summit VA, Premier Advisor VA, Destiny Select VA and Prevail VA</w:t>
      </w:r>
    </w:p>
    <w:p>
      <w:pPr>
        <w:ind w:left="440"/>
        <w:spacing w:after="0" w:line="230" w:lineRule="auto"/>
        <w:rPr>
          <w:sz w:val="20"/>
          <w:szCs w:val="20"/>
          <w:color w:val="auto"/>
        </w:rPr>
      </w:pPr>
      <w:r>
        <w:rPr>
          <w:rFonts w:ascii="Arial" w:cs="Arial" w:eastAsia="Arial" w:hAnsi="Arial"/>
          <w:sz w:val="14"/>
          <w:szCs w:val="14"/>
          <w:color w:val="auto"/>
        </w:rPr>
        <w:t>File No. 333-200258 COVA VA SPDA</w:t>
      </w:r>
    </w:p>
    <w:p>
      <w:pPr>
        <w:ind w:left="440"/>
        <w:spacing w:after="0" w:line="230" w:lineRule="auto"/>
        <w:rPr>
          <w:sz w:val="20"/>
          <w:szCs w:val="20"/>
          <w:color w:val="auto"/>
        </w:rPr>
      </w:pPr>
      <w:r>
        <w:rPr>
          <w:rFonts w:ascii="Arial" w:cs="Arial" w:eastAsia="Arial" w:hAnsi="Arial"/>
          <w:sz w:val="14"/>
          <w:szCs w:val="14"/>
          <w:color w:val="auto"/>
        </w:rPr>
        <w:t>File No. 333-200260 COVA Series A</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4"/>
          <w:szCs w:val="14"/>
          <w:color w:val="auto"/>
        </w:rPr>
        <w:t>File No. 333-200262 Navigator-Select/Custom-Select/Russell-Select</w:t>
      </w:r>
    </w:p>
    <w:p>
      <w:pPr>
        <w:sectPr>
          <w:pgSz w:w="11900" w:h="16838" w:orient="portrait"/>
          <w:cols w:equalWidth="0" w:num="1">
            <w:col w:w="10159"/>
          </w:cols>
          <w:pgMar w:left="300" w:top="240" w:right="1440" w:bottom="1440" w:gutter="0" w:footer="0" w:header="0"/>
        </w:sectPr>
      </w:pPr>
    </w:p>
    <w:bookmarkStart w:id="121" w:name="page122"/>
    <w:bookmarkEnd w:id="121"/>
    <w:p>
      <w:pPr>
        <w:ind w:left="44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3">
                      <a:extLst>
                        <a:ext uri="{28A0092B-C50C-407E-A947-70E740481C1C}"/>
                      </a:extLst>
                    </a:blip>
                    <a:srcRect/>
                    <a:stretch>
                      <a:fillRect/>
                    </a:stretch>
                  </pic:blipFill>
                  <pic:spPr bwMode="auto">
                    <a:xfrm>
                      <a:off x="0" y="0"/>
                      <a:ext cx="7203440" cy="32385"/>
                    </a:xfrm>
                    <a:prstGeom prst="rect">
                      <a:avLst/>
                    </a:prstGeom>
                    <a:noFill/>
                  </pic:spPr>
                </pic:pic>
              </a:graphicData>
            </a:graphic>
          </wp:anchor>
        </w:drawing>
        <w:t>File No. 333-200264 Navigator-Select/Custom-Select/Russell-Select (CA)</w:t>
      </w:r>
    </w:p>
    <w:p>
      <w:pPr>
        <w:ind w:left="440"/>
        <w:spacing w:after="0" w:line="237" w:lineRule="auto"/>
        <w:rPr>
          <w:sz w:val="20"/>
          <w:szCs w:val="20"/>
          <w:color w:val="auto"/>
        </w:rPr>
      </w:pPr>
      <w:r>
        <w:rPr>
          <w:rFonts w:ascii="Arial" w:cs="Arial" w:eastAsia="Arial" w:hAnsi="Arial"/>
          <w:sz w:val="14"/>
          <w:szCs w:val="14"/>
          <w:color w:val="auto"/>
        </w:rPr>
        <w:t>File No. 333-200266 COVA VA and Premier Advisor (CA)</w:t>
      </w:r>
    </w:p>
    <w:p>
      <w:pPr>
        <w:ind w:left="440"/>
        <w:spacing w:after="0" w:line="230" w:lineRule="auto"/>
        <w:rPr>
          <w:sz w:val="20"/>
          <w:szCs w:val="20"/>
          <w:color w:val="auto"/>
        </w:rPr>
      </w:pPr>
      <w:r>
        <w:rPr>
          <w:rFonts w:ascii="Arial" w:cs="Arial" w:eastAsia="Arial" w:hAnsi="Arial"/>
          <w:sz w:val="14"/>
          <w:szCs w:val="14"/>
          <w:color w:val="auto"/>
        </w:rPr>
        <w:t>File No. 333-200267 COVA Series A (CA)</w:t>
      </w:r>
    </w:p>
    <w:p>
      <w:pPr>
        <w:ind w:left="440"/>
        <w:spacing w:after="0" w:line="230" w:lineRule="auto"/>
        <w:rPr>
          <w:sz w:val="20"/>
          <w:szCs w:val="20"/>
          <w:color w:val="auto"/>
        </w:rPr>
      </w:pPr>
      <w:r>
        <w:rPr>
          <w:rFonts w:ascii="Arial" w:cs="Arial" w:eastAsia="Arial" w:hAnsi="Arial"/>
          <w:sz w:val="14"/>
          <w:szCs w:val="14"/>
          <w:color w:val="auto"/>
        </w:rPr>
        <w:t>File No. 333-200269 Class C</w:t>
      </w:r>
    </w:p>
    <w:p>
      <w:pPr>
        <w:ind w:left="440"/>
        <w:spacing w:after="0" w:line="230" w:lineRule="auto"/>
        <w:rPr>
          <w:sz w:val="20"/>
          <w:szCs w:val="20"/>
          <w:color w:val="auto"/>
        </w:rPr>
      </w:pPr>
      <w:r>
        <w:rPr>
          <w:rFonts w:ascii="Arial" w:cs="Arial" w:eastAsia="Arial" w:hAnsi="Arial"/>
          <w:sz w:val="14"/>
          <w:szCs w:val="14"/>
          <w:color w:val="auto"/>
        </w:rPr>
        <w:t>File No. 333-200271 Class VA (CA), Class AA (CA), and Class B (CA)</w:t>
      </w:r>
    </w:p>
    <w:p>
      <w:pPr>
        <w:ind w:left="440"/>
        <w:spacing w:after="0" w:line="230" w:lineRule="auto"/>
        <w:rPr>
          <w:sz w:val="20"/>
          <w:szCs w:val="20"/>
          <w:color w:val="auto"/>
        </w:rPr>
      </w:pPr>
      <w:r>
        <w:rPr>
          <w:rFonts w:ascii="Arial" w:cs="Arial" w:eastAsia="Arial" w:hAnsi="Arial"/>
          <w:sz w:val="14"/>
          <w:szCs w:val="14"/>
          <w:color w:val="auto"/>
        </w:rPr>
        <w:t>File No. 333-200273 Class XC (CA)</w:t>
      </w:r>
    </w:p>
    <w:p>
      <w:pPr>
        <w:ind w:left="440"/>
        <w:spacing w:after="0" w:line="230" w:lineRule="auto"/>
        <w:rPr>
          <w:sz w:val="20"/>
          <w:szCs w:val="20"/>
          <w:color w:val="auto"/>
        </w:rPr>
      </w:pPr>
      <w:r>
        <w:rPr>
          <w:rFonts w:ascii="Arial" w:cs="Arial" w:eastAsia="Arial" w:hAnsi="Arial"/>
          <w:sz w:val="14"/>
          <w:szCs w:val="14"/>
          <w:color w:val="auto"/>
        </w:rPr>
        <w:t>File No. 333-200274 Class L (CA) and Class L - 4 Year (CA)</w:t>
      </w:r>
    </w:p>
    <w:p>
      <w:pPr>
        <w:ind w:left="440"/>
        <w:spacing w:after="0" w:line="230" w:lineRule="auto"/>
        <w:rPr>
          <w:sz w:val="20"/>
          <w:szCs w:val="20"/>
          <w:color w:val="auto"/>
        </w:rPr>
      </w:pPr>
      <w:r>
        <w:rPr>
          <w:rFonts w:ascii="Arial" w:cs="Arial" w:eastAsia="Arial" w:hAnsi="Arial"/>
          <w:sz w:val="14"/>
          <w:szCs w:val="14"/>
          <w:color w:val="auto"/>
        </w:rPr>
        <w:t>File No. 333-200276 Class A (CA)</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4"/>
          <w:szCs w:val="14"/>
          <w:color w:val="auto"/>
        </w:rPr>
        <w:t>File No. 333-200279 Class C (CA),</w:t>
      </w:r>
    </w:p>
    <w:p>
      <w:pPr>
        <w:spacing w:after="0" w:line="166" w:lineRule="exact"/>
        <w:rPr>
          <w:sz w:val="20"/>
          <w:szCs w:val="20"/>
          <w:color w:val="auto"/>
        </w:rPr>
      </w:pPr>
    </w:p>
    <w:p>
      <w:pPr>
        <w:spacing w:after="0"/>
        <w:tabs>
          <w:tab w:leader="none" w:pos="14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3"/>
          <w:szCs w:val="13"/>
          <w:color w:val="auto"/>
        </w:rPr>
        <w:t>Brighthouse Variable Life Account A (811-21851)</w:t>
      </w:r>
    </w:p>
    <w:p>
      <w:pPr>
        <w:spacing w:after="0" w:line="5" w:lineRule="exact"/>
        <w:rPr>
          <w:sz w:val="20"/>
          <w:szCs w:val="20"/>
          <w:color w:val="auto"/>
        </w:rPr>
      </w:pPr>
    </w:p>
    <w:p>
      <w:pPr>
        <w:ind w:left="440"/>
        <w:spacing w:after="0"/>
        <w:rPr>
          <w:sz w:val="20"/>
          <w:szCs w:val="20"/>
          <w:color w:val="auto"/>
        </w:rPr>
      </w:pPr>
      <w:r>
        <w:rPr>
          <w:rFonts w:ascii="Arial" w:cs="Arial" w:eastAsia="Arial" w:hAnsi="Arial"/>
          <w:sz w:val="14"/>
          <w:szCs w:val="14"/>
          <w:color w:val="auto"/>
        </w:rPr>
        <w:t>File No. 333-200241 Equity Advantage Variable Universal Life,</w:t>
      </w:r>
    </w:p>
    <w:p>
      <w:pPr>
        <w:spacing w:after="0" w:line="166" w:lineRule="exact"/>
        <w:rPr>
          <w:sz w:val="20"/>
          <w:szCs w:val="20"/>
          <w:color w:val="auto"/>
        </w:rPr>
      </w:pPr>
    </w:p>
    <w:p>
      <w:pPr>
        <w:ind w:left="440" w:right="6859" w:hanging="438"/>
        <w:spacing w:after="0" w:line="238" w:lineRule="auto"/>
        <w:tabs>
          <w:tab w:leader="none" w:pos="173" w:val="left"/>
        </w:tabs>
        <w:numPr>
          <w:ilvl w:val="0"/>
          <w:numId w:val="128"/>
        </w:numPr>
        <w:rPr>
          <w:rFonts w:ascii="Arial" w:cs="Arial" w:eastAsia="Arial" w:hAnsi="Arial"/>
          <w:sz w:val="14"/>
          <w:szCs w:val="14"/>
          <w:color w:val="auto"/>
        </w:rPr>
      </w:pPr>
      <w:r>
        <w:rPr>
          <w:rFonts w:ascii="Arial" w:cs="Arial" w:eastAsia="Arial" w:hAnsi="Arial"/>
          <w:sz w:val="14"/>
          <w:szCs w:val="14"/>
          <w:color w:val="auto"/>
        </w:rPr>
        <w:t>Brighthouse Variable Life Account One (811-07971) File No. 333-200242 Class VL</w:t>
      </w:r>
    </w:p>
    <w:p>
      <w:pPr>
        <w:spacing w:after="0" w:line="1" w:lineRule="exact"/>
        <w:rPr>
          <w:rFonts w:ascii="Arial" w:cs="Arial" w:eastAsia="Arial" w:hAnsi="Arial"/>
          <w:sz w:val="14"/>
          <w:szCs w:val="14"/>
          <w:color w:val="auto"/>
        </w:rPr>
      </w:pPr>
    </w:p>
    <w:p>
      <w:pPr>
        <w:ind w:left="440"/>
        <w:spacing w:after="0" w:line="229" w:lineRule="auto"/>
        <w:rPr>
          <w:rFonts w:ascii="Arial" w:cs="Arial" w:eastAsia="Arial" w:hAnsi="Arial"/>
          <w:sz w:val="14"/>
          <w:szCs w:val="14"/>
          <w:color w:val="auto"/>
        </w:rPr>
      </w:pPr>
      <w:r>
        <w:rPr>
          <w:rFonts w:ascii="Arial" w:cs="Arial" w:eastAsia="Arial" w:hAnsi="Arial"/>
          <w:sz w:val="14"/>
          <w:szCs w:val="14"/>
          <w:color w:val="auto"/>
        </w:rPr>
        <w:t>File No. 333-200245 Class VL (CA)</w:t>
      </w:r>
    </w:p>
    <w:p>
      <w:pPr>
        <w:ind w:left="440"/>
        <w:spacing w:after="0" w:line="230" w:lineRule="auto"/>
        <w:rPr>
          <w:rFonts w:ascii="Arial" w:cs="Arial" w:eastAsia="Arial" w:hAnsi="Arial"/>
          <w:sz w:val="14"/>
          <w:szCs w:val="14"/>
          <w:color w:val="auto"/>
        </w:rPr>
      </w:pPr>
      <w:r>
        <w:rPr>
          <w:rFonts w:ascii="Arial" w:cs="Arial" w:eastAsia="Arial" w:hAnsi="Arial"/>
          <w:sz w:val="14"/>
          <w:szCs w:val="14"/>
          <w:color w:val="auto"/>
        </w:rPr>
        <w:t>File No. 333-200248 Modified Single Premium Variable Life</w:t>
      </w:r>
    </w:p>
    <w:p>
      <w:pPr>
        <w:ind w:left="440" w:right="5599"/>
        <w:spacing w:after="0" w:line="236" w:lineRule="auto"/>
        <w:rPr>
          <w:rFonts w:ascii="Arial" w:cs="Arial" w:eastAsia="Arial" w:hAnsi="Arial"/>
          <w:sz w:val="14"/>
          <w:szCs w:val="14"/>
          <w:color w:val="auto"/>
        </w:rPr>
      </w:pPr>
      <w:r>
        <w:rPr>
          <w:rFonts w:ascii="Arial" w:cs="Arial" w:eastAsia="Arial" w:hAnsi="Arial"/>
          <w:sz w:val="14"/>
          <w:szCs w:val="14"/>
          <w:color w:val="auto"/>
        </w:rPr>
        <w:t>File No. 333-200251 Custom Select and Russell Select Variable Life File No. 333-200254 Modified Single Premium Variable Life (CA) File No. 333-200257 Custom Select Variable Life,</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color w:val="auto"/>
        </w:rPr>
        <w:t>And pertaining to:</w:t>
      </w:r>
    </w:p>
    <w:p>
      <w:pPr>
        <w:ind w:left="440"/>
        <w:spacing w:after="0" w:line="185" w:lineRule="auto"/>
        <w:rPr>
          <w:sz w:val="20"/>
          <w:szCs w:val="20"/>
          <w:color w:val="auto"/>
        </w:rPr>
      </w:pPr>
      <w:r>
        <w:rPr>
          <w:rFonts w:ascii="Arial" w:cs="Arial" w:eastAsia="Arial" w:hAnsi="Arial"/>
          <w:sz w:val="12"/>
          <w:szCs w:val="12"/>
          <w:color w:val="auto"/>
        </w:rPr>
        <w:t>File No. 333-268618 Brighthouse SmartGuard Plus</w:t>
      </w:r>
      <w:r>
        <w:rPr>
          <w:rFonts w:ascii="Arial" w:cs="Arial" w:eastAsia="Arial" w:hAnsi="Arial"/>
          <w:sz w:val="18"/>
          <w:szCs w:val="18"/>
          <w:color w:val="auto"/>
          <w:vertAlign w:val="superscript"/>
        </w:rPr>
        <w:t>SM</w:t>
      </w:r>
    </w:p>
    <w:p>
      <w:pPr>
        <w:ind w:left="440" w:right="1939"/>
        <w:spacing w:after="0" w:line="189" w:lineRule="auto"/>
        <w:rPr>
          <w:sz w:val="20"/>
          <w:szCs w:val="20"/>
          <w:color w:val="auto"/>
        </w:rPr>
      </w:pPr>
      <w:r>
        <w:rPr>
          <w:rFonts w:ascii="Arial" w:cs="Arial" w:eastAsia="Arial" w:hAnsi="Arial"/>
          <w:sz w:val="13"/>
          <w:szCs w:val="13"/>
          <w:color w:val="auto"/>
        </w:rPr>
        <w:t>File No. 333-262390 Brighthouse Shield</w:t>
      </w:r>
      <w:r>
        <w:rPr>
          <w:rFonts w:ascii="Arial" w:cs="Arial" w:eastAsia="Arial" w:hAnsi="Arial"/>
          <w:sz w:val="19"/>
          <w:szCs w:val="19"/>
          <w:color w:val="auto"/>
          <w:vertAlign w:val="superscript"/>
        </w:rPr>
        <w:t>®</w:t>
      </w:r>
      <w:r>
        <w:rPr>
          <w:rFonts w:ascii="Arial" w:cs="Arial" w:eastAsia="Arial" w:hAnsi="Arial"/>
          <w:sz w:val="13"/>
          <w:szCs w:val="13"/>
          <w:color w:val="auto"/>
        </w:rPr>
        <w:t xml:space="preserve"> Level Pay Plus</w:t>
      </w:r>
      <w:r>
        <w:rPr>
          <w:rFonts w:ascii="Arial" w:cs="Arial" w:eastAsia="Arial" w:hAnsi="Arial"/>
          <w:sz w:val="19"/>
          <w:szCs w:val="19"/>
          <w:color w:val="auto"/>
          <w:vertAlign w:val="superscript"/>
        </w:rPr>
        <w:t>SM</w:t>
      </w:r>
      <w:r>
        <w:rPr>
          <w:rFonts w:ascii="Arial" w:cs="Arial" w:eastAsia="Arial" w:hAnsi="Arial"/>
          <w:sz w:val="13"/>
          <w:szCs w:val="13"/>
          <w:color w:val="auto"/>
        </w:rPr>
        <w:t xml:space="preserve"> Annuity and Brighthouse Shield</w:t>
      </w:r>
      <w:r>
        <w:rPr>
          <w:rFonts w:ascii="Arial" w:cs="Arial" w:eastAsia="Arial" w:hAnsi="Arial"/>
          <w:sz w:val="19"/>
          <w:szCs w:val="19"/>
          <w:color w:val="auto"/>
          <w:vertAlign w:val="superscript"/>
        </w:rPr>
        <w:t>®</w:t>
      </w:r>
      <w:r>
        <w:rPr>
          <w:rFonts w:ascii="Arial" w:cs="Arial" w:eastAsia="Arial" w:hAnsi="Arial"/>
          <w:sz w:val="13"/>
          <w:szCs w:val="13"/>
          <w:color w:val="auto"/>
        </w:rPr>
        <w:t xml:space="preserve"> Level Pay Plus</w:t>
      </w:r>
      <w:r>
        <w:rPr>
          <w:rFonts w:ascii="Arial" w:cs="Arial" w:eastAsia="Arial" w:hAnsi="Arial"/>
          <w:sz w:val="19"/>
          <w:szCs w:val="19"/>
          <w:color w:val="auto"/>
          <w:vertAlign w:val="superscript"/>
        </w:rPr>
        <w:t>SM</w:t>
      </w:r>
      <w:r>
        <w:rPr>
          <w:rFonts w:ascii="Arial" w:cs="Arial" w:eastAsia="Arial" w:hAnsi="Arial"/>
          <w:sz w:val="13"/>
          <w:szCs w:val="13"/>
          <w:color w:val="auto"/>
        </w:rPr>
        <w:t xml:space="preserve"> Advisory Annuity File No. 333-259505 Brighthouse Shield</w:t>
      </w:r>
      <w:r>
        <w:rPr>
          <w:rFonts w:ascii="Arial" w:cs="Arial" w:eastAsia="Arial" w:hAnsi="Arial"/>
          <w:sz w:val="19"/>
          <w:szCs w:val="19"/>
          <w:color w:val="auto"/>
          <w:vertAlign w:val="superscript"/>
        </w:rPr>
        <w:t>®</w:t>
      </w:r>
      <w:r>
        <w:rPr>
          <w:rFonts w:ascii="Arial" w:cs="Arial" w:eastAsia="Arial" w:hAnsi="Arial"/>
          <w:sz w:val="13"/>
          <w:szCs w:val="13"/>
          <w:color w:val="auto"/>
        </w:rPr>
        <w:t xml:space="preserve"> Level Select 6-Year Annuity v.3 File No. 333-233240 Brighthouse Shield</w:t>
      </w:r>
      <w:r>
        <w:rPr>
          <w:rFonts w:ascii="Arial" w:cs="Arial" w:eastAsia="Arial" w:hAnsi="Arial"/>
          <w:sz w:val="19"/>
          <w:szCs w:val="19"/>
          <w:color w:val="auto"/>
          <w:vertAlign w:val="superscript"/>
        </w:rPr>
        <w:t>®</w:t>
      </w:r>
      <w:r>
        <w:rPr>
          <w:rFonts w:ascii="Arial" w:cs="Arial" w:eastAsia="Arial" w:hAnsi="Arial"/>
          <w:sz w:val="13"/>
          <w:szCs w:val="13"/>
          <w:color w:val="auto"/>
        </w:rPr>
        <w:t xml:space="preserve"> Level 10 Advisory Annuity</w:t>
      </w:r>
    </w:p>
    <w:p>
      <w:pPr>
        <w:ind w:left="440"/>
        <w:spacing w:after="0" w:line="180" w:lineRule="auto"/>
        <w:rPr>
          <w:sz w:val="20"/>
          <w:szCs w:val="20"/>
          <w:color w:val="auto"/>
        </w:rPr>
      </w:pPr>
      <w:r>
        <w:rPr>
          <w:rFonts w:ascii="Arial" w:cs="Arial" w:eastAsia="Arial" w:hAnsi="Arial"/>
          <w:sz w:val="12"/>
          <w:szCs w:val="12"/>
          <w:color w:val="auto"/>
        </w:rPr>
        <w:t>File No. 333-268427 Brighthouse Shield</w:t>
      </w:r>
      <w:r>
        <w:rPr>
          <w:rFonts w:ascii="Arial" w:cs="Arial" w:eastAsia="Arial" w:hAnsi="Arial"/>
          <w:sz w:val="18"/>
          <w:szCs w:val="18"/>
          <w:color w:val="auto"/>
          <w:vertAlign w:val="superscript"/>
        </w:rPr>
        <w:t>®</w:t>
      </w:r>
      <w:r>
        <w:rPr>
          <w:rFonts w:ascii="Arial" w:cs="Arial" w:eastAsia="Arial" w:hAnsi="Arial"/>
          <w:sz w:val="12"/>
          <w:szCs w:val="12"/>
          <w:color w:val="auto"/>
        </w:rPr>
        <w:t xml:space="preserve"> Level Select Advisory Annuity</w:t>
      </w:r>
    </w:p>
    <w:p>
      <w:pPr>
        <w:ind w:left="440"/>
        <w:spacing w:after="0" w:line="189" w:lineRule="auto"/>
        <w:rPr>
          <w:sz w:val="20"/>
          <w:szCs w:val="20"/>
          <w:color w:val="auto"/>
        </w:rPr>
      </w:pPr>
      <w:r>
        <w:rPr>
          <w:rFonts w:ascii="Arial" w:cs="Arial" w:eastAsia="Arial" w:hAnsi="Arial"/>
          <w:sz w:val="12"/>
          <w:szCs w:val="12"/>
          <w:color w:val="auto"/>
        </w:rPr>
        <w:t>File No. 333-263492 Brighthouse Shield</w:t>
      </w:r>
      <w:r>
        <w:rPr>
          <w:rFonts w:ascii="Arial" w:cs="Arial" w:eastAsia="Arial" w:hAnsi="Arial"/>
          <w:sz w:val="17"/>
          <w:szCs w:val="17"/>
          <w:color w:val="auto"/>
          <w:vertAlign w:val="superscript"/>
        </w:rPr>
        <w:t>®</w:t>
      </w:r>
      <w:r>
        <w:rPr>
          <w:rFonts w:ascii="Arial" w:cs="Arial" w:eastAsia="Arial" w:hAnsi="Arial"/>
          <w:sz w:val="12"/>
          <w:szCs w:val="12"/>
          <w:color w:val="auto"/>
        </w:rPr>
        <w:t xml:space="preserve"> Level Select 6-Year Annuity</w:t>
      </w:r>
    </w:p>
    <w:p>
      <w:pPr>
        <w:ind w:left="440"/>
        <w:spacing w:after="0" w:line="189" w:lineRule="auto"/>
        <w:rPr>
          <w:sz w:val="20"/>
          <w:szCs w:val="20"/>
          <w:color w:val="auto"/>
        </w:rPr>
      </w:pPr>
      <w:r>
        <w:rPr>
          <w:rFonts w:ascii="Arial" w:cs="Arial" w:eastAsia="Arial" w:hAnsi="Arial"/>
          <w:sz w:val="12"/>
          <w:szCs w:val="12"/>
          <w:color w:val="auto"/>
        </w:rPr>
        <w:t>File No. 333-263495 Brighthouse Shield</w:t>
      </w:r>
      <w:r>
        <w:rPr>
          <w:rFonts w:ascii="Arial" w:cs="Arial" w:eastAsia="Arial" w:hAnsi="Arial"/>
          <w:sz w:val="17"/>
          <w:szCs w:val="17"/>
          <w:color w:val="auto"/>
          <w:vertAlign w:val="superscript"/>
        </w:rPr>
        <w:t>®</w:t>
      </w:r>
      <w:r>
        <w:rPr>
          <w:rFonts w:ascii="Arial" w:cs="Arial" w:eastAsia="Arial" w:hAnsi="Arial"/>
          <w:sz w:val="12"/>
          <w:szCs w:val="12"/>
          <w:color w:val="auto"/>
        </w:rPr>
        <w:t xml:space="preserve"> Level Select 3-Year Annuity</w:t>
      </w:r>
    </w:p>
    <w:p>
      <w:pPr>
        <w:ind w:left="440"/>
        <w:spacing w:after="0" w:line="190" w:lineRule="auto"/>
        <w:rPr>
          <w:sz w:val="20"/>
          <w:szCs w:val="20"/>
          <w:color w:val="auto"/>
        </w:rPr>
      </w:pPr>
      <w:r>
        <w:rPr>
          <w:rFonts w:ascii="Arial" w:cs="Arial" w:eastAsia="Arial" w:hAnsi="Arial"/>
          <w:sz w:val="12"/>
          <w:szCs w:val="12"/>
          <w:color w:val="auto"/>
        </w:rPr>
        <w:t>File No. 333-238213 Brighthouse Shield</w:t>
      </w:r>
      <w:r>
        <w:rPr>
          <w:rFonts w:ascii="Arial" w:cs="Arial" w:eastAsia="Arial" w:hAnsi="Arial"/>
          <w:sz w:val="17"/>
          <w:szCs w:val="17"/>
          <w:color w:val="auto"/>
          <w:vertAlign w:val="superscript"/>
        </w:rPr>
        <w:t>®</w:t>
      </w:r>
      <w:r>
        <w:rPr>
          <w:rFonts w:ascii="Arial" w:cs="Arial" w:eastAsia="Arial" w:hAnsi="Arial"/>
          <w:sz w:val="12"/>
          <w:szCs w:val="12"/>
          <w:color w:val="auto"/>
        </w:rPr>
        <w:t xml:space="preserve"> Level 10 Annuity</w:t>
      </w:r>
    </w:p>
    <w:p>
      <w:pPr>
        <w:ind w:left="440"/>
        <w:spacing w:after="0" w:line="189" w:lineRule="auto"/>
        <w:rPr>
          <w:sz w:val="20"/>
          <w:szCs w:val="20"/>
          <w:color w:val="auto"/>
        </w:rPr>
      </w:pPr>
      <w:r>
        <w:rPr>
          <w:rFonts w:ascii="Arial" w:cs="Arial" w:eastAsia="Arial" w:hAnsi="Arial"/>
          <w:sz w:val="12"/>
          <w:szCs w:val="12"/>
          <w:color w:val="auto"/>
        </w:rPr>
        <w:t>File No. 333-208664 Brighthouse Shield Level Selector</w:t>
      </w:r>
      <w:r>
        <w:rPr>
          <w:rFonts w:ascii="Arial" w:cs="Arial" w:eastAsia="Arial" w:hAnsi="Arial"/>
          <w:sz w:val="17"/>
          <w:szCs w:val="17"/>
          <w:color w:val="auto"/>
          <w:vertAlign w:val="superscript"/>
        </w:rPr>
        <w:t>®</w:t>
      </w:r>
      <w:r>
        <w:rPr>
          <w:rFonts w:ascii="Arial" w:cs="Arial" w:eastAsia="Arial" w:hAnsi="Arial"/>
          <w:sz w:val="12"/>
          <w:szCs w:val="12"/>
          <w:color w:val="auto"/>
        </w:rPr>
        <w:t xml:space="preserve"> Annuity</w:t>
      </w:r>
    </w:p>
    <w:p>
      <w:pPr>
        <w:ind w:left="440"/>
        <w:spacing w:after="0" w:line="190" w:lineRule="auto"/>
        <w:rPr>
          <w:sz w:val="20"/>
          <w:szCs w:val="20"/>
          <w:color w:val="auto"/>
        </w:rPr>
      </w:pPr>
      <w:r>
        <w:rPr>
          <w:rFonts w:ascii="Arial" w:cs="Arial" w:eastAsia="Arial" w:hAnsi="Arial"/>
          <w:sz w:val="12"/>
          <w:szCs w:val="12"/>
          <w:color w:val="auto"/>
        </w:rPr>
        <w:t>File No. 333-207091 Brighthouse Shield Level Selector</w:t>
      </w:r>
      <w:r>
        <w:rPr>
          <w:rFonts w:ascii="Arial" w:cs="Arial" w:eastAsia="Arial" w:hAnsi="Arial"/>
          <w:sz w:val="17"/>
          <w:szCs w:val="17"/>
          <w:color w:val="auto"/>
          <w:vertAlign w:val="superscript"/>
        </w:rPr>
        <w:t>®</w:t>
      </w:r>
      <w:r>
        <w:rPr>
          <w:rFonts w:ascii="Arial" w:cs="Arial" w:eastAsia="Arial" w:hAnsi="Arial"/>
          <w:sz w:val="12"/>
          <w:szCs w:val="12"/>
          <w:color w:val="auto"/>
        </w:rPr>
        <w:t xml:space="preserve"> 3-Year Annuity</w:t>
      </w:r>
    </w:p>
    <w:p>
      <w:pPr>
        <w:ind w:left="440"/>
        <w:spacing w:after="0" w:line="230" w:lineRule="auto"/>
        <w:rPr>
          <w:sz w:val="20"/>
          <w:szCs w:val="20"/>
          <w:color w:val="auto"/>
        </w:rPr>
      </w:pPr>
      <w:r>
        <w:rPr>
          <w:rFonts w:ascii="Arial" w:cs="Arial" w:eastAsia="Arial" w:hAnsi="Arial"/>
          <w:sz w:val="14"/>
          <w:szCs w:val="14"/>
          <w:color w:val="auto"/>
        </w:rPr>
        <w:t>File No. 333-276468 Registered Fixed Account Option</w:t>
      </w:r>
    </w:p>
    <w:p>
      <w:pPr>
        <w:ind w:left="440"/>
        <w:spacing w:after="0" w:line="230" w:lineRule="auto"/>
        <w:rPr>
          <w:sz w:val="20"/>
          <w:szCs w:val="20"/>
          <w:color w:val="auto"/>
        </w:rPr>
      </w:pPr>
      <w:r>
        <w:rPr>
          <w:rFonts w:ascii="Arial" w:cs="Arial" w:eastAsia="Arial" w:hAnsi="Arial"/>
          <w:sz w:val="14"/>
          <w:szCs w:val="14"/>
          <w:color w:val="auto"/>
        </w:rPr>
        <w:t>File No. 333-276469 Fixed Annuity (Strategic Value Annuity)</w:t>
      </w:r>
    </w:p>
    <w:p>
      <w:pPr>
        <w:ind w:left="440"/>
        <w:spacing w:after="0" w:line="230" w:lineRule="auto"/>
        <w:rPr>
          <w:sz w:val="20"/>
          <w:szCs w:val="20"/>
          <w:color w:val="auto"/>
        </w:rPr>
      </w:pPr>
      <w:r>
        <w:rPr>
          <w:rFonts w:ascii="Arial" w:cs="Arial" w:eastAsia="Arial" w:hAnsi="Arial"/>
          <w:sz w:val="14"/>
          <w:szCs w:val="14"/>
          <w:color w:val="auto"/>
        </w:rPr>
        <w:t>File No. 333-276470 Brighthouse Retirement Account Liquidity Benefit</w:t>
      </w:r>
    </w:p>
    <w:p>
      <w:pPr>
        <w:ind w:left="440"/>
        <w:spacing w:after="0" w:line="189" w:lineRule="auto"/>
        <w:rPr>
          <w:sz w:val="20"/>
          <w:szCs w:val="20"/>
          <w:color w:val="auto"/>
        </w:rPr>
      </w:pPr>
      <w:r>
        <w:rPr>
          <w:rFonts w:ascii="Arial" w:cs="Arial" w:eastAsia="Arial" w:hAnsi="Arial"/>
          <w:sz w:val="12"/>
          <w:szCs w:val="12"/>
          <w:color w:val="auto"/>
        </w:rPr>
        <w:t>File No. 333-276599 Brighthouse Shield</w:t>
      </w:r>
      <w:r>
        <w:rPr>
          <w:rFonts w:ascii="Arial" w:cs="Arial" w:eastAsia="Arial" w:hAnsi="Arial"/>
          <w:sz w:val="17"/>
          <w:szCs w:val="17"/>
          <w:color w:val="auto"/>
          <w:vertAlign w:val="superscript"/>
        </w:rPr>
        <w:t>®</w:t>
      </w:r>
      <w:r>
        <w:rPr>
          <w:rFonts w:ascii="Arial" w:cs="Arial" w:eastAsia="Arial" w:hAnsi="Arial"/>
          <w:sz w:val="12"/>
          <w:szCs w:val="12"/>
          <w:color w:val="auto"/>
        </w:rPr>
        <w:t xml:space="preserve"> Level II 6-Year Annuity</w:t>
      </w:r>
    </w:p>
    <w:p>
      <w:pPr>
        <w:ind w:left="440"/>
        <w:spacing w:after="0" w:line="190" w:lineRule="auto"/>
        <w:rPr>
          <w:sz w:val="20"/>
          <w:szCs w:val="20"/>
          <w:color w:val="auto"/>
        </w:rPr>
      </w:pPr>
      <w:r>
        <w:rPr>
          <w:rFonts w:ascii="Arial" w:cs="Arial" w:eastAsia="Arial" w:hAnsi="Arial"/>
          <w:sz w:val="12"/>
          <w:szCs w:val="12"/>
          <w:color w:val="auto"/>
        </w:rPr>
        <w:t>File No. 333-276762 Brighthouse Shield</w:t>
      </w:r>
      <w:r>
        <w:rPr>
          <w:rFonts w:ascii="Arial" w:cs="Arial" w:eastAsia="Arial" w:hAnsi="Arial"/>
          <w:sz w:val="17"/>
          <w:szCs w:val="17"/>
          <w:color w:val="auto"/>
          <w:vertAlign w:val="superscript"/>
        </w:rPr>
        <w:t>®</w:t>
      </w:r>
      <w:r>
        <w:rPr>
          <w:rFonts w:ascii="Arial" w:cs="Arial" w:eastAsia="Arial" w:hAnsi="Arial"/>
          <w:sz w:val="12"/>
          <w:szCs w:val="12"/>
          <w:color w:val="auto"/>
        </w:rPr>
        <w:t xml:space="preserve"> Level II Advisory Annuity</w:t>
      </w:r>
    </w:p>
    <w:p>
      <w:pPr>
        <w:ind w:left="440" w:right="2019"/>
        <w:spacing w:after="0"/>
        <w:rPr>
          <w:sz w:val="20"/>
          <w:szCs w:val="20"/>
          <w:color w:val="auto"/>
        </w:rPr>
      </w:pPr>
      <w:r>
        <w:rPr>
          <w:rFonts w:ascii="Arial" w:cs="Arial" w:eastAsia="Arial" w:hAnsi="Arial"/>
          <w:sz w:val="14"/>
          <w:szCs w:val="14"/>
          <w:color w:val="auto"/>
        </w:rPr>
        <w:t>File No. 333-276763 Brighthouse Shield Level Pay Plus</w:t>
      </w:r>
      <w:r>
        <w:rPr>
          <w:rFonts w:ascii="Arial" w:cs="Arial" w:eastAsia="Arial" w:hAnsi="Arial"/>
          <w:sz w:val="20"/>
          <w:szCs w:val="20"/>
          <w:color w:val="auto"/>
          <w:vertAlign w:val="superscript"/>
        </w:rPr>
        <w:t>®</w:t>
      </w:r>
      <w:r>
        <w:rPr>
          <w:rFonts w:ascii="Arial" w:cs="Arial" w:eastAsia="Arial" w:hAnsi="Arial"/>
          <w:sz w:val="14"/>
          <w:szCs w:val="14"/>
          <w:color w:val="auto"/>
        </w:rPr>
        <w:t xml:space="preserve"> II Annuity and Brighthouse Shield Level Pay Plus</w:t>
      </w:r>
      <w:r>
        <w:rPr>
          <w:rFonts w:ascii="Arial" w:cs="Arial" w:eastAsia="Arial" w:hAnsi="Arial"/>
          <w:sz w:val="20"/>
          <w:szCs w:val="20"/>
          <w:color w:val="auto"/>
          <w:vertAlign w:val="superscript"/>
        </w:rPr>
        <w:t>®</w:t>
      </w:r>
      <w:r>
        <w:rPr>
          <w:rFonts w:ascii="Arial" w:cs="Arial" w:eastAsia="Arial" w:hAnsi="Arial"/>
          <w:sz w:val="14"/>
          <w:szCs w:val="14"/>
          <w:color w:val="auto"/>
        </w:rPr>
        <w:t xml:space="preserve"> II Advisory Annuity File No. 333-279302 Brighthouse Shield</w:t>
      </w:r>
      <w:r>
        <w:rPr>
          <w:rFonts w:ascii="Arial" w:cs="Arial" w:eastAsia="Arial" w:hAnsi="Arial"/>
          <w:sz w:val="20"/>
          <w:szCs w:val="20"/>
          <w:color w:val="auto"/>
          <w:vertAlign w:val="superscript"/>
        </w:rPr>
        <w:t>®</w:t>
      </w:r>
      <w:r>
        <w:rPr>
          <w:rFonts w:ascii="Arial" w:cs="Arial" w:eastAsia="Arial" w:hAnsi="Arial"/>
          <w:sz w:val="14"/>
          <w:szCs w:val="14"/>
          <w:color w:val="auto"/>
        </w:rPr>
        <w:t xml:space="preserve"> Level II 3-Year Annuity T-Mark Fixed Annuity</w:t>
      </w:r>
    </w:p>
    <w:p>
      <w:pPr>
        <w:spacing w:after="0" w:line="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Target Maturity,</w:t>
      </w:r>
    </w:p>
    <w:p>
      <w:pPr>
        <w:spacing w:after="0" w:line="166" w:lineRule="exact"/>
        <w:rPr>
          <w:sz w:val="20"/>
          <w:szCs w:val="20"/>
          <w:color w:val="auto"/>
        </w:rPr>
      </w:pPr>
    </w:p>
    <w:p>
      <w:pPr>
        <w:spacing w:after="0"/>
        <w:tabs>
          <w:tab w:leader="none" w:pos="14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3"/>
          <w:szCs w:val="13"/>
          <w:color w:val="auto"/>
        </w:rPr>
        <w:t>Brighthouse Life Insurance Company (RILA MVA)</w:t>
      </w:r>
    </w:p>
    <w:p>
      <w:pPr>
        <w:spacing w:after="0" w:line="5" w:lineRule="exact"/>
        <w:rPr>
          <w:sz w:val="20"/>
          <w:szCs w:val="20"/>
          <w:color w:val="auto"/>
        </w:rPr>
      </w:pPr>
    </w:p>
    <w:p>
      <w:pPr>
        <w:ind w:left="440" w:right="2019"/>
        <w:spacing w:after="0"/>
        <w:rPr>
          <w:sz w:val="20"/>
          <w:szCs w:val="20"/>
          <w:color w:val="auto"/>
        </w:rPr>
      </w:pPr>
      <w:r>
        <w:rPr>
          <w:rFonts w:ascii="Arial" w:cs="Arial" w:eastAsia="Arial" w:hAnsi="Arial"/>
          <w:sz w:val="13"/>
          <w:szCs w:val="13"/>
          <w:color w:val="auto"/>
        </w:rPr>
        <w:t>File No. 333-282752 Brighthouse Shield Level Pay Plus</w:t>
      </w:r>
      <w:r>
        <w:rPr>
          <w:rFonts w:ascii="Arial" w:cs="Arial" w:eastAsia="Arial" w:hAnsi="Arial"/>
          <w:sz w:val="19"/>
          <w:szCs w:val="19"/>
          <w:color w:val="auto"/>
          <w:vertAlign w:val="superscript"/>
        </w:rPr>
        <w:t>®</w:t>
      </w:r>
      <w:r>
        <w:rPr>
          <w:rFonts w:ascii="Arial" w:cs="Arial" w:eastAsia="Arial" w:hAnsi="Arial"/>
          <w:sz w:val="13"/>
          <w:szCs w:val="13"/>
          <w:color w:val="auto"/>
        </w:rPr>
        <w:t xml:space="preserve"> II Annuity and Brighthouse Shield Level Pay Plus</w:t>
      </w:r>
      <w:r>
        <w:rPr>
          <w:rFonts w:ascii="Arial" w:cs="Arial" w:eastAsia="Arial" w:hAnsi="Arial"/>
          <w:sz w:val="19"/>
          <w:szCs w:val="19"/>
          <w:color w:val="auto"/>
          <w:vertAlign w:val="superscript"/>
        </w:rPr>
        <w:t>®</w:t>
      </w:r>
      <w:r>
        <w:rPr>
          <w:rFonts w:ascii="Arial" w:cs="Arial" w:eastAsia="Arial" w:hAnsi="Arial"/>
          <w:sz w:val="13"/>
          <w:szCs w:val="13"/>
          <w:color w:val="auto"/>
        </w:rPr>
        <w:t xml:space="preserve"> II Advisory Annuity File No. 333-282871 Brighthouse Shield</w:t>
      </w:r>
      <w:r>
        <w:rPr>
          <w:rFonts w:ascii="Arial" w:cs="Arial" w:eastAsia="Arial" w:hAnsi="Arial"/>
          <w:sz w:val="19"/>
          <w:szCs w:val="19"/>
          <w:color w:val="auto"/>
          <w:vertAlign w:val="superscript"/>
        </w:rPr>
        <w:t>®</w:t>
      </w:r>
      <w:r>
        <w:rPr>
          <w:rFonts w:ascii="Arial" w:cs="Arial" w:eastAsia="Arial" w:hAnsi="Arial"/>
          <w:sz w:val="13"/>
          <w:szCs w:val="13"/>
          <w:color w:val="auto"/>
        </w:rPr>
        <w:t xml:space="preserve"> Level II Advisory Annuity File No. 333-283023 Brighthouse Shield</w:t>
      </w:r>
      <w:r>
        <w:rPr>
          <w:rFonts w:ascii="Arial" w:cs="Arial" w:eastAsia="Arial" w:hAnsi="Arial"/>
          <w:sz w:val="19"/>
          <w:szCs w:val="19"/>
          <w:color w:val="auto"/>
          <w:vertAlign w:val="superscript"/>
        </w:rPr>
        <w:t>®</w:t>
      </w:r>
      <w:r>
        <w:rPr>
          <w:rFonts w:ascii="Arial" w:cs="Arial" w:eastAsia="Arial" w:hAnsi="Arial"/>
          <w:sz w:val="13"/>
          <w:szCs w:val="13"/>
          <w:color w:val="auto"/>
        </w:rPr>
        <w:t xml:space="preserve"> Level II 6-Year Annuity</w:t>
      </w:r>
    </w:p>
    <w:p>
      <w:pPr>
        <w:ind w:left="440"/>
        <w:spacing w:after="0" w:line="188" w:lineRule="auto"/>
        <w:rPr>
          <w:sz w:val="20"/>
          <w:szCs w:val="20"/>
          <w:color w:val="auto"/>
        </w:rPr>
      </w:pPr>
      <w:r>
        <w:rPr>
          <w:rFonts w:ascii="Arial" w:cs="Arial" w:eastAsia="Arial" w:hAnsi="Arial"/>
          <w:sz w:val="14"/>
          <w:szCs w:val="14"/>
          <w:color w:val="auto"/>
        </w:rPr>
        <w:t>File No. 333-283024 Brighthouse Shield</w:t>
      </w:r>
      <w:r>
        <w:rPr>
          <w:rFonts w:ascii="Arial" w:cs="Arial" w:eastAsia="Arial" w:hAnsi="Arial"/>
          <w:sz w:val="20"/>
          <w:szCs w:val="20"/>
          <w:color w:val="auto"/>
          <w:vertAlign w:val="superscript"/>
        </w:rPr>
        <w:t>®</w:t>
      </w:r>
      <w:r>
        <w:rPr>
          <w:rFonts w:ascii="Arial" w:cs="Arial" w:eastAsia="Arial" w:hAnsi="Arial"/>
          <w:sz w:val="14"/>
          <w:szCs w:val="14"/>
          <w:color w:val="auto"/>
        </w:rPr>
        <w:t xml:space="preserve"> Level II 3-Year Annuity</w:t>
      </w:r>
    </w:p>
    <w:p>
      <w:pPr>
        <w:ind w:left="440"/>
        <w:spacing w:after="0" w:line="230" w:lineRule="auto"/>
        <w:rPr>
          <w:sz w:val="20"/>
          <w:szCs w:val="20"/>
          <w:color w:val="auto"/>
        </w:rPr>
      </w:pPr>
      <w:r>
        <w:rPr>
          <w:rFonts w:ascii="Arial" w:cs="Arial" w:eastAsia="Arial" w:hAnsi="Arial"/>
          <w:sz w:val="14"/>
          <w:szCs w:val="14"/>
          <w:color w:val="auto"/>
        </w:rPr>
        <w:t>File No. 333-290021 Fixed Account Annuity (Strategic Value Annuity)</w:t>
      </w:r>
    </w:p>
    <w:p>
      <w:pPr>
        <w:ind w:left="580" w:right="2199" w:hanging="155"/>
        <w:spacing w:after="0" w:line="230" w:lineRule="auto"/>
        <w:rPr>
          <w:sz w:val="20"/>
          <w:szCs w:val="20"/>
          <w:color w:val="auto"/>
        </w:rPr>
      </w:pPr>
      <w:r>
        <w:rPr>
          <w:rFonts w:ascii="Arial" w:cs="Arial" w:eastAsia="Arial" w:hAnsi="Arial"/>
          <w:sz w:val="14"/>
          <w:szCs w:val="14"/>
          <w:color w:val="auto"/>
        </w:rPr>
        <w:t>File No. 333-290022 Gold Track and Registered Fixed Account Option and Gold Track Select and Registered Fixed Account Option</w:t>
      </w:r>
    </w:p>
    <w:p>
      <w:pPr>
        <w:ind w:left="440" w:right="3859"/>
        <w:spacing w:after="0" w:line="247" w:lineRule="auto"/>
        <w:rPr>
          <w:sz w:val="20"/>
          <w:szCs w:val="20"/>
          <w:color w:val="auto"/>
        </w:rPr>
      </w:pPr>
      <w:r>
        <w:rPr>
          <w:rFonts w:ascii="Arial" w:cs="Arial" w:eastAsia="Arial" w:hAnsi="Arial"/>
          <w:sz w:val="13"/>
          <w:szCs w:val="13"/>
          <w:color w:val="auto"/>
        </w:rPr>
        <w:t>File No. 333-290023 Brighthouse Retirement Perspectives and Registered Fixed Account Option File No. 333-290024 Unallocated Group Variable Annuity and Registered Fixed Account Option</w:t>
      </w:r>
    </w:p>
    <w:p>
      <w:pPr>
        <w:spacing w:after="0" w:line="1" w:lineRule="exact"/>
        <w:rPr>
          <w:sz w:val="20"/>
          <w:szCs w:val="20"/>
          <w:color w:val="auto"/>
        </w:rPr>
      </w:pPr>
    </w:p>
    <w:p>
      <w:pPr>
        <w:ind w:left="580" w:right="2159" w:hanging="155"/>
        <w:spacing w:after="0"/>
        <w:rPr>
          <w:sz w:val="20"/>
          <w:szCs w:val="20"/>
          <w:color w:val="auto"/>
        </w:rPr>
      </w:pPr>
      <w:r>
        <w:rPr>
          <w:rFonts w:ascii="Arial" w:cs="Arial" w:eastAsia="Arial" w:hAnsi="Arial"/>
          <w:sz w:val="14"/>
          <w:szCs w:val="14"/>
          <w:color w:val="auto"/>
        </w:rPr>
        <w:t>File No. 333-290025 Brighthouse Retirement Account Annuity, Registered Fixed Account Option and Brighthouse Retirement Account Liquidity Benefit</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color w:val="auto"/>
        </w:rPr>
        <w:t>And new annuities and life products such as:</w:t>
      </w:r>
    </w:p>
    <w:p>
      <w:pPr>
        <w:ind w:left="440"/>
        <w:spacing w:after="0" w:line="237" w:lineRule="auto"/>
        <w:rPr>
          <w:sz w:val="20"/>
          <w:szCs w:val="20"/>
          <w:color w:val="auto"/>
        </w:rPr>
      </w:pPr>
      <w:r>
        <w:rPr>
          <w:rFonts w:ascii="Arial" w:cs="Arial" w:eastAsia="Arial" w:hAnsi="Arial"/>
          <w:sz w:val="14"/>
          <w:szCs w:val="14"/>
          <w:color w:val="auto"/>
        </w:rPr>
        <w:t>Brighthouse Shield Annuity</w:t>
      </w:r>
    </w:p>
    <w:p>
      <w:pPr>
        <w:ind w:left="440"/>
        <w:spacing w:after="0" w:line="230" w:lineRule="auto"/>
        <w:rPr>
          <w:sz w:val="20"/>
          <w:szCs w:val="20"/>
          <w:color w:val="auto"/>
        </w:rPr>
      </w:pPr>
      <w:r>
        <w:rPr>
          <w:rFonts w:ascii="Arial" w:cs="Arial" w:eastAsia="Arial" w:hAnsi="Arial"/>
          <w:sz w:val="14"/>
          <w:szCs w:val="14"/>
          <w:color w:val="auto"/>
        </w:rPr>
        <w:t>Brighthouse Shield 3-Year Annuity</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4"/>
          <w:szCs w:val="14"/>
          <w:color w:val="auto"/>
        </w:rPr>
        <w:t>Brighthouse Shield 6-Year Annuity</w:t>
      </w:r>
    </w:p>
    <w:p>
      <w:pPr>
        <w:sectPr>
          <w:pgSz w:w="11900" w:h="16838" w:orient="portrait"/>
          <w:cols w:equalWidth="0" w:num="1">
            <w:col w:w="10159"/>
          </w:cols>
          <w:pgMar w:left="300" w:top="240" w:right="1440" w:bottom="1440" w:gutter="0" w:footer="0" w:header="0"/>
        </w:sectPr>
      </w:pPr>
    </w:p>
    <w:bookmarkStart w:id="122" w:name="page123"/>
    <w:bookmarkEnd w:id="122"/>
    <w:p>
      <w:pPr>
        <w:ind w:left="44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4">
                      <a:extLst>
                        <a:ext uri="{28A0092B-C50C-407E-A947-70E740481C1C}"/>
                      </a:extLst>
                    </a:blip>
                    <a:srcRect/>
                    <a:stretch>
                      <a:fillRect/>
                    </a:stretch>
                  </pic:blipFill>
                  <pic:spPr bwMode="auto">
                    <a:xfrm>
                      <a:off x="0" y="0"/>
                      <a:ext cx="7203440" cy="32385"/>
                    </a:xfrm>
                    <a:prstGeom prst="rect">
                      <a:avLst/>
                    </a:prstGeom>
                    <a:noFill/>
                  </pic:spPr>
                </pic:pic>
              </a:graphicData>
            </a:graphic>
          </wp:anchor>
        </w:drawing>
        <w:t>Brighthouse Index-linked Life Insurance Policy,</w:t>
      </w:r>
    </w:p>
    <w:p>
      <w:pPr>
        <w:spacing w:after="0" w:line="158" w:lineRule="exact"/>
        <w:rPr>
          <w:sz w:val="20"/>
          <w:szCs w:val="20"/>
          <w:color w:val="auto"/>
        </w:rPr>
      </w:pPr>
    </w:p>
    <w:p>
      <w:pPr>
        <w:ind w:right="1979"/>
        <w:spacing w:after="0" w:line="239" w:lineRule="auto"/>
        <w:rPr>
          <w:sz w:val="20"/>
          <w:szCs w:val="20"/>
          <w:color w:val="auto"/>
        </w:rPr>
      </w:pPr>
      <w:r>
        <w:rPr>
          <w:rFonts w:ascii="Arial" w:cs="Arial" w:eastAsia="Arial" w:hAnsi="Arial"/>
          <w:sz w:val="14"/>
          <w:szCs w:val="14"/>
          <w:color w:val="auto"/>
        </w:rPr>
        <w:t>and to have full power and authority to do or cause to be done in my name, place and stead each and every act and thing necessary or appropriate in order to effectuate the same, as fully to all intents and purposes as I might or could do in person, hereby ratifying and confirming all that said attorneys-in-fact or any of them, may do or cause to be done by virtue hereof. This Power of Attorney does not revoke any prior powers of attorney.</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color w:val="auto"/>
        </w:rPr>
        <w:t>IN WITNESS WHEREOF, I have hereunto set my hand this13th day of November 2025.</w:t>
      </w:r>
    </w:p>
    <w:p>
      <w:pPr>
        <w:spacing w:after="0" w:line="322"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/s/ Edward A. Spehar</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Edward A. Spehar</w:t>
      </w:r>
    </w:p>
    <w:p>
      <w:pPr>
        <w:sectPr>
          <w:pgSz w:w="11900" w:h="16838" w:orient="portrait"/>
          <w:cols w:equalWidth="0" w:num="1">
            <w:col w:w="10159"/>
          </w:cols>
          <w:pgMar w:left="300" w:top="240" w:right="1440" w:bottom="1440" w:gutter="0" w:footer="0" w:header="0"/>
        </w:sectPr>
      </w:pPr>
    </w:p>
    <w:bookmarkStart w:id="123" w:name="page124"/>
    <w:bookmarkEnd w:id="123"/>
    <w:p>
      <w:pPr>
        <w:jc w:val="center"/>
        <w:ind w:right="1759"/>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5">
                      <a:extLst>
                        <a:ext uri="{28A0092B-C50C-407E-A947-70E740481C1C}"/>
                      </a:extLst>
                    </a:blip>
                    <a:srcRect/>
                    <a:stretch>
                      <a:fillRect/>
                    </a:stretch>
                  </pic:blipFill>
                  <pic:spPr bwMode="auto">
                    <a:xfrm>
                      <a:off x="0" y="0"/>
                      <a:ext cx="7203440" cy="32385"/>
                    </a:xfrm>
                    <a:prstGeom prst="rect">
                      <a:avLst/>
                    </a:prstGeom>
                    <a:noFill/>
                  </pic:spPr>
                </pic:pic>
              </a:graphicData>
            </a:graphic>
          </wp:anchor>
        </w:drawing>
        <w:t>Brighthouse Life Insurance Company</w:t>
      </w:r>
    </w:p>
    <w:p>
      <w:pPr>
        <w:spacing w:after="0" w:line="158" w:lineRule="exact"/>
        <w:rPr>
          <w:sz w:val="20"/>
          <w:szCs w:val="20"/>
          <w:color w:val="auto"/>
        </w:rPr>
      </w:pPr>
    </w:p>
    <w:p>
      <w:pPr>
        <w:jc w:val="center"/>
        <w:ind w:right="1759"/>
        <w:spacing w:after="0"/>
        <w:rPr>
          <w:sz w:val="20"/>
          <w:szCs w:val="20"/>
          <w:color w:val="auto"/>
        </w:rPr>
      </w:pPr>
      <w:r>
        <w:rPr>
          <w:rFonts w:ascii="Arial" w:cs="Arial" w:eastAsia="Arial" w:hAnsi="Arial"/>
          <w:sz w:val="14"/>
          <w:szCs w:val="14"/>
          <w:color w:val="auto"/>
        </w:rPr>
        <w:t>POWER OF ATTORNEY</w:t>
      </w:r>
    </w:p>
    <w:p>
      <w:pPr>
        <w:spacing w:after="0" w:line="158" w:lineRule="exact"/>
        <w:rPr>
          <w:sz w:val="20"/>
          <w:szCs w:val="20"/>
          <w:color w:val="auto"/>
        </w:rPr>
      </w:pPr>
    </w:p>
    <w:p>
      <w:pPr>
        <w:jc w:val="center"/>
        <w:ind w:right="1759"/>
        <w:spacing w:after="0"/>
        <w:rPr>
          <w:sz w:val="20"/>
          <w:szCs w:val="20"/>
          <w:color w:val="auto"/>
        </w:rPr>
      </w:pPr>
      <w:r>
        <w:rPr>
          <w:rFonts w:ascii="Arial" w:cs="Arial" w:eastAsia="Arial" w:hAnsi="Arial"/>
          <w:sz w:val="14"/>
          <w:szCs w:val="14"/>
          <w:color w:val="auto"/>
        </w:rPr>
        <w:t>Melissa B. Pavlovich</w:t>
      </w:r>
    </w:p>
    <w:p>
      <w:pPr>
        <w:spacing w:after="0" w:line="5" w:lineRule="exact"/>
        <w:rPr>
          <w:sz w:val="20"/>
          <w:szCs w:val="20"/>
          <w:color w:val="auto"/>
        </w:rPr>
      </w:pPr>
    </w:p>
    <w:p>
      <w:pPr>
        <w:jc w:val="center"/>
        <w:ind w:right="1759"/>
        <w:spacing w:after="0"/>
        <w:rPr>
          <w:sz w:val="20"/>
          <w:szCs w:val="20"/>
          <w:color w:val="auto"/>
        </w:rPr>
      </w:pPr>
      <w:r>
        <w:rPr>
          <w:rFonts w:ascii="Arial" w:cs="Arial" w:eastAsia="Arial" w:hAnsi="Arial"/>
          <w:sz w:val="14"/>
          <w:szCs w:val="14"/>
          <w:color w:val="auto"/>
        </w:rPr>
        <w:t>Vice President and Chief Accounting Officer</w:t>
      </w:r>
    </w:p>
    <w:p>
      <w:pPr>
        <w:spacing w:after="0" w:line="146" w:lineRule="exact"/>
        <w:rPr>
          <w:sz w:val="20"/>
          <w:szCs w:val="20"/>
          <w:color w:val="auto"/>
        </w:rPr>
      </w:pPr>
    </w:p>
    <w:p>
      <w:pPr>
        <w:ind w:right="1759"/>
        <w:spacing w:after="0" w:line="236" w:lineRule="auto"/>
        <w:rPr>
          <w:sz w:val="20"/>
          <w:szCs w:val="20"/>
          <w:color w:val="auto"/>
        </w:rPr>
      </w:pPr>
      <w:r>
        <w:rPr>
          <w:rFonts w:ascii="Arial" w:cs="Arial" w:eastAsia="Arial" w:hAnsi="Arial"/>
          <w:sz w:val="14"/>
          <w:szCs w:val="14"/>
          <w:color w:val="auto"/>
        </w:rPr>
        <w:t>KNOW ALL MEN BY THESE PRESENTS, that I, Melissa B. Pavlovich, Vice President and Chief Accounting Officer of Brighthouse Life Insurance Company, a Delaware company (the “Company”), do hereby constitute and appoint Michele H. Abate, Allie Lin, and Alexander Ulianov, as my attorney-in-fact and agent, each of whom may act individually and none of whom is required to act jointly with any of the others, to sign and file on my behalf and to execute and file any instrument or document required to be filed as part of or in connection with or in any way related to, the Registration Statements and any and all amendments thereto filed by the Company under the Securities Act of 1933 and/or the Investment Company Act of 1940, pertaining to:</w:t>
      </w:r>
    </w:p>
    <w:p>
      <w:pPr>
        <w:spacing w:after="0" w:line="161" w:lineRule="exact"/>
        <w:rPr>
          <w:sz w:val="20"/>
          <w:szCs w:val="20"/>
          <w:color w:val="auto"/>
        </w:rPr>
      </w:pPr>
    </w:p>
    <w:p>
      <w:pPr>
        <w:ind w:left="440" w:right="6299" w:hanging="438"/>
        <w:spacing w:after="0" w:line="196" w:lineRule="auto"/>
        <w:tabs>
          <w:tab w:leader="none" w:pos="173" w:val="left"/>
        </w:tabs>
        <w:numPr>
          <w:ilvl w:val="0"/>
          <w:numId w:val="129"/>
        </w:numPr>
        <w:rPr>
          <w:rFonts w:ascii="Arial" w:cs="Arial" w:eastAsia="Arial" w:hAnsi="Arial"/>
          <w:sz w:val="14"/>
          <w:szCs w:val="14"/>
          <w:color w:val="auto"/>
        </w:rPr>
      </w:pPr>
      <w:r>
        <w:rPr>
          <w:rFonts w:ascii="Arial" w:cs="Arial" w:eastAsia="Arial" w:hAnsi="Arial"/>
          <w:sz w:val="14"/>
          <w:szCs w:val="14"/>
          <w:color w:val="auto"/>
        </w:rPr>
        <w:t>Brighthouse Fund UL for Variable Life Insurance (811-03927) File No. 002-88637 MarketLife</w:t>
      </w:r>
      <w:r>
        <w:rPr>
          <w:rFonts w:ascii="Arial" w:cs="Arial" w:eastAsia="Arial" w:hAnsi="Arial"/>
          <w:sz w:val="20"/>
          <w:szCs w:val="20"/>
          <w:color w:val="auto"/>
          <w:vertAlign w:val="superscript"/>
        </w:rPr>
        <w:t>SM</w:t>
      </w:r>
      <w:r>
        <w:rPr>
          <w:rFonts w:ascii="Arial" w:cs="Arial" w:eastAsia="Arial" w:hAnsi="Arial"/>
          <w:sz w:val="14"/>
          <w:szCs w:val="14"/>
          <w:color w:val="auto"/>
        </w:rPr>
        <w:t xml:space="preserve"> and Invest</w:t>
      </w:r>
    </w:p>
    <w:p>
      <w:pPr>
        <w:spacing w:after="0" w:line="1" w:lineRule="exact"/>
        <w:rPr>
          <w:rFonts w:ascii="Arial" w:cs="Arial" w:eastAsia="Arial" w:hAnsi="Arial"/>
          <w:sz w:val="14"/>
          <w:szCs w:val="14"/>
          <w:color w:val="auto"/>
        </w:rPr>
      </w:pPr>
    </w:p>
    <w:p>
      <w:pPr>
        <w:ind w:left="440"/>
        <w:spacing w:after="0" w:line="189" w:lineRule="auto"/>
        <w:rPr>
          <w:rFonts w:ascii="Arial" w:cs="Arial" w:eastAsia="Arial" w:hAnsi="Arial"/>
          <w:sz w:val="14"/>
          <w:szCs w:val="14"/>
          <w:color w:val="auto"/>
        </w:rPr>
      </w:pPr>
      <w:r>
        <w:rPr>
          <w:rFonts w:ascii="Arial" w:cs="Arial" w:eastAsia="Arial" w:hAnsi="Arial"/>
          <w:sz w:val="12"/>
          <w:szCs w:val="12"/>
          <w:color w:val="auto"/>
        </w:rPr>
        <w:t>File No. 333-152219 MarketLife</w:t>
      </w:r>
      <w:r>
        <w:rPr>
          <w:rFonts w:ascii="Arial" w:cs="Arial" w:eastAsia="Arial" w:hAnsi="Arial"/>
          <w:sz w:val="17"/>
          <w:szCs w:val="17"/>
          <w:color w:val="auto"/>
          <w:vertAlign w:val="superscript"/>
        </w:rPr>
        <w:t>SM</w:t>
      </w:r>
    </w:p>
    <w:p>
      <w:pPr>
        <w:ind w:left="440" w:right="6099"/>
        <w:spacing w:after="0" w:line="247" w:lineRule="auto"/>
        <w:rPr>
          <w:rFonts w:ascii="Arial" w:cs="Arial" w:eastAsia="Arial" w:hAnsi="Arial"/>
          <w:sz w:val="14"/>
          <w:szCs w:val="14"/>
          <w:color w:val="auto"/>
        </w:rPr>
      </w:pPr>
      <w:r>
        <w:rPr>
          <w:rFonts w:ascii="Arial" w:cs="Arial" w:eastAsia="Arial" w:hAnsi="Arial"/>
          <w:sz w:val="13"/>
          <w:szCs w:val="13"/>
          <w:color w:val="auto"/>
        </w:rPr>
        <w:t>File No. 333-56952 Brighthouse Variable Survivorship Life II File No. 333-69771 Brighthouse Variable Survivorship Life</w:t>
      </w:r>
    </w:p>
    <w:p>
      <w:pPr>
        <w:ind w:left="440" w:right="2939"/>
        <w:spacing w:after="0" w:line="230" w:lineRule="auto"/>
        <w:rPr>
          <w:rFonts w:ascii="Arial" w:cs="Arial" w:eastAsia="Arial" w:hAnsi="Arial"/>
          <w:sz w:val="14"/>
          <w:szCs w:val="14"/>
          <w:color w:val="auto"/>
        </w:rPr>
      </w:pPr>
      <w:r>
        <w:rPr>
          <w:rFonts w:ascii="Arial" w:cs="Arial" w:eastAsia="Arial" w:hAnsi="Arial"/>
          <w:sz w:val="14"/>
          <w:szCs w:val="14"/>
          <w:color w:val="auto"/>
        </w:rPr>
        <w:t>File No. 333-96515 Brighthouse Variable Life Accumulator and Brighthouse Variable Life Accumulator - Series 2 File No. 333-96519 Brighthouse Variable Life</w:t>
      </w:r>
    </w:p>
    <w:p>
      <w:pPr>
        <w:ind w:left="440" w:right="5499"/>
        <w:spacing w:after="0" w:line="229" w:lineRule="auto"/>
        <w:rPr>
          <w:rFonts w:ascii="Arial" w:cs="Arial" w:eastAsia="Arial" w:hAnsi="Arial"/>
          <w:sz w:val="14"/>
          <w:szCs w:val="14"/>
          <w:color w:val="auto"/>
        </w:rPr>
      </w:pPr>
      <w:r>
        <w:rPr>
          <w:rFonts w:ascii="Arial" w:cs="Arial" w:eastAsia="Arial" w:hAnsi="Arial"/>
          <w:sz w:val="14"/>
          <w:szCs w:val="14"/>
          <w:color w:val="auto"/>
        </w:rPr>
        <w:t>File No. 333-113109 Brighthouse Variable Life Accumulator - Series 3 File No. 333-152216 Portfolio Architect Life</w:t>
      </w:r>
    </w:p>
    <w:p>
      <w:pPr>
        <w:spacing w:after="0" w:line="1" w:lineRule="exact"/>
        <w:rPr>
          <w:rFonts w:ascii="Arial" w:cs="Arial" w:eastAsia="Arial" w:hAnsi="Arial"/>
          <w:sz w:val="14"/>
          <w:szCs w:val="14"/>
          <w:color w:val="auto"/>
        </w:rPr>
      </w:pPr>
    </w:p>
    <w:p>
      <w:pPr>
        <w:ind w:left="440"/>
        <w:spacing w:after="0"/>
        <w:rPr>
          <w:rFonts w:ascii="Arial" w:cs="Arial" w:eastAsia="Arial" w:hAnsi="Arial"/>
          <w:sz w:val="14"/>
          <w:szCs w:val="14"/>
          <w:color w:val="auto"/>
        </w:rPr>
      </w:pPr>
      <w:r>
        <w:rPr>
          <w:rFonts w:ascii="Arial" w:cs="Arial" w:eastAsia="Arial" w:hAnsi="Arial"/>
          <w:sz w:val="14"/>
          <w:szCs w:val="14"/>
          <w:color w:val="auto"/>
        </w:rPr>
        <w:t>File No. 333-152217 VintageLife,</w:t>
      </w:r>
    </w:p>
    <w:p>
      <w:pPr>
        <w:spacing w:after="0" w:line="166" w:lineRule="exact"/>
        <w:rPr>
          <w:rFonts w:ascii="Arial" w:cs="Arial" w:eastAsia="Arial" w:hAnsi="Arial"/>
          <w:sz w:val="14"/>
          <w:szCs w:val="14"/>
          <w:color w:val="auto"/>
        </w:rPr>
      </w:pPr>
    </w:p>
    <w:p>
      <w:pPr>
        <w:ind w:left="160" w:hanging="158"/>
        <w:spacing w:after="0"/>
        <w:tabs>
          <w:tab w:leader="none" w:pos="160" w:val="left"/>
        </w:tabs>
        <w:numPr>
          <w:ilvl w:val="0"/>
          <w:numId w:val="129"/>
        </w:numPr>
        <w:rPr>
          <w:rFonts w:ascii="Arial" w:cs="Arial" w:eastAsia="Arial" w:hAnsi="Arial"/>
          <w:sz w:val="14"/>
          <w:szCs w:val="14"/>
          <w:color w:val="auto"/>
        </w:rPr>
      </w:pPr>
      <w:r>
        <w:rPr>
          <w:rFonts w:ascii="Arial" w:cs="Arial" w:eastAsia="Arial" w:hAnsi="Arial"/>
          <w:sz w:val="14"/>
          <w:szCs w:val="14"/>
          <w:color w:val="auto"/>
        </w:rPr>
        <w:t>Brighthouse Fund UL III for Variable Life Insurance (811-09215)</w:t>
      </w:r>
    </w:p>
    <w:p>
      <w:pPr>
        <w:ind w:left="440"/>
        <w:spacing w:after="0" w:line="237" w:lineRule="auto"/>
        <w:rPr>
          <w:sz w:val="20"/>
          <w:szCs w:val="20"/>
          <w:color w:val="auto"/>
        </w:rPr>
      </w:pPr>
      <w:r>
        <w:rPr>
          <w:rFonts w:ascii="Arial" w:cs="Arial" w:eastAsia="Arial" w:hAnsi="Arial"/>
          <w:sz w:val="14"/>
          <w:szCs w:val="14"/>
          <w:color w:val="auto"/>
        </w:rPr>
        <w:t>File No. 333-71349 Corporate Owned VUL Series 1</w:t>
      </w:r>
    </w:p>
    <w:p>
      <w:pPr>
        <w:ind w:left="440"/>
        <w:spacing w:after="0" w:line="230" w:lineRule="auto"/>
        <w:rPr>
          <w:sz w:val="20"/>
          <w:szCs w:val="20"/>
          <w:color w:val="auto"/>
        </w:rPr>
      </w:pPr>
      <w:r>
        <w:rPr>
          <w:rFonts w:ascii="Arial" w:cs="Arial" w:eastAsia="Arial" w:hAnsi="Arial"/>
          <w:sz w:val="14"/>
          <w:szCs w:val="14"/>
          <w:color w:val="auto"/>
        </w:rPr>
        <w:t>File No. 333-94779 Corporate Owned VUL 2000 and Corporate Owned VUL III</w:t>
      </w:r>
    </w:p>
    <w:p>
      <w:pPr>
        <w:ind w:left="440"/>
        <w:spacing w:after="0" w:line="230" w:lineRule="auto"/>
        <w:rPr>
          <w:sz w:val="20"/>
          <w:szCs w:val="20"/>
          <w:color w:val="auto"/>
        </w:rPr>
      </w:pPr>
      <w:r>
        <w:rPr>
          <w:rFonts w:ascii="Arial" w:cs="Arial" w:eastAsia="Arial" w:hAnsi="Arial"/>
          <w:sz w:val="14"/>
          <w:szCs w:val="14"/>
          <w:color w:val="auto"/>
        </w:rPr>
        <w:t>File No. 333-105335 Corporate Select Policy</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4"/>
          <w:szCs w:val="14"/>
          <w:color w:val="auto"/>
        </w:rPr>
        <w:t>File No. 333-113533 Corporate Owned VUL IV,</w:t>
      </w:r>
    </w:p>
    <w:p>
      <w:pPr>
        <w:spacing w:after="0" w:line="166" w:lineRule="exact"/>
        <w:rPr>
          <w:sz w:val="20"/>
          <w:szCs w:val="20"/>
          <w:color w:val="auto"/>
        </w:rPr>
      </w:pPr>
    </w:p>
    <w:p>
      <w:pPr>
        <w:spacing w:after="0"/>
        <w:tabs>
          <w:tab w:leader="none" w:pos="14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3"/>
          <w:szCs w:val="13"/>
          <w:color w:val="auto"/>
        </w:rPr>
        <w:t>Brighthouse Separate Account A (811-03365)</w:t>
      </w:r>
    </w:p>
    <w:p>
      <w:pPr>
        <w:ind w:left="440"/>
        <w:spacing w:after="0" w:line="237" w:lineRule="auto"/>
        <w:rPr>
          <w:sz w:val="20"/>
          <w:szCs w:val="20"/>
          <w:color w:val="auto"/>
        </w:rPr>
      </w:pPr>
      <w:r>
        <w:rPr>
          <w:rFonts w:ascii="Arial" w:cs="Arial" w:eastAsia="Arial" w:hAnsi="Arial"/>
          <w:sz w:val="14"/>
          <w:szCs w:val="14"/>
          <w:color w:val="auto"/>
        </w:rPr>
        <w:t>File No. 333-200231 Series VA (offered between October 7, 2011 and May 1, 2016)</w:t>
      </w:r>
    </w:p>
    <w:p>
      <w:pPr>
        <w:spacing w:after="0" w:line="1" w:lineRule="exact"/>
        <w:rPr>
          <w:sz w:val="20"/>
          <w:szCs w:val="20"/>
          <w:color w:val="auto"/>
        </w:rPr>
      </w:pPr>
    </w:p>
    <w:p>
      <w:pPr>
        <w:ind w:left="580" w:right="1899" w:hanging="155"/>
        <w:spacing w:after="0" w:line="230" w:lineRule="auto"/>
        <w:rPr>
          <w:sz w:val="20"/>
          <w:szCs w:val="20"/>
          <w:color w:val="auto"/>
        </w:rPr>
      </w:pPr>
      <w:r>
        <w:rPr>
          <w:rFonts w:ascii="Arial" w:cs="Arial" w:eastAsia="Arial" w:hAnsi="Arial"/>
          <w:sz w:val="14"/>
          <w:szCs w:val="14"/>
          <w:color w:val="auto"/>
        </w:rPr>
        <w:t>File No. 333-200232 Series S (offered between October 7, 2011 and May 1, 2016) and Series S-L Share Option (offered between October 7, 2011 and May 1, 2016)</w:t>
      </w:r>
    </w:p>
    <w:p>
      <w:pPr>
        <w:ind w:left="440"/>
        <w:spacing w:after="0" w:line="230" w:lineRule="auto"/>
        <w:rPr>
          <w:sz w:val="20"/>
          <w:szCs w:val="20"/>
          <w:color w:val="auto"/>
        </w:rPr>
      </w:pPr>
      <w:r>
        <w:rPr>
          <w:rFonts w:ascii="Arial" w:cs="Arial" w:eastAsia="Arial" w:hAnsi="Arial"/>
          <w:sz w:val="14"/>
          <w:szCs w:val="14"/>
          <w:color w:val="auto"/>
        </w:rPr>
        <w:t>File No. 333-200233 Series VA-4 (offered between October 7, 2011 and May 1, 2016)</w:t>
      </w:r>
    </w:p>
    <w:p>
      <w:pPr>
        <w:ind w:left="440"/>
        <w:spacing w:after="0" w:line="230" w:lineRule="auto"/>
        <w:rPr>
          <w:sz w:val="20"/>
          <w:szCs w:val="20"/>
          <w:color w:val="auto"/>
        </w:rPr>
      </w:pPr>
      <w:r>
        <w:rPr>
          <w:rFonts w:ascii="Arial" w:cs="Arial" w:eastAsia="Arial" w:hAnsi="Arial"/>
          <w:sz w:val="14"/>
          <w:szCs w:val="14"/>
          <w:color w:val="auto"/>
        </w:rPr>
        <w:t>File No. 333-200234 Series O (offered between April 30, 2012 and July 19, 2015)</w:t>
      </w:r>
    </w:p>
    <w:p>
      <w:pPr>
        <w:ind w:left="440"/>
        <w:spacing w:after="0" w:line="230" w:lineRule="auto"/>
        <w:rPr>
          <w:sz w:val="20"/>
          <w:szCs w:val="20"/>
          <w:color w:val="auto"/>
        </w:rPr>
      </w:pPr>
      <w:r>
        <w:rPr>
          <w:rFonts w:ascii="Arial" w:cs="Arial" w:eastAsia="Arial" w:hAnsi="Arial"/>
          <w:sz w:val="14"/>
          <w:szCs w:val="14"/>
          <w:color w:val="auto"/>
        </w:rPr>
        <w:t>File No. 333-200236 Series L - 4 Year (offered on and after April 29, 2013)</w:t>
      </w:r>
    </w:p>
    <w:p>
      <w:pPr>
        <w:ind w:left="440"/>
        <w:spacing w:after="0" w:line="230" w:lineRule="auto"/>
        <w:rPr>
          <w:sz w:val="20"/>
          <w:szCs w:val="20"/>
          <w:color w:val="auto"/>
        </w:rPr>
      </w:pPr>
      <w:r>
        <w:rPr>
          <w:rFonts w:ascii="Arial" w:cs="Arial" w:eastAsia="Arial" w:hAnsi="Arial"/>
          <w:sz w:val="14"/>
          <w:szCs w:val="14"/>
          <w:color w:val="auto"/>
        </w:rPr>
        <w:t>File No. 333-200237 PrimElite IV</w:t>
      </w:r>
    </w:p>
    <w:p>
      <w:pPr>
        <w:ind w:left="440"/>
        <w:spacing w:after="0" w:line="230" w:lineRule="auto"/>
        <w:rPr>
          <w:sz w:val="20"/>
          <w:szCs w:val="20"/>
          <w:color w:val="auto"/>
        </w:rPr>
      </w:pPr>
      <w:r>
        <w:rPr>
          <w:rFonts w:ascii="Arial" w:cs="Arial" w:eastAsia="Arial" w:hAnsi="Arial"/>
          <w:sz w:val="14"/>
          <w:szCs w:val="14"/>
          <w:color w:val="auto"/>
        </w:rPr>
        <w:t>File No. 333-200238 Marquis Portfolios (offered on and after April 30, 2012)</w:t>
      </w:r>
    </w:p>
    <w:p>
      <w:pPr>
        <w:ind w:left="440"/>
        <w:spacing w:after="0" w:line="230" w:lineRule="auto"/>
        <w:rPr>
          <w:sz w:val="20"/>
          <w:szCs w:val="20"/>
          <w:color w:val="auto"/>
        </w:rPr>
      </w:pPr>
      <w:r>
        <w:rPr>
          <w:rFonts w:ascii="Arial" w:cs="Arial" w:eastAsia="Arial" w:hAnsi="Arial"/>
          <w:sz w:val="14"/>
          <w:szCs w:val="14"/>
          <w:color w:val="auto"/>
        </w:rPr>
        <w:t>File No. 333-200239 Brighthouse Growth and Income</w:t>
      </w:r>
    </w:p>
    <w:p>
      <w:pPr>
        <w:ind w:left="440"/>
        <w:spacing w:after="0" w:line="230" w:lineRule="auto"/>
        <w:rPr>
          <w:sz w:val="20"/>
          <w:szCs w:val="20"/>
          <w:color w:val="auto"/>
        </w:rPr>
      </w:pPr>
      <w:r>
        <w:rPr>
          <w:rFonts w:ascii="Arial" w:cs="Arial" w:eastAsia="Arial" w:hAnsi="Arial"/>
          <w:sz w:val="14"/>
          <w:szCs w:val="14"/>
          <w:color w:val="auto"/>
        </w:rPr>
        <w:t>File No. 333-200240 Group Flexible Payment Variable Annuity (Flexible Bonus/Retirement Companion/Smart Choice)</w:t>
      </w:r>
    </w:p>
    <w:p>
      <w:pPr>
        <w:ind w:left="440"/>
        <w:spacing w:after="0" w:line="230" w:lineRule="auto"/>
        <w:rPr>
          <w:sz w:val="20"/>
          <w:szCs w:val="20"/>
          <w:color w:val="auto"/>
        </w:rPr>
      </w:pPr>
      <w:r>
        <w:rPr>
          <w:rFonts w:ascii="Arial" w:cs="Arial" w:eastAsia="Arial" w:hAnsi="Arial"/>
          <w:sz w:val="14"/>
          <w:szCs w:val="14"/>
          <w:color w:val="auto"/>
        </w:rPr>
        <w:t>File No. 333-200243 PrimElite III</w:t>
      </w:r>
    </w:p>
    <w:p>
      <w:pPr>
        <w:ind w:left="440"/>
        <w:spacing w:after="0" w:line="189" w:lineRule="auto"/>
        <w:rPr>
          <w:sz w:val="20"/>
          <w:szCs w:val="20"/>
          <w:color w:val="auto"/>
        </w:rPr>
      </w:pPr>
      <w:r>
        <w:rPr>
          <w:rFonts w:ascii="Arial" w:cs="Arial" w:eastAsia="Arial" w:hAnsi="Arial"/>
          <w:sz w:val="12"/>
          <w:szCs w:val="12"/>
          <w:color w:val="auto"/>
        </w:rPr>
        <w:t>File No. 333-200246 Brighthouse Simple Solutions</w:t>
      </w:r>
      <w:r>
        <w:rPr>
          <w:rFonts w:ascii="Arial" w:cs="Arial" w:eastAsia="Arial" w:hAnsi="Arial"/>
          <w:sz w:val="17"/>
          <w:szCs w:val="17"/>
          <w:color w:val="auto"/>
          <w:vertAlign w:val="superscript"/>
        </w:rPr>
        <w:t>SM</w:t>
      </w:r>
    </w:p>
    <w:p>
      <w:pPr>
        <w:ind w:left="440"/>
        <w:spacing w:after="0" w:line="230" w:lineRule="auto"/>
        <w:rPr>
          <w:sz w:val="20"/>
          <w:szCs w:val="20"/>
          <w:color w:val="auto"/>
        </w:rPr>
      </w:pPr>
      <w:r>
        <w:rPr>
          <w:rFonts w:ascii="Arial" w:cs="Arial" w:eastAsia="Arial" w:hAnsi="Arial"/>
          <w:sz w:val="14"/>
          <w:szCs w:val="14"/>
          <w:color w:val="auto"/>
        </w:rPr>
        <w:t>File No. 333-200250 Marquis Portfolios (offered between November 7, 2005 and April 30, 2012)</w:t>
      </w:r>
    </w:p>
    <w:p>
      <w:pPr>
        <w:ind w:left="440"/>
        <w:spacing w:after="0" w:line="230" w:lineRule="auto"/>
        <w:rPr>
          <w:sz w:val="20"/>
          <w:szCs w:val="20"/>
          <w:color w:val="auto"/>
        </w:rPr>
      </w:pPr>
      <w:r>
        <w:rPr>
          <w:rFonts w:ascii="Arial" w:cs="Arial" w:eastAsia="Arial" w:hAnsi="Arial"/>
          <w:sz w:val="14"/>
          <w:szCs w:val="14"/>
          <w:color w:val="auto"/>
        </w:rPr>
        <w:t>File No. 333-200253 Series XC</w:t>
      </w:r>
    </w:p>
    <w:p>
      <w:pPr>
        <w:ind w:left="440"/>
        <w:spacing w:after="0" w:line="230" w:lineRule="auto"/>
        <w:rPr>
          <w:sz w:val="20"/>
          <w:szCs w:val="20"/>
          <w:color w:val="auto"/>
        </w:rPr>
      </w:pPr>
      <w:r>
        <w:rPr>
          <w:rFonts w:ascii="Arial" w:cs="Arial" w:eastAsia="Arial" w:hAnsi="Arial"/>
          <w:sz w:val="14"/>
          <w:szCs w:val="14"/>
          <w:color w:val="auto"/>
        </w:rPr>
        <w:t>File No. 333-200256 Series VA (offered between March 22, 2001 and October 7, 2011)</w:t>
      </w:r>
    </w:p>
    <w:p>
      <w:pPr>
        <w:ind w:left="440"/>
        <w:spacing w:after="0" w:line="230" w:lineRule="auto"/>
        <w:rPr>
          <w:sz w:val="20"/>
          <w:szCs w:val="20"/>
          <w:color w:val="auto"/>
        </w:rPr>
      </w:pPr>
      <w:r>
        <w:rPr>
          <w:rFonts w:ascii="Arial" w:cs="Arial" w:eastAsia="Arial" w:hAnsi="Arial"/>
          <w:sz w:val="14"/>
          <w:szCs w:val="14"/>
          <w:color w:val="auto"/>
        </w:rPr>
        <w:t>File No. 333-200259 Series L and Series L - 4 Year (offered between November 22, 2004 and October 7, 2011)</w:t>
      </w:r>
    </w:p>
    <w:p>
      <w:pPr>
        <w:ind w:left="440"/>
        <w:spacing w:after="0" w:line="230" w:lineRule="auto"/>
        <w:rPr>
          <w:sz w:val="20"/>
          <w:szCs w:val="20"/>
          <w:color w:val="auto"/>
        </w:rPr>
      </w:pPr>
      <w:r>
        <w:rPr>
          <w:rFonts w:ascii="Arial" w:cs="Arial" w:eastAsia="Arial" w:hAnsi="Arial"/>
          <w:sz w:val="14"/>
          <w:szCs w:val="14"/>
          <w:color w:val="auto"/>
        </w:rPr>
        <w:t>File No. 333-200261 Series C (offered between September 4, 2001 and October 7, 2011)</w:t>
      </w:r>
    </w:p>
    <w:p>
      <w:pPr>
        <w:ind w:left="440"/>
        <w:spacing w:after="0" w:line="230" w:lineRule="auto"/>
        <w:rPr>
          <w:sz w:val="20"/>
          <w:szCs w:val="20"/>
          <w:color w:val="auto"/>
        </w:rPr>
      </w:pPr>
      <w:r>
        <w:rPr>
          <w:rFonts w:ascii="Arial" w:cs="Arial" w:eastAsia="Arial" w:hAnsi="Arial"/>
          <w:sz w:val="14"/>
          <w:szCs w:val="14"/>
          <w:color w:val="auto"/>
        </w:rPr>
        <w:t>File No. 333-200263 Series XTRA</w:t>
      </w:r>
    </w:p>
    <w:p>
      <w:pPr>
        <w:ind w:left="440"/>
        <w:spacing w:after="0" w:line="230" w:lineRule="auto"/>
        <w:rPr>
          <w:sz w:val="20"/>
          <w:szCs w:val="20"/>
          <w:color w:val="auto"/>
        </w:rPr>
      </w:pPr>
      <w:r>
        <w:rPr>
          <w:rFonts w:ascii="Arial" w:cs="Arial" w:eastAsia="Arial" w:hAnsi="Arial"/>
          <w:sz w:val="14"/>
          <w:szCs w:val="14"/>
          <w:color w:val="auto"/>
        </w:rPr>
        <w:t>File No. 333-200265 Series S and Series S-L Share Option (offered between April 30, 2007 and October 7, 2011)</w:t>
      </w:r>
    </w:p>
    <w:p>
      <w:pPr>
        <w:ind w:left="440"/>
        <w:spacing w:after="0" w:line="230" w:lineRule="auto"/>
        <w:rPr>
          <w:sz w:val="20"/>
          <w:szCs w:val="20"/>
          <w:color w:val="auto"/>
        </w:rPr>
      </w:pPr>
      <w:r>
        <w:rPr>
          <w:rFonts w:ascii="Arial" w:cs="Arial" w:eastAsia="Arial" w:hAnsi="Arial"/>
          <w:sz w:val="14"/>
          <w:szCs w:val="14"/>
          <w:color w:val="auto"/>
        </w:rPr>
        <w:t>File No. 333-200268 Series L - 4 Year (offered between October 7, 2011 and April 28, 2013)</w:t>
      </w:r>
    </w:p>
    <w:p>
      <w:pPr>
        <w:ind w:left="440"/>
        <w:spacing w:after="0" w:line="230" w:lineRule="auto"/>
        <w:rPr>
          <w:sz w:val="20"/>
          <w:szCs w:val="20"/>
          <w:color w:val="auto"/>
        </w:rPr>
      </w:pPr>
      <w:r>
        <w:rPr>
          <w:rFonts w:ascii="Arial" w:cs="Arial" w:eastAsia="Arial" w:hAnsi="Arial"/>
          <w:sz w:val="14"/>
          <w:szCs w:val="14"/>
          <w:color w:val="auto"/>
        </w:rPr>
        <w:t>File No. 333-200270 Group Annuity SF 101</w:t>
      </w:r>
    </w:p>
    <w:p>
      <w:pPr>
        <w:ind w:left="440"/>
        <w:spacing w:after="0" w:line="230" w:lineRule="auto"/>
        <w:rPr>
          <w:sz w:val="20"/>
          <w:szCs w:val="20"/>
          <w:color w:val="auto"/>
        </w:rPr>
      </w:pPr>
      <w:r>
        <w:rPr>
          <w:rFonts w:ascii="Arial" w:cs="Arial" w:eastAsia="Arial" w:hAnsi="Arial"/>
          <w:sz w:val="14"/>
          <w:szCs w:val="14"/>
          <w:color w:val="auto"/>
        </w:rPr>
        <w:t>File No. 333-200272 Ultimate Annuity FSL 224</w:t>
      </w:r>
    </w:p>
    <w:p>
      <w:pPr>
        <w:ind w:left="440"/>
        <w:spacing w:after="0" w:line="230" w:lineRule="auto"/>
        <w:rPr>
          <w:sz w:val="20"/>
          <w:szCs w:val="20"/>
          <w:color w:val="auto"/>
        </w:rPr>
      </w:pPr>
      <w:r>
        <w:rPr>
          <w:rFonts w:ascii="Arial" w:cs="Arial" w:eastAsia="Arial" w:hAnsi="Arial"/>
          <w:sz w:val="14"/>
          <w:szCs w:val="14"/>
          <w:color w:val="auto"/>
        </w:rPr>
        <w:t>File No. 333-200275 Foresight SF 137</w:t>
      </w:r>
    </w:p>
    <w:p>
      <w:pPr>
        <w:ind w:left="440"/>
        <w:spacing w:after="0" w:line="230" w:lineRule="auto"/>
        <w:rPr>
          <w:sz w:val="20"/>
          <w:szCs w:val="20"/>
          <w:color w:val="auto"/>
        </w:rPr>
      </w:pPr>
      <w:r>
        <w:rPr>
          <w:rFonts w:ascii="Arial" w:cs="Arial" w:eastAsia="Arial" w:hAnsi="Arial"/>
          <w:sz w:val="14"/>
          <w:szCs w:val="14"/>
          <w:color w:val="auto"/>
        </w:rPr>
        <w:t>File No. 333-200277 SecurAnnuity (CLICO) 224/ SF 1700</w:t>
      </w:r>
    </w:p>
    <w:p>
      <w:pPr>
        <w:ind w:left="440"/>
        <w:spacing w:after="0" w:line="230" w:lineRule="auto"/>
        <w:rPr>
          <w:sz w:val="20"/>
          <w:szCs w:val="20"/>
          <w:color w:val="auto"/>
        </w:rPr>
      </w:pPr>
      <w:r>
        <w:rPr>
          <w:rFonts w:ascii="Arial" w:cs="Arial" w:eastAsia="Arial" w:hAnsi="Arial"/>
          <w:sz w:val="14"/>
          <w:szCs w:val="14"/>
          <w:color w:val="auto"/>
        </w:rPr>
        <w:t>File No. 333-200278 Group VA SF 234 (Texas)</w:t>
      </w:r>
    </w:p>
    <w:p>
      <w:pPr>
        <w:ind w:left="440"/>
        <w:spacing w:after="0" w:line="230" w:lineRule="auto"/>
        <w:rPr>
          <w:sz w:val="20"/>
          <w:szCs w:val="20"/>
          <w:color w:val="auto"/>
        </w:rPr>
      </w:pPr>
      <w:r>
        <w:rPr>
          <w:rFonts w:ascii="Arial" w:cs="Arial" w:eastAsia="Arial" w:hAnsi="Arial"/>
          <w:sz w:val="14"/>
          <w:szCs w:val="14"/>
          <w:color w:val="auto"/>
        </w:rPr>
        <w:t>File No. 333-200280 Sunshine SF 236 FL</w:t>
      </w:r>
    </w:p>
    <w:p>
      <w:pPr>
        <w:ind w:left="440"/>
        <w:spacing w:after="0" w:line="230" w:lineRule="auto"/>
        <w:rPr>
          <w:sz w:val="20"/>
          <w:szCs w:val="20"/>
          <w:color w:val="auto"/>
        </w:rPr>
      </w:pPr>
      <w:r>
        <w:rPr>
          <w:rFonts w:ascii="Arial" w:cs="Arial" w:eastAsia="Arial" w:hAnsi="Arial"/>
          <w:sz w:val="14"/>
          <w:szCs w:val="14"/>
          <w:color w:val="auto"/>
        </w:rPr>
        <w:t>File No. 333-200281 Flexible Value SF 230</w:t>
      </w:r>
    </w:p>
    <w:p>
      <w:pPr>
        <w:ind w:left="440" w:right="3199"/>
        <w:spacing w:after="0"/>
        <w:rPr>
          <w:sz w:val="20"/>
          <w:szCs w:val="20"/>
          <w:color w:val="auto"/>
        </w:rPr>
      </w:pPr>
      <w:r>
        <w:rPr>
          <w:rFonts w:ascii="Arial" w:cs="Arial" w:eastAsia="Arial" w:hAnsi="Arial"/>
          <w:sz w:val="14"/>
          <w:szCs w:val="14"/>
          <w:color w:val="auto"/>
        </w:rPr>
        <w:t>File No. 333-200282 Investors Choice Annuity, Capital Strategist Annuity, Imprint Annuity and Strive Annuity File No. 333-200283 Protected Equity Portfolio (PEP)</w:t>
      </w:r>
    </w:p>
    <w:p>
      <w:pPr>
        <w:sectPr>
          <w:pgSz w:w="11900" w:h="16838" w:orient="portrait"/>
          <w:cols w:equalWidth="0" w:num="1">
            <w:col w:w="10159"/>
          </w:cols>
          <w:pgMar w:left="300" w:top="240" w:right="1440" w:bottom="1440" w:gutter="0" w:footer="0" w:header="0"/>
        </w:sectPr>
      </w:pPr>
    </w:p>
    <w:bookmarkStart w:id="124" w:name="page125"/>
    <w:bookmarkEnd w:id="124"/>
    <w:p>
      <w:pPr>
        <w:ind w:left="44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6">
                      <a:extLst>
                        <a:ext uri="{28A0092B-C50C-407E-A947-70E740481C1C}"/>
                      </a:extLst>
                    </a:blip>
                    <a:srcRect/>
                    <a:stretch>
                      <a:fillRect/>
                    </a:stretch>
                  </pic:blipFill>
                  <pic:spPr bwMode="auto">
                    <a:xfrm>
                      <a:off x="0" y="0"/>
                      <a:ext cx="7203440" cy="32385"/>
                    </a:xfrm>
                    <a:prstGeom prst="rect">
                      <a:avLst/>
                    </a:prstGeom>
                    <a:noFill/>
                  </pic:spPr>
                </pic:pic>
              </a:graphicData>
            </a:graphic>
          </wp:anchor>
        </w:drawing>
        <w:t>File No. 333-200284 Vintage L and Vintage XC</w:t>
      </w:r>
    </w:p>
    <w:p>
      <w:pPr>
        <w:ind w:left="440"/>
        <w:spacing w:after="0" w:line="237" w:lineRule="auto"/>
        <w:rPr>
          <w:sz w:val="20"/>
          <w:szCs w:val="20"/>
          <w:color w:val="auto"/>
        </w:rPr>
      </w:pPr>
      <w:r>
        <w:rPr>
          <w:rFonts w:ascii="Arial" w:cs="Arial" w:eastAsia="Arial" w:hAnsi="Arial"/>
          <w:sz w:val="14"/>
          <w:szCs w:val="14"/>
          <w:color w:val="auto"/>
        </w:rPr>
        <w:t>File No. 333-200285 Series XTRA 6</w:t>
      </w:r>
    </w:p>
    <w:p>
      <w:pPr>
        <w:ind w:left="440"/>
        <w:spacing w:after="0" w:line="230" w:lineRule="auto"/>
        <w:rPr>
          <w:sz w:val="20"/>
          <w:szCs w:val="20"/>
          <w:color w:val="auto"/>
        </w:rPr>
      </w:pPr>
      <w:r>
        <w:rPr>
          <w:rFonts w:ascii="Arial" w:cs="Arial" w:eastAsia="Arial" w:hAnsi="Arial"/>
          <w:sz w:val="14"/>
          <w:szCs w:val="14"/>
          <w:color w:val="auto"/>
        </w:rPr>
        <w:t>File No. 333-200286 Series VA - 4 (offered between May 1, 2011 and October 7, 2011)</w:t>
      </w:r>
    </w:p>
    <w:p>
      <w:pPr>
        <w:ind w:left="440"/>
        <w:spacing w:after="0" w:line="230" w:lineRule="auto"/>
        <w:rPr>
          <w:sz w:val="20"/>
          <w:szCs w:val="20"/>
          <w:color w:val="auto"/>
        </w:rPr>
      </w:pPr>
      <w:r>
        <w:rPr>
          <w:rFonts w:ascii="Arial" w:cs="Arial" w:eastAsia="Arial" w:hAnsi="Arial"/>
          <w:sz w:val="14"/>
          <w:szCs w:val="14"/>
          <w:color w:val="auto"/>
        </w:rPr>
        <w:t>File No. 333-200287 Series C (offered on and after October 7, 2011)</w:t>
      </w:r>
    </w:p>
    <w:p>
      <w:pPr>
        <w:ind w:left="440"/>
        <w:spacing w:after="0" w:line="230" w:lineRule="auto"/>
        <w:rPr>
          <w:sz w:val="20"/>
          <w:szCs w:val="20"/>
          <w:color w:val="auto"/>
        </w:rPr>
      </w:pPr>
      <w:r>
        <w:rPr>
          <w:rFonts w:ascii="Arial" w:cs="Arial" w:eastAsia="Arial" w:hAnsi="Arial"/>
          <w:sz w:val="14"/>
          <w:szCs w:val="14"/>
          <w:color w:val="auto"/>
        </w:rPr>
        <w:t>File No. 333-200288 Pioneer PRISM</w:t>
      </w:r>
    </w:p>
    <w:p>
      <w:pPr>
        <w:ind w:left="440"/>
        <w:spacing w:after="0" w:line="230" w:lineRule="auto"/>
        <w:rPr>
          <w:sz w:val="20"/>
          <w:szCs w:val="20"/>
          <w:color w:val="auto"/>
        </w:rPr>
      </w:pPr>
      <w:r>
        <w:rPr>
          <w:rFonts w:ascii="Arial" w:cs="Arial" w:eastAsia="Arial" w:hAnsi="Arial"/>
          <w:sz w:val="14"/>
          <w:szCs w:val="14"/>
          <w:color w:val="auto"/>
        </w:rPr>
        <w:t>File No. 333-200289 Pioneer PRISM L</w:t>
      </w:r>
    </w:p>
    <w:p>
      <w:pPr>
        <w:ind w:left="440"/>
        <w:spacing w:after="0" w:line="230" w:lineRule="auto"/>
        <w:rPr>
          <w:sz w:val="20"/>
          <w:szCs w:val="20"/>
          <w:color w:val="auto"/>
        </w:rPr>
      </w:pPr>
      <w:r>
        <w:rPr>
          <w:rFonts w:ascii="Arial" w:cs="Arial" w:eastAsia="Arial" w:hAnsi="Arial"/>
          <w:sz w:val="14"/>
          <w:szCs w:val="14"/>
          <w:color w:val="auto"/>
        </w:rPr>
        <w:t>File No. 333-200290 Pioneer PRISM XC</w:t>
      </w:r>
    </w:p>
    <w:p>
      <w:pPr>
        <w:spacing w:after="0" w:line="1" w:lineRule="exact"/>
        <w:rPr>
          <w:sz w:val="20"/>
          <w:szCs w:val="20"/>
          <w:color w:val="auto"/>
        </w:rPr>
      </w:pPr>
    </w:p>
    <w:p>
      <w:pPr>
        <w:ind w:left="580" w:right="2279" w:hanging="155"/>
        <w:spacing w:after="0" w:line="214" w:lineRule="auto"/>
        <w:rPr>
          <w:sz w:val="20"/>
          <w:szCs w:val="20"/>
          <w:color w:val="auto"/>
        </w:rPr>
      </w:pPr>
      <w:r>
        <w:rPr>
          <w:rFonts w:ascii="Arial" w:cs="Arial" w:eastAsia="Arial" w:hAnsi="Arial"/>
          <w:sz w:val="12"/>
          <w:szCs w:val="12"/>
          <w:color w:val="auto"/>
        </w:rPr>
        <w:t>File No. 333-200323 Brighthouse Investment Portfolio Architect</w:t>
      </w:r>
      <w:r>
        <w:rPr>
          <w:rFonts w:ascii="Arial" w:cs="Arial" w:eastAsia="Arial" w:hAnsi="Arial"/>
          <w:sz w:val="18"/>
          <w:szCs w:val="18"/>
          <w:color w:val="auto"/>
          <w:vertAlign w:val="superscript"/>
        </w:rPr>
        <w:t>SM</w:t>
      </w:r>
      <w:r>
        <w:rPr>
          <w:rFonts w:ascii="Arial" w:cs="Arial" w:eastAsia="Arial" w:hAnsi="Arial"/>
          <w:sz w:val="12"/>
          <w:szCs w:val="12"/>
          <w:color w:val="auto"/>
        </w:rPr>
        <w:t xml:space="preserve"> - Standard Version and Brighthouse Investment Portfolio Architect</w:t>
      </w:r>
      <w:r>
        <w:rPr>
          <w:rFonts w:ascii="Arial" w:cs="Arial" w:eastAsia="Arial" w:hAnsi="Arial"/>
          <w:sz w:val="18"/>
          <w:szCs w:val="18"/>
          <w:color w:val="auto"/>
          <w:vertAlign w:val="superscript"/>
        </w:rPr>
        <w:t>SM</w:t>
      </w:r>
      <w:r>
        <w:rPr>
          <w:rFonts w:ascii="Arial" w:cs="Arial" w:eastAsia="Arial" w:hAnsi="Arial"/>
          <w:sz w:val="12"/>
          <w:szCs w:val="12"/>
          <w:color w:val="auto"/>
        </w:rPr>
        <w:t xml:space="preserve"> - C Share Option</w:t>
      </w:r>
    </w:p>
    <w:p>
      <w:pPr>
        <w:ind w:left="440"/>
        <w:spacing w:after="0" w:line="231" w:lineRule="auto"/>
        <w:rPr>
          <w:sz w:val="20"/>
          <w:szCs w:val="20"/>
          <w:color w:val="auto"/>
        </w:rPr>
      </w:pPr>
      <w:r>
        <w:rPr>
          <w:rFonts w:ascii="Arial" w:cs="Arial" w:eastAsia="Arial" w:hAnsi="Arial"/>
          <w:sz w:val="14"/>
          <w:szCs w:val="14"/>
          <w:color w:val="auto"/>
        </w:rPr>
        <w:t>File No. 333-203748 Series O (offered on and after July 20, 2015)</w:t>
      </w:r>
    </w:p>
    <w:p>
      <w:pPr>
        <w:ind w:left="440"/>
        <w:spacing w:after="0" w:line="230" w:lineRule="auto"/>
        <w:rPr>
          <w:sz w:val="20"/>
          <w:szCs w:val="20"/>
          <w:color w:val="auto"/>
        </w:rPr>
      </w:pPr>
      <w:r>
        <w:rPr>
          <w:rFonts w:ascii="Arial" w:cs="Arial" w:eastAsia="Arial" w:hAnsi="Arial"/>
          <w:sz w:val="14"/>
          <w:szCs w:val="14"/>
          <w:color w:val="auto"/>
        </w:rPr>
        <w:t>File No. 333-209053 Series VA (offered on and after May 2, 2016)</w:t>
      </w:r>
    </w:p>
    <w:p>
      <w:pPr>
        <w:ind w:left="440"/>
        <w:spacing w:after="0" w:line="230" w:lineRule="auto"/>
        <w:rPr>
          <w:sz w:val="20"/>
          <w:szCs w:val="20"/>
          <w:color w:val="auto"/>
        </w:rPr>
      </w:pPr>
      <w:r>
        <w:rPr>
          <w:rFonts w:ascii="Arial" w:cs="Arial" w:eastAsia="Arial" w:hAnsi="Arial"/>
          <w:sz w:val="14"/>
          <w:szCs w:val="14"/>
          <w:color w:val="auto"/>
        </w:rPr>
        <w:t>File No. 333-209054 Series VA- 4 (offered on and after May 2, 2016)</w:t>
      </w:r>
    </w:p>
    <w:p>
      <w:pPr>
        <w:ind w:left="440"/>
        <w:spacing w:after="0"/>
        <w:rPr>
          <w:sz w:val="20"/>
          <w:szCs w:val="20"/>
          <w:color w:val="auto"/>
        </w:rPr>
      </w:pPr>
      <w:r>
        <w:rPr>
          <w:rFonts w:ascii="Arial" w:cs="Arial" w:eastAsia="Arial" w:hAnsi="Arial"/>
          <w:sz w:val="13"/>
          <w:szCs w:val="13"/>
          <w:color w:val="auto"/>
        </w:rPr>
        <w:t>File No. 333-209055 Series S (offered on and after May 2, 2016) and Series S-L Share Option (offered on and after May 2, 2016)</w:t>
      </w:r>
    </w:p>
    <w:p>
      <w:pPr>
        <w:spacing w:after="0" w:line="5" w:lineRule="exact"/>
        <w:rPr>
          <w:sz w:val="20"/>
          <w:szCs w:val="20"/>
          <w:color w:val="auto"/>
        </w:rPr>
      </w:pPr>
    </w:p>
    <w:p>
      <w:pPr>
        <w:ind w:left="440"/>
        <w:spacing w:after="0"/>
        <w:rPr>
          <w:sz w:val="20"/>
          <w:szCs w:val="20"/>
          <w:color w:val="auto"/>
        </w:rPr>
      </w:pPr>
      <w:r>
        <w:rPr>
          <w:rFonts w:ascii="Arial" w:cs="Arial" w:eastAsia="Arial" w:hAnsi="Arial"/>
          <w:sz w:val="14"/>
          <w:szCs w:val="14"/>
          <w:color w:val="auto"/>
        </w:rPr>
        <w:t>File No. 333-209411 Brighthouse Prime Options,</w:t>
      </w:r>
    </w:p>
    <w:p>
      <w:pPr>
        <w:spacing w:after="0" w:line="166" w:lineRule="exact"/>
        <w:rPr>
          <w:sz w:val="20"/>
          <w:szCs w:val="20"/>
          <w:color w:val="auto"/>
        </w:rPr>
      </w:pPr>
    </w:p>
    <w:p>
      <w:pPr>
        <w:spacing w:after="0"/>
        <w:tabs>
          <w:tab w:leader="none" w:pos="14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3"/>
          <w:szCs w:val="13"/>
          <w:color w:val="auto"/>
        </w:rPr>
        <w:t>Brighthouse Separate Account Eleven for Variable Annuities (811-21262)</w:t>
      </w:r>
    </w:p>
    <w:p>
      <w:pPr>
        <w:spacing w:after="0" w:line="5" w:lineRule="exact"/>
        <w:rPr>
          <w:sz w:val="20"/>
          <w:szCs w:val="20"/>
          <w:color w:val="auto"/>
        </w:rPr>
      </w:pPr>
    </w:p>
    <w:p>
      <w:pPr>
        <w:ind w:left="580" w:right="2059" w:hanging="155"/>
        <w:spacing w:after="0" w:line="229" w:lineRule="auto"/>
        <w:rPr>
          <w:sz w:val="20"/>
          <w:szCs w:val="20"/>
          <w:color w:val="auto"/>
        </w:rPr>
      </w:pPr>
      <w:r>
        <w:rPr>
          <w:rFonts w:ascii="Arial" w:cs="Arial" w:eastAsia="Arial" w:hAnsi="Arial"/>
          <w:sz w:val="14"/>
          <w:szCs w:val="14"/>
          <w:color w:val="auto"/>
        </w:rPr>
        <w:t>File Nos. 333-101778 and 333-152234 Pioneer AnnuiStar Plus Annuity, Portfolio Architect Plus Annuity and Scudder Advocate Rewards Annuity</w:t>
      </w:r>
    </w:p>
    <w:p>
      <w:pPr>
        <w:ind w:left="440"/>
        <w:spacing w:after="0" w:line="232" w:lineRule="auto"/>
        <w:rPr>
          <w:sz w:val="20"/>
          <w:szCs w:val="20"/>
          <w:color w:val="auto"/>
        </w:rPr>
      </w:pPr>
      <w:r>
        <w:rPr>
          <w:rFonts w:ascii="Arial" w:cs="Arial" w:eastAsia="Arial" w:hAnsi="Arial"/>
          <w:sz w:val="14"/>
          <w:szCs w:val="14"/>
          <w:color w:val="auto"/>
        </w:rPr>
        <w:t>File No. 333-152189 Universal Annuity</w:t>
      </w:r>
    </w:p>
    <w:p>
      <w:pPr>
        <w:ind w:left="440"/>
        <w:spacing w:after="0" w:line="230" w:lineRule="auto"/>
        <w:rPr>
          <w:sz w:val="20"/>
          <w:szCs w:val="20"/>
          <w:color w:val="auto"/>
        </w:rPr>
      </w:pPr>
      <w:r>
        <w:rPr>
          <w:rFonts w:ascii="Arial" w:cs="Arial" w:eastAsia="Arial" w:hAnsi="Arial"/>
          <w:sz w:val="14"/>
          <w:szCs w:val="14"/>
          <w:color w:val="auto"/>
        </w:rPr>
        <w:t>File No. 333-152190 Universal Select Annuity</w:t>
      </w:r>
    </w:p>
    <w:p>
      <w:pPr>
        <w:ind w:left="440"/>
        <w:spacing w:after="0" w:line="230" w:lineRule="auto"/>
        <w:rPr>
          <w:sz w:val="20"/>
          <w:szCs w:val="20"/>
          <w:color w:val="auto"/>
        </w:rPr>
      </w:pPr>
      <w:r>
        <w:rPr>
          <w:rFonts w:ascii="Arial" w:cs="Arial" w:eastAsia="Arial" w:hAnsi="Arial"/>
          <w:sz w:val="14"/>
          <w:szCs w:val="14"/>
          <w:color w:val="auto"/>
        </w:rPr>
        <w:t>File No. 333-152191 Universal Annuity Advantage</w:t>
      </w:r>
    </w:p>
    <w:p>
      <w:pPr>
        <w:ind w:left="440"/>
        <w:spacing w:after="0" w:line="230" w:lineRule="auto"/>
        <w:rPr>
          <w:sz w:val="20"/>
          <w:szCs w:val="20"/>
          <w:color w:val="auto"/>
        </w:rPr>
      </w:pPr>
      <w:r>
        <w:rPr>
          <w:rFonts w:ascii="Arial" w:cs="Arial" w:eastAsia="Arial" w:hAnsi="Arial"/>
          <w:sz w:val="14"/>
          <w:szCs w:val="14"/>
          <w:color w:val="auto"/>
        </w:rPr>
        <w:t>File Nos. 333-152192 and 333-152193 Brighthouse Retirement Account</w:t>
      </w:r>
    </w:p>
    <w:p>
      <w:pPr>
        <w:ind w:left="440"/>
        <w:spacing w:after="0" w:line="230" w:lineRule="auto"/>
        <w:rPr>
          <w:sz w:val="20"/>
          <w:szCs w:val="20"/>
          <w:color w:val="auto"/>
        </w:rPr>
      </w:pPr>
      <w:r>
        <w:rPr>
          <w:rFonts w:ascii="Arial" w:cs="Arial" w:eastAsia="Arial" w:hAnsi="Arial"/>
          <w:sz w:val="14"/>
          <w:szCs w:val="14"/>
          <w:color w:val="auto"/>
        </w:rPr>
        <w:t>File No. 333-152194 Gold Track and Gold Track Select</w:t>
      </w:r>
    </w:p>
    <w:p>
      <w:pPr>
        <w:ind w:left="440" w:right="3219"/>
        <w:spacing w:after="0" w:line="229" w:lineRule="auto"/>
        <w:rPr>
          <w:sz w:val="20"/>
          <w:szCs w:val="20"/>
          <w:color w:val="auto"/>
        </w:rPr>
      </w:pPr>
      <w:r>
        <w:rPr>
          <w:rFonts w:ascii="Arial" w:cs="Arial" w:eastAsia="Arial" w:hAnsi="Arial"/>
          <w:sz w:val="14"/>
          <w:szCs w:val="14"/>
          <w:color w:val="auto"/>
        </w:rPr>
        <w:t>File Nos. 333-152197 and 333-152198 Brighthouse Access Annuity and Brighthouse Access Select Annuity File Nos. 333-152199 and 333-152200 Vintage Annuity File Nos. 333-152201 and 333-152202 Index Annuity</w:t>
      </w:r>
    </w:p>
    <w:p>
      <w:pPr>
        <w:spacing w:after="0" w:line="2" w:lineRule="exact"/>
        <w:rPr>
          <w:sz w:val="20"/>
          <w:szCs w:val="20"/>
          <w:color w:val="auto"/>
        </w:rPr>
      </w:pPr>
    </w:p>
    <w:p>
      <w:pPr>
        <w:ind w:left="580" w:right="2119" w:hanging="155"/>
        <w:spacing w:after="0" w:line="230" w:lineRule="auto"/>
        <w:rPr>
          <w:sz w:val="20"/>
          <w:szCs w:val="20"/>
          <w:color w:val="auto"/>
        </w:rPr>
      </w:pPr>
      <w:r>
        <w:rPr>
          <w:rFonts w:ascii="Arial" w:cs="Arial" w:eastAsia="Arial" w:hAnsi="Arial"/>
          <w:sz w:val="14"/>
          <w:szCs w:val="14"/>
          <w:color w:val="auto"/>
        </w:rPr>
        <w:t>File Nos. 333-152232 and 333-152233 Portfolio Architect Annuity, Portfolio Architect Select Annuity, Premier Advisers Annuity (Class I) and Premier Advisers Annuity (Class II)</w:t>
      </w:r>
    </w:p>
    <w:p>
      <w:pPr>
        <w:ind w:left="580" w:right="2199" w:hanging="155"/>
        <w:spacing w:after="0" w:line="230" w:lineRule="auto"/>
        <w:rPr>
          <w:sz w:val="20"/>
          <w:szCs w:val="20"/>
          <w:color w:val="auto"/>
        </w:rPr>
      </w:pPr>
      <w:r>
        <w:rPr>
          <w:rFonts w:ascii="Arial" w:cs="Arial" w:eastAsia="Arial" w:hAnsi="Arial"/>
          <w:sz w:val="14"/>
          <w:szCs w:val="14"/>
          <w:color w:val="auto"/>
        </w:rPr>
        <w:t>File Nos. 333-152235 and 333-152236 Pioneer AnnuiStar Annuity, Portfolio Architect II Annuity and Pioneer AnnuiStar Value Annuity</w:t>
      </w:r>
    </w:p>
    <w:p>
      <w:pPr>
        <w:ind w:left="580" w:right="1839" w:hanging="155"/>
        <w:spacing w:after="0" w:line="229" w:lineRule="auto"/>
        <w:rPr>
          <w:sz w:val="20"/>
          <w:szCs w:val="20"/>
          <w:color w:val="auto"/>
        </w:rPr>
      </w:pPr>
      <w:r>
        <w:rPr>
          <w:rFonts w:ascii="Arial" w:cs="Arial" w:eastAsia="Arial" w:hAnsi="Arial"/>
          <w:sz w:val="14"/>
          <w:szCs w:val="14"/>
          <w:color w:val="auto"/>
        </w:rPr>
        <w:t>File Nos. 333-152237 and 333-152238 Premier Advisers II Annuity, Premier Advisers III (Series I) and Premier Advisers III Annuity (Series II)</w:t>
      </w:r>
    </w:p>
    <w:p>
      <w:pPr>
        <w:spacing w:after="0" w:line="1" w:lineRule="exact"/>
        <w:rPr>
          <w:sz w:val="20"/>
          <w:szCs w:val="20"/>
          <w:color w:val="auto"/>
        </w:rPr>
      </w:pPr>
    </w:p>
    <w:p>
      <w:pPr>
        <w:ind w:left="580" w:right="1779" w:hanging="155"/>
        <w:spacing w:after="0" w:line="230" w:lineRule="auto"/>
        <w:rPr>
          <w:sz w:val="20"/>
          <w:szCs w:val="20"/>
          <w:color w:val="auto"/>
        </w:rPr>
      </w:pPr>
      <w:r>
        <w:rPr>
          <w:rFonts w:ascii="Arial" w:cs="Arial" w:eastAsia="Arial" w:hAnsi="Arial"/>
          <w:sz w:val="14"/>
          <w:szCs w:val="14"/>
          <w:color w:val="auto"/>
        </w:rPr>
        <w:t>File Nos. 333-152239 and 333-152240 Premier Advisers AssetManager Annuity, Premier Advisers L Annuity (Series I) and Premier Advisers L Annuity (Series II)</w:t>
      </w:r>
    </w:p>
    <w:p>
      <w:pPr>
        <w:ind w:left="580" w:right="1799" w:hanging="155"/>
        <w:spacing w:after="0" w:line="230" w:lineRule="auto"/>
        <w:rPr>
          <w:sz w:val="20"/>
          <w:szCs w:val="20"/>
          <w:color w:val="auto"/>
        </w:rPr>
      </w:pPr>
      <w:r>
        <w:rPr>
          <w:rFonts w:ascii="Arial" w:cs="Arial" w:eastAsia="Arial" w:hAnsi="Arial"/>
          <w:sz w:val="14"/>
          <w:szCs w:val="14"/>
          <w:color w:val="auto"/>
        </w:rPr>
        <w:t>File Nos. 333-152255 and 333-152265 Vintage XTRA Annuity, Portfolio Architect XTRA Annuity and Vintage XTRA Annuity (Series II)</w:t>
      </w:r>
    </w:p>
    <w:p>
      <w:pPr>
        <w:ind w:left="580" w:right="2119" w:hanging="155"/>
        <w:spacing w:after="0" w:line="229" w:lineRule="auto"/>
        <w:rPr>
          <w:sz w:val="20"/>
          <w:szCs w:val="20"/>
          <w:color w:val="auto"/>
        </w:rPr>
      </w:pPr>
      <w:r>
        <w:rPr>
          <w:rFonts w:ascii="Arial" w:cs="Arial" w:eastAsia="Arial" w:hAnsi="Arial"/>
          <w:sz w:val="14"/>
          <w:szCs w:val="14"/>
          <w:color w:val="auto"/>
        </w:rPr>
        <w:t>File Nos. 333-152256 and 333-152292 Vintage 3 Annuity, Portfolio Architect 3 Annuity, Portfolio Architect L Annuity, Vintage L Annuity and Pioneer AnnuiStar Flex Annuity</w:t>
      </w:r>
    </w:p>
    <w:p>
      <w:pPr>
        <w:ind w:left="440"/>
        <w:spacing w:after="0" w:line="232" w:lineRule="auto"/>
        <w:rPr>
          <w:sz w:val="20"/>
          <w:szCs w:val="20"/>
          <w:color w:val="auto"/>
        </w:rPr>
      </w:pPr>
      <w:r>
        <w:rPr>
          <w:rFonts w:ascii="Arial" w:cs="Arial" w:eastAsia="Arial" w:hAnsi="Arial"/>
          <w:sz w:val="14"/>
          <w:szCs w:val="14"/>
          <w:color w:val="auto"/>
        </w:rPr>
        <w:t>File Nos. 333-152258 and 333-152261 PrimElite Annuity</w:t>
      </w:r>
    </w:p>
    <w:p>
      <w:pPr>
        <w:ind w:left="440"/>
        <w:spacing w:after="0" w:line="230" w:lineRule="auto"/>
        <w:rPr>
          <w:sz w:val="20"/>
          <w:szCs w:val="20"/>
          <w:color w:val="auto"/>
        </w:rPr>
      </w:pPr>
      <w:r>
        <w:rPr>
          <w:rFonts w:ascii="Arial" w:cs="Arial" w:eastAsia="Arial" w:hAnsi="Arial"/>
          <w:sz w:val="14"/>
          <w:szCs w:val="14"/>
          <w:color w:val="auto"/>
        </w:rPr>
        <w:t>File Nos. 333-152259 and 333-152262 PrimElite II Annuity</w:t>
      </w:r>
    </w:p>
    <w:p>
      <w:pPr>
        <w:ind w:left="440"/>
        <w:spacing w:after="0" w:line="230" w:lineRule="auto"/>
        <w:rPr>
          <w:sz w:val="20"/>
          <w:szCs w:val="20"/>
          <w:color w:val="auto"/>
        </w:rPr>
      </w:pPr>
      <w:r>
        <w:rPr>
          <w:rFonts w:ascii="Arial" w:cs="Arial" w:eastAsia="Arial" w:hAnsi="Arial"/>
          <w:sz w:val="14"/>
          <w:szCs w:val="14"/>
          <w:color w:val="auto"/>
        </w:rPr>
        <w:t>File Nos. 333-152260 and 333-152266 Protected Equity Portfolio Annuity</w:t>
      </w:r>
    </w:p>
    <w:p>
      <w:pPr>
        <w:ind w:left="440"/>
        <w:spacing w:after="0" w:line="230" w:lineRule="auto"/>
        <w:rPr>
          <w:sz w:val="20"/>
          <w:szCs w:val="20"/>
          <w:color w:val="auto"/>
        </w:rPr>
      </w:pPr>
      <w:r>
        <w:rPr>
          <w:rFonts w:ascii="Arial" w:cs="Arial" w:eastAsia="Arial" w:hAnsi="Arial"/>
          <w:sz w:val="14"/>
          <w:szCs w:val="14"/>
          <w:color w:val="auto"/>
        </w:rPr>
        <w:t>File Nos. 333-152263 and 333-152269 Marquis Portfolios</w:t>
      </w:r>
    </w:p>
    <w:p>
      <w:pPr>
        <w:ind w:left="580" w:right="2259" w:hanging="155"/>
        <w:spacing w:after="0" w:line="230" w:lineRule="auto"/>
        <w:rPr>
          <w:sz w:val="20"/>
          <w:szCs w:val="20"/>
          <w:color w:val="auto"/>
        </w:rPr>
      </w:pPr>
      <w:r>
        <w:rPr>
          <w:rFonts w:ascii="Arial" w:cs="Arial" w:eastAsia="Arial" w:hAnsi="Arial"/>
          <w:sz w:val="14"/>
          <w:szCs w:val="14"/>
          <w:color w:val="auto"/>
        </w:rPr>
        <w:t>File Nos. 333-152264 and 333-152270 Vintage Access, Portfolio Architect Access, Scudder Advocate Advisor and Scudder Advocate Advisor - ST1 Annuity</w:t>
      </w:r>
    </w:p>
    <w:p>
      <w:pPr>
        <w:ind w:left="440"/>
        <w:spacing w:after="0" w:line="230" w:lineRule="auto"/>
        <w:rPr>
          <w:sz w:val="20"/>
          <w:szCs w:val="20"/>
          <w:color w:val="auto"/>
        </w:rPr>
      </w:pPr>
      <w:r>
        <w:rPr>
          <w:rFonts w:ascii="Arial" w:cs="Arial" w:eastAsia="Arial" w:hAnsi="Arial"/>
          <w:sz w:val="14"/>
          <w:szCs w:val="14"/>
          <w:color w:val="auto"/>
        </w:rPr>
        <w:t>File Nos. 333-152267 and 333-152268 Vintage II Annuity and Vintage II Annuity (Series II)</w:t>
      </w:r>
    </w:p>
    <w:p>
      <w:pPr>
        <w:ind w:left="440"/>
        <w:spacing w:after="0" w:line="230" w:lineRule="auto"/>
        <w:rPr>
          <w:sz w:val="20"/>
          <w:szCs w:val="20"/>
          <w:color w:val="auto"/>
        </w:rPr>
      </w:pPr>
      <w:r>
        <w:rPr>
          <w:rFonts w:ascii="Arial" w:cs="Arial" w:eastAsia="Arial" w:hAnsi="Arial"/>
          <w:sz w:val="14"/>
          <w:szCs w:val="14"/>
          <w:color w:val="auto"/>
        </w:rPr>
        <w:t>File No. 333-197658 Brighthouse Accumulation Annuity</w:t>
      </w:r>
    </w:p>
    <w:p>
      <w:pPr>
        <w:ind w:left="440"/>
        <w:spacing w:after="0"/>
        <w:rPr>
          <w:sz w:val="20"/>
          <w:szCs w:val="20"/>
          <w:color w:val="auto"/>
        </w:rPr>
      </w:pPr>
      <w:r>
        <w:rPr>
          <w:rFonts w:ascii="Arial" w:cs="Arial" w:eastAsia="Arial" w:hAnsi="Arial"/>
          <w:sz w:val="14"/>
          <w:szCs w:val="14"/>
          <w:color w:val="auto"/>
        </w:rPr>
        <w:t>File No. 333-208464 Brighthouse Premier Variable Annuity</w:t>
      </w:r>
      <w:r>
        <w:rPr>
          <w:rFonts w:ascii="Arial" w:cs="Arial" w:eastAsia="Arial" w:hAnsi="Arial"/>
          <w:sz w:val="20"/>
          <w:szCs w:val="20"/>
          <w:color w:val="auto"/>
          <w:vertAlign w:val="superscript"/>
        </w:rPr>
        <w:t>SM</w:t>
      </w:r>
      <w:r>
        <w:rPr>
          <w:rFonts w:ascii="Arial" w:cs="Arial" w:eastAsia="Arial" w:hAnsi="Arial"/>
          <w:sz w:val="14"/>
          <w:szCs w:val="14"/>
          <w:color w:val="auto"/>
        </w:rPr>
        <w:t>,</w:t>
      </w:r>
    </w:p>
    <w:p>
      <w:pPr>
        <w:spacing w:after="0" w:line="97" w:lineRule="exact"/>
        <w:rPr>
          <w:sz w:val="20"/>
          <w:szCs w:val="20"/>
          <w:color w:val="auto"/>
        </w:rPr>
      </w:pPr>
    </w:p>
    <w:p>
      <w:pPr>
        <w:ind w:left="440" w:right="6159" w:hanging="438"/>
        <w:spacing w:after="0" w:line="272" w:lineRule="auto"/>
        <w:tabs>
          <w:tab w:leader="none" w:pos="173" w:val="left"/>
        </w:tabs>
        <w:numPr>
          <w:ilvl w:val="0"/>
          <w:numId w:val="130"/>
        </w:numPr>
        <w:rPr>
          <w:rFonts w:ascii="Arial" w:cs="Arial" w:eastAsia="Arial" w:hAnsi="Arial"/>
          <w:sz w:val="13"/>
          <w:szCs w:val="13"/>
          <w:color w:val="auto"/>
        </w:rPr>
      </w:pPr>
      <w:r>
        <w:rPr>
          <w:rFonts w:ascii="Arial" w:cs="Arial" w:eastAsia="Arial" w:hAnsi="Arial"/>
          <w:sz w:val="13"/>
          <w:szCs w:val="13"/>
          <w:color w:val="auto"/>
        </w:rPr>
        <w:t>Brighthouse Separate Account QPN for Variable Annuities File No. 333-156867 Unallocated Group Variable Annuity File No. 333-156911 Brighthouse Retirement Perspectives,</w:t>
      </w:r>
    </w:p>
    <w:p>
      <w:pPr>
        <w:spacing w:after="0" w:line="139" w:lineRule="exact"/>
        <w:rPr>
          <w:rFonts w:ascii="Arial" w:cs="Arial" w:eastAsia="Arial" w:hAnsi="Arial"/>
          <w:sz w:val="13"/>
          <w:szCs w:val="13"/>
          <w:color w:val="auto"/>
        </w:rPr>
      </w:pPr>
    </w:p>
    <w:p>
      <w:pPr>
        <w:ind w:left="160" w:hanging="158"/>
        <w:spacing w:after="0"/>
        <w:tabs>
          <w:tab w:leader="none" w:pos="160" w:val="left"/>
        </w:tabs>
        <w:numPr>
          <w:ilvl w:val="0"/>
          <w:numId w:val="130"/>
        </w:numPr>
        <w:rPr>
          <w:rFonts w:ascii="Arial" w:cs="Arial" w:eastAsia="Arial" w:hAnsi="Arial"/>
          <w:sz w:val="14"/>
          <w:szCs w:val="14"/>
          <w:color w:val="auto"/>
        </w:rPr>
      </w:pPr>
      <w:r>
        <w:rPr>
          <w:rFonts w:ascii="Arial" w:cs="Arial" w:eastAsia="Arial" w:hAnsi="Arial"/>
          <w:sz w:val="14"/>
          <w:szCs w:val="14"/>
          <w:color w:val="auto"/>
        </w:rPr>
        <w:t>Brighthouse Variable Annuity Account C (811-05200)</w:t>
      </w:r>
    </w:p>
    <w:p>
      <w:pPr>
        <w:ind w:left="440"/>
        <w:spacing w:after="0" w:line="237" w:lineRule="auto"/>
        <w:rPr>
          <w:sz w:val="20"/>
          <w:szCs w:val="20"/>
          <w:color w:val="auto"/>
        </w:rPr>
      </w:pPr>
      <w:r>
        <w:rPr>
          <w:rFonts w:ascii="Arial" w:cs="Arial" w:eastAsia="Arial" w:hAnsi="Arial"/>
          <w:sz w:val="14"/>
          <w:szCs w:val="14"/>
          <w:color w:val="auto"/>
        </w:rPr>
        <w:t>File No. 333-200244 Class XC</w:t>
      </w:r>
    </w:p>
    <w:p>
      <w:pPr>
        <w:ind w:left="440"/>
        <w:spacing w:after="0" w:line="230" w:lineRule="auto"/>
        <w:rPr>
          <w:sz w:val="20"/>
          <w:szCs w:val="20"/>
          <w:color w:val="auto"/>
        </w:rPr>
      </w:pPr>
      <w:r>
        <w:rPr>
          <w:rFonts w:ascii="Arial" w:cs="Arial" w:eastAsia="Arial" w:hAnsi="Arial"/>
          <w:sz w:val="14"/>
          <w:szCs w:val="14"/>
          <w:color w:val="auto"/>
        </w:rPr>
        <w:t>File No. 333-200247 Class VA, Class AA and Class B</w:t>
      </w:r>
    </w:p>
    <w:p>
      <w:pPr>
        <w:ind w:left="440"/>
        <w:spacing w:after="0" w:line="230" w:lineRule="auto"/>
        <w:rPr>
          <w:sz w:val="20"/>
          <w:szCs w:val="20"/>
          <w:color w:val="auto"/>
        </w:rPr>
      </w:pPr>
      <w:r>
        <w:rPr>
          <w:rFonts w:ascii="Arial" w:cs="Arial" w:eastAsia="Arial" w:hAnsi="Arial"/>
          <w:sz w:val="14"/>
          <w:szCs w:val="14"/>
          <w:color w:val="auto"/>
        </w:rPr>
        <w:t>File No. 333-200249 Class L and Class L - 4 Year</w:t>
      </w:r>
    </w:p>
    <w:p>
      <w:pPr>
        <w:ind w:left="440"/>
        <w:spacing w:after="0" w:line="230" w:lineRule="auto"/>
        <w:rPr>
          <w:sz w:val="20"/>
          <w:szCs w:val="20"/>
          <w:color w:val="auto"/>
        </w:rPr>
      </w:pPr>
      <w:r>
        <w:rPr>
          <w:rFonts w:ascii="Arial" w:cs="Arial" w:eastAsia="Arial" w:hAnsi="Arial"/>
          <w:sz w:val="14"/>
          <w:szCs w:val="14"/>
          <w:color w:val="auto"/>
        </w:rPr>
        <w:t>File No. 333-200252 Class A</w:t>
      </w:r>
    </w:p>
    <w:p>
      <w:pPr>
        <w:ind w:left="440"/>
        <w:spacing w:after="0" w:line="230" w:lineRule="auto"/>
        <w:rPr>
          <w:sz w:val="20"/>
          <w:szCs w:val="20"/>
          <w:color w:val="auto"/>
        </w:rPr>
      </w:pPr>
      <w:r>
        <w:rPr>
          <w:rFonts w:ascii="Arial" w:cs="Arial" w:eastAsia="Arial" w:hAnsi="Arial"/>
          <w:sz w:val="14"/>
          <w:szCs w:val="14"/>
          <w:color w:val="auto"/>
        </w:rPr>
        <w:t>File No. 333-200255 COVA VA, Firstar Summit VA, Premier Advisor VA, Destiny Select VA and Prevail VA</w:t>
      </w:r>
    </w:p>
    <w:p>
      <w:pPr>
        <w:ind w:left="440"/>
        <w:spacing w:after="0" w:line="230" w:lineRule="auto"/>
        <w:rPr>
          <w:sz w:val="20"/>
          <w:szCs w:val="20"/>
          <w:color w:val="auto"/>
        </w:rPr>
      </w:pPr>
      <w:r>
        <w:rPr>
          <w:rFonts w:ascii="Arial" w:cs="Arial" w:eastAsia="Arial" w:hAnsi="Arial"/>
          <w:sz w:val="14"/>
          <w:szCs w:val="14"/>
          <w:color w:val="auto"/>
        </w:rPr>
        <w:t>File No. 333-200258 COVA VA SPDA</w:t>
      </w:r>
    </w:p>
    <w:p>
      <w:pPr>
        <w:ind w:left="440"/>
        <w:spacing w:after="0" w:line="230" w:lineRule="auto"/>
        <w:rPr>
          <w:sz w:val="20"/>
          <w:szCs w:val="20"/>
          <w:color w:val="auto"/>
        </w:rPr>
      </w:pPr>
      <w:r>
        <w:rPr>
          <w:rFonts w:ascii="Arial" w:cs="Arial" w:eastAsia="Arial" w:hAnsi="Arial"/>
          <w:sz w:val="14"/>
          <w:szCs w:val="14"/>
          <w:color w:val="auto"/>
        </w:rPr>
        <w:t>File No. 333-200260 COVA Series A</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4"/>
          <w:szCs w:val="14"/>
          <w:color w:val="auto"/>
        </w:rPr>
        <w:t>File No. 333-200262 Navigator-Select/Custom-Select/Russell-Select</w:t>
      </w:r>
    </w:p>
    <w:p>
      <w:pPr>
        <w:sectPr>
          <w:pgSz w:w="11900" w:h="16838" w:orient="portrait"/>
          <w:cols w:equalWidth="0" w:num="1">
            <w:col w:w="10159"/>
          </w:cols>
          <w:pgMar w:left="300" w:top="240" w:right="1440" w:bottom="1440" w:gutter="0" w:footer="0" w:header="0"/>
        </w:sectPr>
      </w:pPr>
    </w:p>
    <w:bookmarkStart w:id="125" w:name="page126"/>
    <w:bookmarkEnd w:id="125"/>
    <w:p>
      <w:pPr>
        <w:ind w:left="44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7">
                      <a:extLst>
                        <a:ext uri="{28A0092B-C50C-407E-A947-70E740481C1C}"/>
                      </a:extLst>
                    </a:blip>
                    <a:srcRect/>
                    <a:stretch>
                      <a:fillRect/>
                    </a:stretch>
                  </pic:blipFill>
                  <pic:spPr bwMode="auto">
                    <a:xfrm>
                      <a:off x="0" y="0"/>
                      <a:ext cx="7203440" cy="32385"/>
                    </a:xfrm>
                    <a:prstGeom prst="rect">
                      <a:avLst/>
                    </a:prstGeom>
                    <a:noFill/>
                  </pic:spPr>
                </pic:pic>
              </a:graphicData>
            </a:graphic>
          </wp:anchor>
        </w:drawing>
        <w:t>File No. 333-200264 Navigator-Select/Custom-Select/Russell-Select (CA)</w:t>
      </w:r>
    </w:p>
    <w:p>
      <w:pPr>
        <w:ind w:left="440"/>
        <w:spacing w:after="0" w:line="237" w:lineRule="auto"/>
        <w:rPr>
          <w:sz w:val="20"/>
          <w:szCs w:val="20"/>
          <w:color w:val="auto"/>
        </w:rPr>
      </w:pPr>
      <w:r>
        <w:rPr>
          <w:rFonts w:ascii="Arial" w:cs="Arial" w:eastAsia="Arial" w:hAnsi="Arial"/>
          <w:sz w:val="14"/>
          <w:szCs w:val="14"/>
          <w:color w:val="auto"/>
        </w:rPr>
        <w:t>File No. 333-200266 COVA VA and Premier Advisor (CA)</w:t>
      </w:r>
    </w:p>
    <w:p>
      <w:pPr>
        <w:ind w:left="440"/>
        <w:spacing w:after="0" w:line="230" w:lineRule="auto"/>
        <w:rPr>
          <w:sz w:val="20"/>
          <w:szCs w:val="20"/>
          <w:color w:val="auto"/>
        </w:rPr>
      </w:pPr>
      <w:r>
        <w:rPr>
          <w:rFonts w:ascii="Arial" w:cs="Arial" w:eastAsia="Arial" w:hAnsi="Arial"/>
          <w:sz w:val="14"/>
          <w:szCs w:val="14"/>
          <w:color w:val="auto"/>
        </w:rPr>
        <w:t>File No. 333-200267 COVA Series A (CA)</w:t>
      </w:r>
    </w:p>
    <w:p>
      <w:pPr>
        <w:ind w:left="440"/>
        <w:spacing w:after="0" w:line="230" w:lineRule="auto"/>
        <w:rPr>
          <w:sz w:val="20"/>
          <w:szCs w:val="20"/>
          <w:color w:val="auto"/>
        </w:rPr>
      </w:pPr>
      <w:r>
        <w:rPr>
          <w:rFonts w:ascii="Arial" w:cs="Arial" w:eastAsia="Arial" w:hAnsi="Arial"/>
          <w:sz w:val="14"/>
          <w:szCs w:val="14"/>
          <w:color w:val="auto"/>
        </w:rPr>
        <w:t>File No. 333-200269 Class C</w:t>
      </w:r>
    </w:p>
    <w:p>
      <w:pPr>
        <w:ind w:left="440"/>
        <w:spacing w:after="0" w:line="230" w:lineRule="auto"/>
        <w:rPr>
          <w:sz w:val="20"/>
          <w:szCs w:val="20"/>
          <w:color w:val="auto"/>
        </w:rPr>
      </w:pPr>
      <w:r>
        <w:rPr>
          <w:rFonts w:ascii="Arial" w:cs="Arial" w:eastAsia="Arial" w:hAnsi="Arial"/>
          <w:sz w:val="14"/>
          <w:szCs w:val="14"/>
          <w:color w:val="auto"/>
        </w:rPr>
        <w:t>File No. 333-200271 Class VA (CA), Class AA (CA), and Class B (CA)</w:t>
      </w:r>
    </w:p>
    <w:p>
      <w:pPr>
        <w:ind w:left="440"/>
        <w:spacing w:after="0" w:line="230" w:lineRule="auto"/>
        <w:rPr>
          <w:sz w:val="20"/>
          <w:szCs w:val="20"/>
          <w:color w:val="auto"/>
        </w:rPr>
      </w:pPr>
      <w:r>
        <w:rPr>
          <w:rFonts w:ascii="Arial" w:cs="Arial" w:eastAsia="Arial" w:hAnsi="Arial"/>
          <w:sz w:val="14"/>
          <w:szCs w:val="14"/>
          <w:color w:val="auto"/>
        </w:rPr>
        <w:t>File No. 333-200273 Class XC (CA)</w:t>
      </w:r>
    </w:p>
    <w:p>
      <w:pPr>
        <w:ind w:left="440"/>
        <w:spacing w:after="0" w:line="230" w:lineRule="auto"/>
        <w:rPr>
          <w:sz w:val="20"/>
          <w:szCs w:val="20"/>
          <w:color w:val="auto"/>
        </w:rPr>
      </w:pPr>
      <w:r>
        <w:rPr>
          <w:rFonts w:ascii="Arial" w:cs="Arial" w:eastAsia="Arial" w:hAnsi="Arial"/>
          <w:sz w:val="14"/>
          <w:szCs w:val="14"/>
          <w:color w:val="auto"/>
        </w:rPr>
        <w:t>File No. 333-200274 Class L (CA) and Class L - 4 Year (CA)</w:t>
      </w:r>
    </w:p>
    <w:p>
      <w:pPr>
        <w:ind w:left="440"/>
        <w:spacing w:after="0" w:line="230" w:lineRule="auto"/>
        <w:rPr>
          <w:sz w:val="20"/>
          <w:szCs w:val="20"/>
          <w:color w:val="auto"/>
        </w:rPr>
      </w:pPr>
      <w:r>
        <w:rPr>
          <w:rFonts w:ascii="Arial" w:cs="Arial" w:eastAsia="Arial" w:hAnsi="Arial"/>
          <w:sz w:val="14"/>
          <w:szCs w:val="14"/>
          <w:color w:val="auto"/>
        </w:rPr>
        <w:t>File No. 333-200276 Class A (CA)</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4"/>
          <w:szCs w:val="14"/>
          <w:color w:val="auto"/>
        </w:rPr>
        <w:t>File No. 333-200279 Class C (CA),</w:t>
      </w:r>
    </w:p>
    <w:p>
      <w:pPr>
        <w:spacing w:after="0" w:line="166" w:lineRule="exact"/>
        <w:rPr>
          <w:sz w:val="20"/>
          <w:szCs w:val="20"/>
          <w:color w:val="auto"/>
        </w:rPr>
      </w:pPr>
    </w:p>
    <w:p>
      <w:pPr>
        <w:spacing w:after="0"/>
        <w:tabs>
          <w:tab w:leader="none" w:pos="14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3"/>
          <w:szCs w:val="13"/>
          <w:color w:val="auto"/>
        </w:rPr>
        <w:t>Brighthouse Variable Life Account A (811-21851)</w:t>
      </w:r>
    </w:p>
    <w:p>
      <w:pPr>
        <w:spacing w:after="0" w:line="5" w:lineRule="exact"/>
        <w:rPr>
          <w:sz w:val="20"/>
          <w:szCs w:val="20"/>
          <w:color w:val="auto"/>
        </w:rPr>
      </w:pPr>
    </w:p>
    <w:p>
      <w:pPr>
        <w:ind w:left="440"/>
        <w:spacing w:after="0"/>
        <w:rPr>
          <w:sz w:val="20"/>
          <w:szCs w:val="20"/>
          <w:color w:val="auto"/>
        </w:rPr>
      </w:pPr>
      <w:r>
        <w:rPr>
          <w:rFonts w:ascii="Arial" w:cs="Arial" w:eastAsia="Arial" w:hAnsi="Arial"/>
          <w:sz w:val="14"/>
          <w:szCs w:val="14"/>
          <w:color w:val="auto"/>
        </w:rPr>
        <w:t>File No. 333-200241 Equity Advantage Variable Universal Life,</w:t>
      </w:r>
    </w:p>
    <w:p>
      <w:pPr>
        <w:spacing w:after="0" w:line="166" w:lineRule="exact"/>
        <w:rPr>
          <w:sz w:val="20"/>
          <w:szCs w:val="20"/>
          <w:color w:val="auto"/>
        </w:rPr>
      </w:pPr>
    </w:p>
    <w:p>
      <w:pPr>
        <w:ind w:left="440" w:right="6859" w:hanging="438"/>
        <w:spacing w:after="0" w:line="238" w:lineRule="auto"/>
        <w:tabs>
          <w:tab w:leader="none" w:pos="173" w:val="left"/>
        </w:tabs>
        <w:numPr>
          <w:ilvl w:val="0"/>
          <w:numId w:val="131"/>
        </w:numPr>
        <w:rPr>
          <w:rFonts w:ascii="Arial" w:cs="Arial" w:eastAsia="Arial" w:hAnsi="Arial"/>
          <w:sz w:val="14"/>
          <w:szCs w:val="14"/>
          <w:color w:val="auto"/>
        </w:rPr>
      </w:pPr>
      <w:r>
        <w:rPr>
          <w:rFonts w:ascii="Arial" w:cs="Arial" w:eastAsia="Arial" w:hAnsi="Arial"/>
          <w:sz w:val="14"/>
          <w:szCs w:val="14"/>
          <w:color w:val="auto"/>
        </w:rPr>
        <w:t>Brighthouse Variable Life Account One (811-07971) File No. 333-200242 Class VL</w:t>
      </w:r>
    </w:p>
    <w:p>
      <w:pPr>
        <w:spacing w:after="0" w:line="1" w:lineRule="exact"/>
        <w:rPr>
          <w:rFonts w:ascii="Arial" w:cs="Arial" w:eastAsia="Arial" w:hAnsi="Arial"/>
          <w:sz w:val="14"/>
          <w:szCs w:val="14"/>
          <w:color w:val="auto"/>
        </w:rPr>
      </w:pPr>
    </w:p>
    <w:p>
      <w:pPr>
        <w:ind w:left="440"/>
        <w:spacing w:after="0" w:line="230" w:lineRule="auto"/>
        <w:rPr>
          <w:rFonts w:ascii="Arial" w:cs="Arial" w:eastAsia="Arial" w:hAnsi="Arial"/>
          <w:sz w:val="14"/>
          <w:szCs w:val="14"/>
          <w:color w:val="auto"/>
        </w:rPr>
      </w:pPr>
      <w:r>
        <w:rPr>
          <w:rFonts w:ascii="Arial" w:cs="Arial" w:eastAsia="Arial" w:hAnsi="Arial"/>
          <w:sz w:val="14"/>
          <w:szCs w:val="14"/>
          <w:color w:val="auto"/>
        </w:rPr>
        <w:t>File No. 333-200245 Class VL (CA)</w:t>
      </w:r>
    </w:p>
    <w:p>
      <w:pPr>
        <w:ind w:left="440"/>
        <w:spacing w:after="0" w:line="230" w:lineRule="auto"/>
        <w:rPr>
          <w:rFonts w:ascii="Arial" w:cs="Arial" w:eastAsia="Arial" w:hAnsi="Arial"/>
          <w:sz w:val="14"/>
          <w:szCs w:val="14"/>
          <w:color w:val="auto"/>
        </w:rPr>
      </w:pPr>
      <w:r>
        <w:rPr>
          <w:rFonts w:ascii="Arial" w:cs="Arial" w:eastAsia="Arial" w:hAnsi="Arial"/>
          <w:sz w:val="14"/>
          <w:szCs w:val="14"/>
          <w:color w:val="auto"/>
        </w:rPr>
        <w:t>File No. 333-200248 Modified Single Premium Variable Life</w:t>
      </w:r>
    </w:p>
    <w:p>
      <w:pPr>
        <w:ind w:left="440" w:right="5599"/>
        <w:spacing w:after="0" w:line="236" w:lineRule="auto"/>
        <w:rPr>
          <w:rFonts w:ascii="Arial" w:cs="Arial" w:eastAsia="Arial" w:hAnsi="Arial"/>
          <w:sz w:val="14"/>
          <w:szCs w:val="14"/>
          <w:color w:val="auto"/>
        </w:rPr>
      </w:pPr>
      <w:r>
        <w:rPr>
          <w:rFonts w:ascii="Arial" w:cs="Arial" w:eastAsia="Arial" w:hAnsi="Arial"/>
          <w:sz w:val="14"/>
          <w:szCs w:val="14"/>
          <w:color w:val="auto"/>
        </w:rPr>
        <w:t>File No. 333-200251 Custom Select and Russell Select Variable Life File No. 333-200254 Modified Single Premium Variable Life (CA) File No. 333-200257 Custom Select Variable Life,</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color w:val="auto"/>
        </w:rPr>
        <w:t>And pertaining to:</w:t>
      </w:r>
    </w:p>
    <w:p>
      <w:pPr>
        <w:ind w:left="440"/>
        <w:spacing w:after="0" w:line="185" w:lineRule="auto"/>
        <w:rPr>
          <w:sz w:val="20"/>
          <w:szCs w:val="20"/>
          <w:color w:val="auto"/>
        </w:rPr>
      </w:pPr>
      <w:r>
        <w:rPr>
          <w:rFonts w:ascii="Arial" w:cs="Arial" w:eastAsia="Arial" w:hAnsi="Arial"/>
          <w:sz w:val="12"/>
          <w:szCs w:val="12"/>
          <w:color w:val="auto"/>
        </w:rPr>
        <w:t>File No. 333-268618 Brighthouse SmartGuard Plus</w:t>
      </w:r>
      <w:r>
        <w:rPr>
          <w:rFonts w:ascii="Arial" w:cs="Arial" w:eastAsia="Arial" w:hAnsi="Arial"/>
          <w:sz w:val="18"/>
          <w:szCs w:val="18"/>
          <w:color w:val="auto"/>
          <w:vertAlign w:val="superscript"/>
        </w:rPr>
        <w:t>SM</w:t>
      </w:r>
    </w:p>
    <w:p>
      <w:pPr>
        <w:ind w:left="440" w:right="1939"/>
        <w:spacing w:after="0" w:line="189" w:lineRule="auto"/>
        <w:rPr>
          <w:sz w:val="20"/>
          <w:szCs w:val="20"/>
          <w:color w:val="auto"/>
        </w:rPr>
      </w:pPr>
      <w:r>
        <w:rPr>
          <w:rFonts w:ascii="Arial" w:cs="Arial" w:eastAsia="Arial" w:hAnsi="Arial"/>
          <w:sz w:val="13"/>
          <w:szCs w:val="13"/>
          <w:color w:val="auto"/>
        </w:rPr>
        <w:t>File No. 333-262390 Brighthouse Shield</w:t>
      </w:r>
      <w:r>
        <w:rPr>
          <w:rFonts w:ascii="Arial" w:cs="Arial" w:eastAsia="Arial" w:hAnsi="Arial"/>
          <w:sz w:val="19"/>
          <w:szCs w:val="19"/>
          <w:color w:val="auto"/>
          <w:vertAlign w:val="superscript"/>
        </w:rPr>
        <w:t>®</w:t>
      </w:r>
      <w:r>
        <w:rPr>
          <w:rFonts w:ascii="Arial" w:cs="Arial" w:eastAsia="Arial" w:hAnsi="Arial"/>
          <w:sz w:val="13"/>
          <w:szCs w:val="13"/>
          <w:color w:val="auto"/>
        </w:rPr>
        <w:t xml:space="preserve"> Level Pay Plus</w:t>
      </w:r>
      <w:r>
        <w:rPr>
          <w:rFonts w:ascii="Arial" w:cs="Arial" w:eastAsia="Arial" w:hAnsi="Arial"/>
          <w:sz w:val="19"/>
          <w:szCs w:val="19"/>
          <w:color w:val="auto"/>
          <w:vertAlign w:val="superscript"/>
        </w:rPr>
        <w:t>SM</w:t>
      </w:r>
      <w:r>
        <w:rPr>
          <w:rFonts w:ascii="Arial" w:cs="Arial" w:eastAsia="Arial" w:hAnsi="Arial"/>
          <w:sz w:val="13"/>
          <w:szCs w:val="13"/>
          <w:color w:val="auto"/>
        </w:rPr>
        <w:t xml:space="preserve"> Annuity and Brighthouse Shield</w:t>
      </w:r>
      <w:r>
        <w:rPr>
          <w:rFonts w:ascii="Arial" w:cs="Arial" w:eastAsia="Arial" w:hAnsi="Arial"/>
          <w:sz w:val="19"/>
          <w:szCs w:val="19"/>
          <w:color w:val="auto"/>
          <w:vertAlign w:val="superscript"/>
        </w:rPr>
        <w:t>®</w:t>
      </w:r>
      <w:r>
        <w:rPr>
          <w:rFonts w:ascii="Arial" w:cs="Arial" w:eastAsia="Arial" w:hAnsi="Arial"/>
          <w:sz w:val="13"/>
          <w:szCs w:val="13"/>
          <w:color w:val="auto"/>
        </w:rPr>
        <w:t xml:space="preserve"> Level Pay Plus</w:t>
      </w:r>
      <w:r>
        <w:rPr>
          <w:rFonts w:ascii="Arial" w:cs="Arial" w:eastAsia="Arial" w:hAnsi="Arial"/>
          <w:sz w:val="19"/>
          <w:szCs w:val="19"/>
          <w:color w:val="auto"/>
          <w:vertAlign w:val="superscript"/>
        </w:rPr>
        <w:t>SM</w:t>
      </w:r>
      <w:r>
        <w:rPr>
          <w:rFonts w:ascii="Arial" w:cs="Arial" w:eastAsia="Arial" w:hAnsi="Arial"/>
          <w:sz w:val="13"/>
          <w:szCs w:val="13"/>
          <w:color w:val="auto"/>
        </w:rPr>
        <w:t xml:space="preserve"> Advisory Annuity File No. 333-259505 Brighthouse Shield</w:t>
      </w:r>
      <w:r>
        <w:rPr>
          <w:rFonts w:ascii="Arial" w:cs="Arial" w:eastAsia="Arial" w:hAnsi="Arial"/>
          <w:sz w:val="19"/>
          <w:szCs w:val="19"/>
          <w:color w:val="auto"/>
          <w:vertAlign w:val="superscript"/>
        </w:rPr>
        <w:t>®</w:t>
      </w:r>
      <w:r>
        <w:rPr>
          <w:rFonts w:ascii="Arial" w:cs="Arial" w:eastAsia="Arial" w:hAnsi="Arial"/>
          <w:sz w:val="13"/>
          <w:szCs w:val="13"/>
          <w:color w:val="auto"/>
        </w:rPr>
        <w:t xml:space="preserve"> Level Select 6-Year Annuity v.3 File No. 333-233240 Brighthouse Shield</w:t>
      </w:r>
      <w:r>
        <w:rPr>
          <w:rFonts w:ascii="Arial" w:cs="Arial" w:eastAsia="Arial" w:hAnsi="Arial"/>
          <w:sz w:val="19"/>
          <w:szCs w:val="19"/>
          <w:color w:val="auto"/>
          <w:vertAlign w:val="superscript"/>
        </w:rPr>
        <w:t>®</w:t>
      </w:r>
      <w:r>
        <w:rPr>
          <w:rFonts w:ascii="Arial" w:cs="Arial" w:eastAsia="Arial" w:hAnsi="Arial"/>
          <w:sz w:val="13"/>
          <w:szCs w:val="13"/>
          <w:color w:val="auto"/>
        </w:rPr>
        <w:t xml:space="preserve"> Level 10 Advisory Annuity</w:t>
      </w:r>
    </w:p>
    <w:p>
      <w:pPr>
        <w:ind w:left="440"/>
        <w:spacing w:after="0" w:line="180" w:lineRule="auto"/>
        <w:rPr>
          <w:sz w:val="20"/>
          <w:szCs w:val="20"/>
          <w:color w:val="auto"/>
        </w:rPr>
      </w:pPr>
      <w:r>
        <w:rPr>
          <w:rFonts w:ascii="Arial" w:cs="Arial" w:eastAsia="Arial" w:hAnsi="Arial"/>
          <w:sz w:val="12"/>
          <w:szCs w:val="12"/>
          <w:color w:val="auto"/>
        </w:rPr>
        <w:t>File No. 333-268427 Brighthouse Shield</w:t>
      </w:r>
      <w:r>
        <w:rPr>
          <w:rFonts w:ascii="Arial" w:cs="Arial" w:eastAsia="Arial" w:hAnsi="Arial"/>
          <w:sz w:val="18"/>
          <w:szCs w:val="18"/>
          <w:color w:val="auto"/>
          <w:vertAlign w:val="superscript"/>
        </w:rPr>
        <w:t>®</w:t>
      </w:r>
      <w:r>
        <w:rPr>
          <w:rFonts w:ascii="Arial" w:cs="Arial" w:eastAsia="Arial" w:hAnsi="Arial"/>
          <w:sz w:val="12"/>
          <w:szCs w:val="12"/>
          <w:color w:val="auto"/>
        </w:rPr>
        <w:t xml:space="preserve"> Level Select Advisory Annuity</w:t>
      </w:r>
    </w:p>
    <w:p>
      <w:pPr>
        <w:ind w:left="440"/>
        <w:spacing w:after="0" w:line="189" w:lineRule="auto"/>
        <w:rPr>
          <w:sz w:val="20"/>
          <w:szCs w:val="20"/>
          <w:color w:val="auto"/>
        </w:rPr>
      </w:pPr>
      <w:r>
        <w:rPr>
          <w:rFonts w:ascii="Arial" w:cs="Arial" w:eastAsia="Arial" w:hAnsi="Arial"/>
          <w:sz w:val="12"/>
          <w:szCs w:val="12"/>
          <w:color w:val="auto"/>
        </w:rPr>
        <w:t>File No. 333-263492 Brighthouse Shield</w:t>
      </w:r>
      <w:r>
        <w:rPr>
          <w:rFonts w:ascii="Arial" w:cs="Arial" w:eastAsia="Arial" w:hAnsi="Arial"/>
          <w:sz w:val="17"/>
          <w:szCs w:val="17"/>
          <w:color w:val="auto"/>
          <w:vertAlign w:val="superscript"/>
        </w:rPr>
        <w:t>®</w:t>
      </w:r>
      <w:r>
        <w:rPr>
          <w:rFonts w:ascii="Arial" w:cs="Arial" w:eastAsia="Arial" w:hAnsi="Arial"/>
          <w:sz w:val="12"/>
          <w:szCs w:val="12"/>
          <w:color w:val="auto"/>
        </w:rPr>
        <w:t xml:space="preserve"> Level Select 6-Year Annuity</w:t>
      </w:r>
    </w:p>
    <w:p>
      <w:pPr>
        <w:ind w:left="440"/>
        <w:spacing w:after="0" w:line="189" w:lineRule="auto"/>
        <w:rPr>
          <w:sz w:val="20"/>
          <w:szCs w:val="20"/>
          <w:color w:val="auto"/>
        </w:rPr>
      </w:pPr>
      <w:r>
        <w:rPr>
          <w:rFonts w:ascii="Arial" w:cs="Arial" w:eastAsia="Arial" w:hAnsi="Arial"/>
          <w:sz w:val="12"/>
          <w:szCs w:val="12"/>
          <w:color w:val="auto"/>
        </w:rPr>
        <w:t>File No. 333-263495 Brighthouse Shield</w:t>
      </w:r>
      <w:r>
        <w:rPr>
          <w:rFonts w:ascii="Arial" w:cs="Arial" w:eastAsia="Arial" w:hAnsi="Arial"/>
          <w:sz w:val="17"/>
          <w:szCs w:val="17"/>
          <w:color w:val="auto"/>
          <w:vertAlign w:val="superscript"/>
        </w:rPr>
        <w:t>®</w:t>
      </w:r>
      <w:r>
        <w:rPr>
          <w:rFonts w:ascii="Arial" w:cs="Arial" w:eastAsia="Arial" w:hAnsi="Arial"/>
          <w:sz w:val="12"/>
          <w:szCs w:val="12"/>
          <w:color w:val="auto"/>
        </w:rPr>
        <w:t xml:space="preserve"> Level Select 3-Year Annuity</w:t>
      </w:r>
    </w:p>
    <w:p>
      <w:pPr>
        <w:ind w:left="440"/>
        <w:spacing w:after="0" w:line="190" w:lineRule="auto"/>
        <w:rPr>
          <w:sz w:val="20"/>
          <w:szCs w:val="20"/>
          <w:color w:val="auto"/>
        </w:rPr>
      </w:pPr>
      <w:r>
        <w:rPr>
          <w:rFonts w:ascii="Arial" w:cs="Arial" w:eastAsia="Arial" w:hAnsi="Arial"/>
          <w:sz w:val="12"/>
          <w:szCs w:val="12"/>
          <w:color w:val="auto"/>
        </w:rPr>
        <w:t>File No. 333-238213 Brighthouse Shield</w:t>
      </w:r>
      <w:r>
        <w:rPr>
          <w:rFonts w:ascii="Arial" w:cs="Arial" w:eastAsia="Arial" w:hAnsi="Arial"/>
          <w:sz w:val="17"/>
          <w:szCs w:val="17"/>
          <w:color w:val="auto"/>
          <w:vertAlign w:val="superscript"/>
        </w:rPr>
        <w:t>®</w:t>
      </w:r>
      <w:r>
        <w:rPr>
          <w:rFonts w:ascii="Arial" w:cs="Arial" w:eastAsia="Arial" w:hAnsi="Arial"/>
          <w:sz w:val="12"/>
          <w:szCs w:val="12"/>
          <w:color w:val="auto"/>
        </w:rPr>
        <w:t xml:space="preserve"> Level 10 Annuity</w:t>
      </w:r>
    </w:p>
    <w:p>
      <w:pPr>
        <w:ind w:left="440"/>
        <w:spacing w:after="0" w:line="189" w:lineRule="auto"/>
        <w:rPr>
          <w:sz w:val="20"/>
          <w:szCs w:val="20"/>
          <w:color w:val="auto"/>
        </w:rPr>
      </w:pPr>
      <w:r>
        <w:rPr>
          <w:rFonts w:ascii="Arial" w:cs="Arial" w:eastAsia="Arial" w:hAnsi="Arial"/>
          <w:sz w:val="12"/>
          <w:szCs w:val="12"/>
          <w:color w:val="auto"/>
        </w:rPr>
        <w:t>File No. 333-208664 Brighthouse Shield Level Selector</w:t>
      </w:r>
      <w:r>
        <w:rPr>
          <w:rFonts w:ascii="Arial" w:cs="Arial" w:eastAsia="Arial" w:hAnsi="Arial"/>
          <w:sz w:val="17"/>
          <w:szCs w:val="17"/>
          <w:color w:val="auto"/>
          <w:vertAlign w:val="superscript"/>
        </w:rPr>
        <w:t>®</w:t>
      </w:r>
      <w:r>
        <w:rPr>
          <w:rFonts w:ascii="Arial" w:cs="Arial" w:eastAsia="Arial" w:hAnsi="Arial"/>
          <w:sz w:val="12"/>
          <w:szCs w:val="12"/>
          <w:color w:val="auto"/>
        </w:rPr>
        <w:t xml:space="preserve"> Annuity</w:t>
      </w:r>
    </w:p>
    <w:p>
      <w:pPr>
        <w:ind w:left="440"/>
        <w:spacing w:after="0" w:line="190" w:lineRule="auto"/>
        <w:rPr>
          <w:sz w:val="20"/>
          <w:szCs w:val="20"/>
          <w:color w:val="auto"/>
        </w:rPr>
      </w:pPr>
      <w:r>
        <w:rPr>
          <w:rFonts w:ascii="Arial" w:cs="Arial" w:eastAsia="Arial" w:hAnsi="Arial"/>
          <w:sz w:val="12"/>
          <w:szCs w:val="12"/>
          <w:color w:val="auto"/>
        </w:rPr>
        <w:t>File No. 333-207091 Brighthouse Shield Level Selector</w:t>
      </w:r>
      <w:r>
        <w:rPr>
          <w:rFonts w:ascii="Arial" w:cs="Arial" w:eastAsia="Arial" w:hAnsi="Arial"/>
          <w:sz w:val="17"/>
          <w:szCs w:val="17"/>
          <w:color w:val="auto"/>
          <w:vertAlign w:val="superscript"/>
        </w:rPr>
        <w:t>®</w:t>
      </w:r>
      <w:r>
        <w:rPr>
          <w:rFonts w:ascii="Arial" w:cs="Arial" w:eastAsia="Arial" w:hAnsi="Arial"/>
          <w:sz w:val="12"/>
          <w:szCs w:val="12"/>
          <w:color w:val="auto"/>
        </w:rPr>
        <w:t xml:space="preserve"> 3-Year Annuity</w:t>
      </w:r>
    </w:p>
    <w:p>
      <w:pPr>
        <w:ind w:left="440"/>
        <w:spacing w:after="0" w:line="230" w:lineRule="auto"/>
        <w:rPr>
          <w:sz w:val="20"/>
          <w:szCs w:val="20"/>
          <w:color w:val="auto"/>
        </w:rPr>
      </w:pPr>
      <w:r>
        <w:rPr>
          <w:rFonts w:ascii="Arial" w:cs="Arial" w:eastAsia="Arial" w:hAnsi="Arial"/>
          <w:sz w:val="14"/>
          <w:szCs w:val="14"/>
          <w:color w:val="auto"/>
        </w:rPr>
        <w:t>File No. 333-276468 Registered Fixed Account Option</w:t>
      </w:r>
    </w:p>
    <w:p>
      <w:pPr>
        <w:ind w:left="440"/>
        <w:spacing w:after="0" w:line="230" w:lineRule="auto"/>
        <w:rPr>
          <w:sz w:val="20"/>
          <w:szCs w:val="20"/>
          <w:color w:val="auto"/>
        </w:rPr>
      </w:pPr>
      <w:r>
        <w:rPr>
          <w:rFonts w:ascii="Arial" w:cs="Arial" w:eastAsia="Arial" w:hAnsi="Arial"/>
          <w:sz w:val="14"/>
          <w:szCs w:val="14"/>
          <w:color w:val="auto"/>
        </w:rPr>
        <w:t>File No. 333-276469 Fixed Annuity (Strategic Value Annuity)</w:t>
      </w:r>
    </w:p>
    <w:p>
      <w:pPr>
        <w:ind w:left="440"/>
        <w:spacing w:after="0" w:line="230" w:lineRule="auto"/>
        <w:rPr>
          <w:sz w:val="20"/>
          <w:szCs w:val="20"/>
          <w:color w:val="auto"/>
        </w:rPr>
      </w:pPr>
      <w:r>
        <w:rPr>
          <w:rFonts w:ascii="Arial" w:cs="Arial" w:eastAsia="Arial" w:hAnsi="Arial"/>
          <w:sz w:val="14"/>
          <w:szCs w:val="14"/>
          <w:color w:val="auto"/>
        </w:rPr>
        <w:t>File No. 333-276470 Brighthouse Retirement Account Liquidity Benefit</w:t>
      </w:r>
    </w:p>
    <w:p>
      <w:pPr>
        <w:ind w:left="440"/>
        <w:spacing w:after="0" w:line="189" w:lineRule="auto"/>
        <w:rPr>
          <w:sz w:val="20"/>
          <w:szCs w:val="20"/>
          <w:color w:val="auto"/>
        </w:rPr>
      </w:pPr>
      <w:r>
        <w:rPr>
          <w:rFonts w:ascii="Arial" w:cs="Arial" w:eastAsia="Arial" w:hAnsi="Arial"/>
          <w:sz w:val="12"/>
          <w:szCs w:val="12"/>
          <w:color w:val="auto"/>
        </w:rPr>
        <w:t>File No. 333-276599 Brighthouse Shield</w:t>
      </w:r>
      <w:r>
        <w:rPr>
          <w:rFonts w:ascii="Arial" w:cs="Arial" w:eastAsia="Arial" w:hAnsi="Arial"/>
          <w:sz w:val="17"/>
          <w:szCs w:val="17"/>
          <w:color w:val="auto"/>
          <w:vertAlign w:val="superscript"/>
        </w:rPr>
        <w:t>®</w:t>
      </w:r>
      <w:r>
        <w:rPr>
          <w:rFonts w:ascii="Arial" w:cs="Arial" w:eastAsia="Arial" w:hAnsi="Arial"/>
          <w:sz w:val="12"/>
          <w:szCs w:val="12"/>
          <w:color w:val="auto"/>
        </w:rPr>
        <w:t xml:space="preserve"> Level II 6-Year Annuity</w:t>
      </w:r>
    </w:p>
    <w:p>
      <w:pPr>
        <w:ind w:left="440"/>
        <w:spacing w:after="0" w:line="190" w:lineRule="auto"/>
        <w:rPr>
          <w:sz w:val="20"/>
          <w:szCs w:val="20"/>
          <w:color w:val="auto"/>
        </w:rPr>
      </w:pPr>
      <w:r>
        <w:rPr>
          <w:rFonts w:ascii="Arial" w:cs="Arial" w:eastAsia="Arial" w:hAnsi="Arial"/>
          <w:sz w:val="12"/>
          <w:szCs w:val="12"/>
          <w:color w:val="auto"/>
        </w:rPr>
        <w:t>File No. 333-276762 Brighthouse Shield</w:t>
      </w:r>
      <w:r>
        <w:rPr>
          <w:rFonts w:ascii="Arial" w:cs="Arial" w:eastAsia="Arial" w:hAnsi="Arial"/>
          <w:sz w:val="17"/>
          <w:szCs w:val="17"/>
          <w:color w:val="auto"/>
          <w:vertAlign w:val="superscript"/>
        </w:rPr>
        <w:t>®</w:t>
      </w:r>
      <w:r>
        <w:rPr>
          <w:rFonts w:ascii="Arial" w:cs="Arial" w:eastAsia="Arial" w:hAnsi="Arial"/>
          <w:sz w:val="12"/>
          <w:szCs w:val="12"/>
          <w:color w:val="auto"/>
        </w:rPr>
        <w:t xml:space="preserve"> Level II Advisory Annuity</w:t>
      </w:r>
    </w:p>
    <w:p>
      <w:pPr>
        <w:ind w:left="440" w:right="2019"/>
        <w:spacing w:after="0"/>
        <w:rPr>
          <w:sz w:val="20"/>
          <w:szCs w:val="20"/>
          <w:color w:val="auto"/>
        </w:rPr>
      </w:pPr>
      <w:r>
        <w:rPr>
          <w:rFonts w:ascii="Arial" w:cs="Arial" w:eastAsia="Arial" w:hAnsi="Arial"/>
          <w:sz w:val="14"/>
          <w:szCs w:val="14"/>
          <w:color w:val="auto"/>
        </w:rPr>
        <w:t>File No. 333-276763 Brighthouse Shield Level Pay Plus</w:t>
      </w:r>
      <w:r>
        <w:rPr>
          <w:rFonts w:ascii="Arial" w:cs="Arial" w:eastAsia="Arial" w:hAnsi="Arial"/>
          <w:sz w:val="20"/>
          <w:szCs w:val="20"/>
          <w:color w:val="auto"/>
          <w:vertAlign w:val="superscript"/>
        </w:rPr>
        <w:t>®</w:t>
      </w:r>
      <w:r>
        <w:rPr>
          <w:rFonts w:ascii="Arial" w:cs="Arial" w:eastAsia="Arial" w:hAnsi="Arial"/>
          <w:sz w:val="14"/>
          <w:szCs w:val="14"/>
          <w:color w:val="auto"/>
        </w:rPr>
        <w:t xml:space="preserve"> II Annuity and Brighthouse Shield Level Pay Plus</w:t>
      </w:r>
      <w:r>
        <w:rPr>
          <w:rFonts w:ascii="Arial" w:cs="Arial" w:eastAsia="Arial" w:hAnsi="Arial"/>
          <w:sz w:val="20"/>
          <w:szCs w:val="20"/>
          <w:color w:val="auto"/>
          <w:vertAlign w:val="superscript"/>
        </w:rPr>
        <w:t>®</w:t>
      </w:r>
      <w:r>
        <w:rPr>
          <w:rFonts w:ascii="Arial" w:cs="Arial" w:eastAsia="Arial" w:hAnsi="Arial"/>
          <w:sz w:val="14"/>
          <w:szCs w:val="14"/>
          <w:color w:val="auto"/>
        </w:rPr>
        <w:t xml:space="preserve"> II Advisory Annuity File No. 333-279302 Brighthouse Shield</w:t>
      </w:r>
      <w:r>
        <w:rPr>
          <w:rFonts w:ascii="Arial" w:cs="Arial" w:eastAsia="Arial" w:hAnsi="Arial"/>
          <w:sz w:val="20"/>
          <w:szCs w:val="20"/>
          <w:color w:val="auto"/>
          <w:vertAlign w:val="superscript"/>
        </w:rPr>
        <w:t>®</w:t>
      </w:r>
      <w:r>
        <w:rPr>
          <w:rFonts w:ascii="Arial" w:cs="Arial" w:eastAsia="Arial" w:hAnsi="Arial"/>
          <w:sz w:val="14"/>
          <w:szCs w:val="14"/>
          <w:color w:val="auto"/>
        </w:rPr>
        <w:t xml:space="preserve"> Level II 3-Year Annuity T-Mark Fixed Annuity</w:t>
      </w:r>
    </w:p>
    <w:p>
      <w:pPr>
        <w:spacing w:after="0" w:line="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Target Maturity,</w:t>
      </w:r>
    </w:p>
    <w:p>
      <w:pPr>
        <w:spacing w:after="0" w:line="166" w:lineRule="exact"/>
        <w:rPr>
          <w:sz w:val="20"/>
          <w:szCs w:val="20"/>
          <w:color w:val="auto"/>
        </w:rPr>
      </w:pPr>
    </w:p>
    <w:p>
      <w:pPr>
        <w:spacing w:after="0"/>
        <w:tabs>
          <w:tab w:leader="none" w:pos="14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3"/>
          <w:szCs w:val="13"/>
          <w:color w:val="auto"/>
        </w:rPr>
        <w:t>Brighthouse Life Insurance Company (RILA MVA)</w:t>
      </w:r>
    </w:p>
    <w:p>
      <w:pPr>
        <w:spacing w:after="0" w:line="5" w:lineRule="exact"/>
        <w:rPr>
          <w:sz w:val="20"/>
          <w:szCs w:val="20"/>
          <w:color w:val="auto"/>
        </w:rPr>
      </w:pPr>
    </w:p>
    <w:p>
      <w:pPr>
        <w:ind w:left="440" w:right="2019"/>
        <w:spacing w:after="0"/>
        <w:rPr>
          <w:sz w:val="20"/>
          <w:szCs w:val="20"/>
          <w:color w:val="auto"/>
        </w:rPr>
      </w:pPr>
      <w:r>
        <w:rPr>
          <w:rFonts w:ascii="Arial" w:cs="Arial" w:eastAsia="Arial" w:hAnsi="Arial"/>
          <w:sz w:val="13"/>
          <w:szCs w:val="13"/>
          <w:color w:val="auto"/>
        </w:rPr>
        <w:t>File No. 333-282752 Brighthouse Shield Level Pay Plus</w:t>
      </w:r>
      <w:r>
        <w:rPr>
          <w:rFonts w:ascii="Arial" w:cs="Arial" w:eastAsia="Arial" w:hAnsi="Arial"/>
          <w:sz w:val="19"/>
          <w:szCs w:val="19"/>
          <w:color w:val="auto"/>
          <w:vertAlign w:val="superscript"/>
        </w:rPr>
        <w:t>®</w:t>
      </w:r>
      <w:r>
        <w:rPr>
          <w:rFonts w:ascii="Arial" w:cs="Arial" w:eastAsia="Arial" w:hAnsi="Arial"/>
          <w:sz w:val="13"/>
          <w:szCs w:val="13"/>
          <w:color w:val="auto"/>
        </w:rPr>
        <w:t xml:space="preserve"> II Annuity and Brighthouse Shield Level Pay Plus</w:t>
      </w:r>
      <w:r>
        <w:rPr>
          <w:rFonts w:ascii="Arial" w:cs="Arial" w:eastAsia="Arial" w:hAnsi="Arial"/>
          <w:sz w:val="19"/>
          <w:szCs w:val="19"/>
          <w:color w:val="auto"/>
          <w:vertAlign w:val="superscript"/>
        </w:rPr>
        <w:t>®</w:t>
      </w:r>
      <w:r>
        <w:rPr>
          <w:rFonts w:ascii="Arial" w:cs="Arial" w:eastAsia="Arial" w:hAnsi="Arial"/>
          <w:sz w:val="13"/>
          <w:szCs w:val="13"/>
          <w:color w:val="auto"/>
        </w:rPr>
        <w:t xml:space="preserve"> II Advisory Annuity File No. 333-282871 Brighthouse Shield</w:t>
      </w:r>
      <w:r>
        <w:rPr>
          <w:rFonts w:ascii="Arial" w:cs="Arial" w:eastAsia="Arial" w:hAnsi="Arial"/>
          <w:sz w:val="19"/>
          <w:szCs w:val="19"/>
          <w:color w:val="auto"/>
          <w:vertAlign w:val="superscript"/>
        </w:rPr>
        <w:t>®</w:t>
      </w:r>
      <w:r>
        <w:rPr>
          <w:rFonts w:ascii="Arial" w:cs="Arial" w:eastAsia="Arial" w:hAnsi="Arial"/>
          <w:sz w:val="13"/>
          <w:szCs w:val="13"/>
          <w:color w:val="auto"/>
        </w:rPr>
        <w:t xml:space="preserve"> Level II Advisory Annuity File No. 333-283023 Brighthouse Shield</w:t>
      </w:r>
      <w:r>
        <w:rPr>
          <w:rFonts w:ascii="Arial" w:cs="Arial" w:eastAsia="Arial" w:hAnsi="Arial"/>
          <w:sz w:val="19"/>
          <w:szCs w:val="19"/>
          <w:color w:val="auto"/>
          <w:vertAlign w:val="superscript"/>
        </w:rPr>
        <w:t>®</w:t>
      </w:r>
      <w:r>
        <w:rPr>
          <w:rFonts w:ascii="Arial" w:cs="Arial" w:eastAsia="Arial" w:hAnsi="Arial"/>
          <w:sz w:val="13"/>
          <w:szCs w:val="13"/>
          <w:color w:val="auto"/>
        </w:rPr>
        <w:t xml:space="preserve"> Level II 6-Year Annuity</w:t>
      </w:r>
    </w:p>
    <w:p>
      <w:pPr>
        <w:ind w:left="440"/>
        <w:spacing w:after="0" w:line="188" w:lineRule="auto"/>
        <w:rPr>
          <w:sz w:val="20"/>
          <w:szCs w:val="20"/>
          <w:color w:val="auto"/>
        </w:rPr>
      </w:pPr>
      <w:r>
        <w:rPr>
          <w:rFonts w:ascii="Arial" w:cs="Arial" w:eastAsia="Arial" w:hAnsi="Arial"/>
          <w:sz w:val="14"/>
          <w:szCs w:val="14"/>
          <w:color w:val="auto"/>
        </w:rPr>
        <w:t>File No. 333-283024 Brighthouse Shield</w:t>
      </w:r>
      <w:r>
        <w:rPr>
          <w:rFonts w:ascii="Arial" w:cs="Arial" w:eastAsia="Arial" w:hAnsi="Arial"/>
          <w:sz w:val="20"/>
          <w:szCs w:val="20"/>
          <w:color w:val="auto"/>
          <w:vertAlign w:val="superscript"/>
        </w:rPr>
        <w:t>®</w:t>
      </w:r>
      <w:r>
        <w:rPr>
          <w:rFonts w:ascii="Arial" w:cs="Arial" w:eastAsia="Arial" w:hAnsi="Arial"/>
          <w:sz w:val="14"/>
          <w:szCs w:val="14"/>
          <w:color w:val="auto"/>
        </w:rPr>
        <w:t xml:space="preserve"> Level II 3-Year Annuity</w:t>
      </w:r>
    </w:p>
    <w:p>
      <w:pPr>
        <w:ind w:left="440"/>
        <w:spacing w:after="0" w:line="230" w:lineRule="auto"/>
        <w:rPr>
          <w:sz w:val="20"/>
          <w:szCs w:val="20"/>
          <w:color w:val="auto"/>
        </w:rPr>
      </w:pPr>
      <w:r>
        <w:rPr>
          <w:rFonts w:ascii="Arial" w:cs="Arial" w:eastAsia="Arial" w:hAnsi="Arial"/>
          <w:sz w:val="14"/>
          <w:szCs w:val="14"/>
          <w:color w:val="auto"/>
        </w:rPr>
        <w:t>File No. 333-290021 Fixed Account Annuity (Strategic Value Annuity)</w:t>
      </w:r>
    </w:p>
    <w:p>
      <w:pPr>
        <w:ind w:left="580" w:right="2199" w:hanging="155"/>
        <w:spacing w:after="0" w:line="230" w:lineRule="auto"/>
        <w:rPr>
          <w:sz w:val="20"/>
          <w:szCs w:val="20"/>
          <w:color w:val="auto"/>
        </w:rPr>
      </w:pPr>
      <w:r>
        <w:rPr>
          <w:rFonts w:ascii="Arial" w:cs="Arial" w:eastAsia="Arial" w:hAnsi="Arial"/>
          <w:sz w:val="14"/>
          <w:szCs w:val="14"/>
          <w:color w:val="auto"/>
        </w:rPr>
        <w:t>File No. 333-290022 Gold Track and Registered Fixed Account Option and Gold Track Select and Registered Fixed Account Option</w:t>
      </w:r>
    </w:p>
    <w:p>
      <w:pPr>
        <w:ind w:left="440" w:right="3859"/>
        <w:spacing w:after="0" w:line="247" w:lineRule="auto"/>
        <w:rPr>
          <w:sz w:val="20"/>
          <w:szCs w:val="20"/>
          <w:color w:val="auto"/>
        </w:rPr>
      </w:pPr>
      <w:r>
        <w:rPr>
          <w:rFonts w:ascii="Arial" w:cs="Arial" w:eastAsia="Arial" w:hAnsi="Arial"/>
          <w:sz w:val="13"/>
          <w:szCs w:val="13"/>
          <w:color w:val="auto"/>
        </w:rPr>
        <w:t>File No. 333-290023 Brighthouse Retirement Perspectives and Registered Fixed Account Option File No. 333-290024 Unallocated Group Variable Annuity and Registered Fixed Account Option</w:t>
      </w:r>
    </w:p>
    <w:p>
      <w:pPr>
        <w:spacing w:after="0" w:line="1" w:lineRule="exact"/>
        <w:rPr>
          <w:sz w:val="20"/>
          <w:szCs w:val="20"/>
          <w:color w:val="auto"/>
        </w:rPr>
      </w:pPr>
    </w:p>
    <w:p>
      <w:pPr>
        <w:ind w:left="580" w:right="2159" w:hanging="155"/>
        <w:spacing w:after="0"/>
        <w:rPr>
          <w:sz w:val="20"/>
          <w:szCs w:val="20"/>
          <w:color w:val="auto"/>
        </w:rPr>
      </w:pPr>
      <w:r>
        <w:rPr>
          <w:rFonts w:ascii="Arial" w:cs="Arial" w:eastAsia="Arial" w:hAnsi="Arial"/>
          <w:sz w:val="14"/>
          <w:szCs w:val="14"/>
          <w:color w:val="auto"/>
        </w:rPr>
        <w:t>File No. 333-290025 Brighthouse Retirement Account Annuity, Registered Fixed Account Option and Brighthouse Retirement Account Liquidity Benefit</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color w:val="auto"/>
        </w:rPr>
        <w:t>And new annuities and life products such as:</w:t>
      </w:r>
    </w:p>
    <w:p>
      <w:pPr>
        <w:ind w:left="440"/>
        <w:spacing w:after="0" w:line="237" w:lineRule="auto"/>
        <w:rPr>
          <w:sz w:val="20"/>
          <w:szCs w:val="20"/>
          <w:color w:val="auto"/>
        </w:rPr>
      </w:pPr>
      <w:r>
        <w:rPr>
          <w:rFonts w:ascii="Arial" w:cs="Arial" w:eastAsia="Arial" w:hAnsi="Arial"/>
          <w:sz w:val="14"/>
          <w:szCs w:val="14"/>
          <w:color w:val="auto"/>
        </w:rPr>
        <w:t>Brighthouse Shield Annuity</w:t>
      </w:r>
    </w:p>
    <w:p>
      <w:pPr>
        <w:ind w:left="440"/>
        <w:spacing w:after="0" w:line="230" w:lineRule="auto"/>
        <w:rPr>
          <w:sz w:val="20"/>
          <w:szCs w:val="20"/>
          <w:color w:val="auto"/>
        </w:rPr>
      </w:pPr>
      <w:r>
        <w:rPr>
          <w:rFonts w:ascii="Arial" w:cs="Arial" w:eastAsia="Arial" w:hAnsi="Arial"/>
          <w:sz w:val="14"/>
          <w:szCs w:val="14"/>
          <w:color w:val="auto"/>
        </w:rPr>
        <w:t>Brighthouse Shield 3-Year Annuity</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4"/>
          <w:szCs w:val="14"/>
          <w:color w:val="auto"/>
        </w:rPr>
        <w:t>Brighthouse Shield 6-Year Annuity</w:t>
      </w:r>
    </w:p>
    <w:p>
      <w:pPr>
        <w:sectPr>
          <w:pgSz w:w="11900" w:h="16838" w:orient="portrait"/>
          <w:cols w:equalWidth="0" w:num="1">
            <w:col w:w="10159"/>
          </w:cols>
          <w:pgMar w:left="300" w:top="240" w:right="1440" w:bottom="1440" w:gutter="0" w:footer="0" w:header="0"/>
        </w:sectPr>
      </w:pPr>
    </w:p>
    <w:bookmarkStart w:id="126" w:name="page127"/>
    <w:bookmarkEnd w:id="126"/>
    <w:p>
      <w:pPr>
        <w:ind w:left="44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8">
                      <a:extLst>
                        <a:ext uri="{28A0092B-C50C-407E-A947-70E740481C1C}"/>
                      </a:extLst>
                    </a:blip>
                    <a:srcRect/>
                    <a:stretch>
                      <a:fillRect/>
                    </a:stretch>
                  </pic:blipFill>
                  <pic:spPr bwMode="auto">
                    <a:xfrm>
                      <a:off x="0" y="0"/>
                      <a:ext cx="7203440" cy="32385"/>
                    </a:xfrm>
                    <a:prstGeom prst="rect">
                      <a:avLst/>
                    </a:prstGeom>
                    <a:noFill/>
                  </pic:spPr>
                </pic:pic>
              </a:graphicData>
            </a:graphic>
          </wp:anchor>
        </w:drawing>
        <w:t>Brighthouse Index-linked Life Insurance Policy,</w:t>
      </w:r>
    </w:p>
    <w:p>
      <w:pPr>
        <w:spacing w:after="0" w:line="158" w:lineRule="exact"/>
        <w:rPr>
          <w:sz w:val="20"/>
          <w:szCs w:val="20"/>
          <w:color w:val="auto"/>
        </w:rPr>
      </w:pPr>
    </w:p>
    <w:p>
      <w:pPr>
        <w:ind w:right="1979"/>
        <w:spacing w:after="0" w:line="239" w:lineRule="auto"/>
        <w:rPr>
          <w:sz w:val="20"/>
          <w:szCs w:val="20"/>
          <w:color w:val="auto"/>
        </w:rPr>
      </w:pPr>
      <w:r>
        <w:rPr>
          <w:rFonts w:ascii="Arial" w:cs="Arial" w:eastAsia="Arial" w:hAnsi="Arial"/>
          <w:sz w:val="14"/>
          <w:szCs w:val="14"/>
          <w:color w:val="auto"/>
        </w:rPr>
        <w:t>and to have full power and authority to do or cause to be done in my name, place and stead each and every act and thing necessary or appropriate in order to effectuate the same, as fully to all intents and purposes as I might or could do in person, hereby ratifying and confirming all that said attorneys-in-fact or any of them, may do or cause to be done by virtue hereof. This Power of Attorney does not revoke any prior powers of attorney.</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color w:val="auto"/>
        </w:rPr>
        <w:t>IN WITNESS WHEREOF, I have hereunto set my hand this 3rd day of November 2025.</w:t>
      </w:r>
    </w:p>
    <w:p>
      <w:pPr>
        <w:spacing w:after="0" w:line="322"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/s/ Melissa B. Pavlovich</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Melissa B. Pavlovich</w:t>
      </w:r>
    </w:p>
    <w:p>
      <w:pPr>
        <w:sectPr>
          <w:pgSz w:w="11900" w:h="16838" w:orient="portrait"/>
          <w:cols w:equalWidth="0" w:num="1">
            <w:col w:w="10159"/>
          </w:cols>
          <w:pgMar w:left="300" w:top="240" w:right="1440" w:bottom="1440" w:gutter="0" w:footer="0" w:header="0"/>
        </w:sectPr>
      </w:pPr>
    </w:p>
    <w:bookmarkStart w:id="127" w:name="page128"/>
    <w:bookmarkEnd w:id="127"/>
    <w:p>
      <w:pPr>
        <w:jc w:val="center"/>
        <w:ind w:right="1779"/>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9">
                      <a:extLst>
                        <a:ext uri="{28A0092B-C50C-407E-A947-70E740481C1C}"/>
                      </a:extLst>
                    </a:blip>
                    <a:srcRect/>
                    <a:stretch>
                      <a:fillRect/>
                    </a:stretch>
                  </pic:blipFill>
                  <pic:spPr bwMode="auto">
                    <a:xfrm>
                      <a:off x="0" y="0"/>
                      <a:ext cx="7203440" cy="32385"/>
                    </a:xfrm>
                    <a:prstGeom prst="rect">
                      <a:avLst/>
                    </a:prstGeom>
                    <a:noFill/>
                  </pic:spPr>
                </pic:pic>
              </a:graphicData>
            </a:graphic>
          </wp:anchor>
        </w:drawing>
        <w:t>Brighthouse Life Insurance Company</w:t>
      </w:r>
    </w:p>
    <w:p>
      <w:pPr>
        <w:spacing w:after="0" w:line="158" w:lineRule="exact"/>
        <w:rPr>
          <w:sz w:val="20"/>
          <w:szCs w:val="20"/>
          <w:color w:val="auto"/>
        </w:rPr>
      </w:pPr>
    </w:p>
    <w:p>
      <w:pPr>
        <w:ind w:left="3440"/>
        <w:spacing w:after="0"/>
        <w:rPr>
          <w:sz w:val="20"/>
          <w:szCs w:val="20"/>
          <w:color w:val="auto"/>
        </w:rPr>
      </w:pPr>
      <w:r>
        <w:rPr>
          <w:rFonts w:ascii="Arial" w:cs="Arial" w:eastAsia="Arial" w:hAnsi="Arial"/>
          <w:sz w:val="14"/>
          <w:szCs w:val="14"/>
          <w:color w:val="auto"/>
        </w:rPr>
        <w:t>POWER OF ATTORNEY</w:t>
      </w:r>
    </w:p>
    <w:p>
      <w:pPr>
        <w:spacing w:after="0" w:line="158" w:lineRule="exact"/>
        <w:rPr>
          <w:sz w:val="20"/>
          <w:szCs w:val="20"/>
          <w:color w:val="auto"/>
        </w:rPr>
      </w:pPr>
    </w:p>
    <w:p>
      <w:pPr>
        <w:jc w:val="center"/>
        <w:ind w:right="1779"/>
        <w:spacing w:after="0"/>
        <w:rPr>
          <w:sz w:val="20"/>
          <w:szCs w:val="20"/>
          <w:color w:val="auto"/>
        </w:rPr>
      </w:pPr>
      <w:r>
        <w:rPr>
          <w:rFonts w:ascii="Arial" w:cs="Arial" w:eastAsia="Arial" w:hAnsi="Arial"/>
          <w:sz w:val="14"/>
          <w:szCs w:val="14"/>
          <w:color w:val="auto"/>
        </w:rPr>
        <w:t>Gianna H. Figaro-Sterling</w:t>
      </w:r>
    </w:p>
    <w:p>
      <w:pPr>
        <w:spacing w:after="0" w:line="5" w:lineRule="exact"/>
        <w:rPr>
          <w:sz w:val="20"/>
          <w:szCs w:val="20"/>
          <w:color w:val="auto"/>
        </w:rPr>
      </w:pPr>
    </w:p>
    <w:p>
      <w:pPr>
        <w:jc w:val="center"/>
        <w:ind w:right="1779"/>
        <w:spacing w:after="0"/>
        <w:rPr>
          <w:sz w:val="20"/>
          <w:szCs w:val="20"/>
          <w:color w:val="auto"/>
        </w:rPr>
      </w:pPr>
      <w:r>
        <w:rPr>
          <w:rFonts w:ascii="Arial" w:cs="Arial" w:eastAsia="Arial" w:hAnsi="Arial"/>
          <w:sz w:val="14"/>
          <w:szCs w:val="14"/>
          <w:color w:val="auto"/>
        </w:rPr>
        <w:t>Vice President and Controller</w:t>
      </w:r>
    </w:p>
    <w:p>
      <w:pPr>
        <w:spacing w:after="0" w:line="146" w:lineRule="exact"/>
        <w:rPr>
          <w:sz w:val="20"/>
          <w:szCs w:val="20"/>
          <w:color w:val="auto"/>
        </w:rPr>
      </w:pPr>
    </w:p>
    <w:p>
      <w:pPr>
        <w:ind w:right="1799"/>
        <w:spacing w:after="0" w:line="236" w:lineRule="auto"/>
        <w:rPr>
          <w:sz w:val="20"/>
          <w:szCs w:val="20"/>
          <w:color w:val="auto"/>
        </w:rPr>
      </w:pPr>
      <w:r>
        <w:rPr>
          <w:rFonts w:ascii="Arial" w:cs="Arial" w:eastAsia="Arial" w:hAnsi="Arial"/>
          <w:sz w:val="14"/>
          <w:szCs w:val="14"/>
          <w:color w:val="auto"/>
        </w:rPr>
        <w:t>KNOW ALL MEN BY THESE PRESENTS, that I, Gianna H. Figaro-Sterling, Vice President and Controller of Brighthouse Life Insurance Company, a Delaware company (the “Company”), do hereby constitute and appoint Michele H. Abate, Allie Lin, and Alexander Ulianov, as my attorney-in-fact and agent, each of whom may act individually and none of whom is required to act jointly with any of the others, to sign and file on my behalf and to execute and file any instrument or document required to be filed as part of or in connection with or in any way related to, the Registration Statements and any and all amendments thereto filed by the Company under the Securities Act of 1933 and/or the Investment Company Act of 1940, pertaining to:</w:t>
      </w:r>
    </w:p>
    <w:p>
      <w:pPr>
        <w:spacing w:after="0" w:line="161" w:lineRule="exact"/>
        <w:rPr>
          <w:sz w:val="20"/>
          <w:szCs w:val="20"/>
          <w:color w:val="auto"/>
        </w:rPr>
      </w:pPr>
    </w:p>
    <w:p>
      <w:pPr>
        <w:ind w:left="440" w:right="6299" w:hanging="438"/>
        <w:spacing w:after="0" w:line="196" w:lineRule="auto"/>
        <w:tabs>
          <w:tab w:leader="none" w:pos="173" w:val="left"/>
        </w:tabs>
        <w:numPr>
          <w:ilvl w:val="0"/>
          <w:numId w:val="132"/>
        </w:numPr>
        <w:rPr>
          <w:rFonts w:ascii="Arial" w:cs="Arial" w:eastAsia="Arial" w:hAnsi="Arial"/>
          <w:sz w:val="14"/>
          <w:szCs w:val="14"/>
          <w:color w:val="auto"/>
        </w:rPr>
      </w:pPr>
      <w:r>
        <w:rPr>
          <w:rFonts w:ascii="Arial" w:cs="Arial" w:eastAsia="Arial" w:hAnsi="Arial"/>
          <w:sz w:val="14"/>
          <w:szCs w:val="14"/>
          <w:color w:val="auto"/>
        </w:rPr>
        <w:t>Brighthouse Fund UL for Variable Life Insurance (811-03927) File No. 002-88637 MarketLife</w:t>
      </w:r>
      <w:r>
        <w:rPr>
          <w:rFonts w:ascii="Arial" w:cs="Arial" w:eastAsia="Arial" w:hAnsi="Arial"/>
          <w:sz w:val="20"/>
          <w:szCs w:val="20"/>
          <w:color w:val="auto"/>
          <w:vertAlign w:val="superscript"/>
        </w:rPr>
        <w:t>SM</w:t>
      </w:r>
      <w:r>
        <w:rPr>
          <w:rFonts w:ascii="Arial" w:cs="Arial" w:eastAsia="Arial" w:hAnsi="Arial"/>
          <w:sz w:val="14"/>
          <w:szCs w:val="14"/>
          <w:color w:val="auto"/>
        </w:rPr>
        <w:t xml:space="preserve"> and Invest</w:t>
      </w:r>
    </w:p>
    <w:p>
      <w:pPr>
        <w:spacing w:after="0" w:line="1" w:lineRule="exact"/>
        <w:rPr>
          <w:rFonts w:ascii="Arial" w:cs="Arial" w:eastAsia="Arial" w:hAnsi="Arial"/>
          <w:sz w:val="14"/>
          <w:szCs w:val="14"/>
          <w:color w:val="auto"/>
        </w:rPr>
      </w:pPr>
    </w:p>
    <w:p>
      <w:pPr>
        <w:ind w:left="440"/>
        <w:spacing w:after="0" w:line="189" w:lineRule="auto"/>
        <w:rPr>
          <w:rFonts w:ascii="Arial" w:cs="Arial" w:eastAsia="Arial" w:hAnsi="Arial"/>
          <w:sz w:val="14"/>
          <w:szCs w:val="14"/>
          <w:color w:val="auto"/>
        </w:rPr>
      </w:pPr>
      <w:r>
        <w:rPr>
          <w:rFonts w:ascii="Arial" w:cs="Arial" w:eastAsia="Arial" w:hAnsi="Arial"/>
          <w:sz w:val="12"/>
          <w:szCs w:val="12"/>
          <w:color w:val="auto"/>
        </w:rPr>
        <w:t>File No. 333-152219 MarketLife</w:t>
      </w:r>
      <w:r>
        <w:rPr>
          <w:rFonts w:ascii="Arial" w:cs="Arial" w:eastAsia="Arial" w:hAnsi="Arial"/>
          <w:sz w:val="17"/>
          <w:szCs w:val="17"/>
          <w:color w:val="auto"/>
          <w:vertAlign w:val="superscript"/>
        </w:rPr>
        <w:t>SM</w:t>
      </w:r>
    </w:p>
    <w:p>
      <w:pPr>
        <w:ind w:left="440" w:right="6099"/>
        <w:spacing w:after="0" w:line="247" w:lineRule="auto"/>
        <w:rPr>
          <w:rFonts w:ascii="Arial" w:cs="Arial" w:eastAsia="Arial" w:hAnsi="Arial"/>
          <w:sz w:val="14"/>
          <w:szCs w:val="14"/>
          <w:color w:val="auto"/>
        </w:rPr>
      </w:pPr>
      <w:r>
        <w:rPr>
          <w:rFonts w:ascii="Arial" w:cs="Arial" w:eastAsia="Arial" w:hAnsi="Arial"/>
          <w:sz w:val="13"/>
          <w:szCs w:val="13"/>
          <w:color w:val="auto"/>
        </w:rPr>
        <w:t>File No. 333-56952 Brighthouse Variable Survivorship Life II File No. 333-69771 Brighthouse Variable Survivorship Life</w:t>
      </w:r>
    </w:p>
    <w:p>
      <w:pPr>
        <w:ind w:left="440" w:right="2939"/>
        <w:spacing w:after="0" w:line="229" w:lineRule="auto"/>
        <w:rPr>
          <w:rFonts w:ascii="Arial" w:cs="Arial" w:eastAsia="Arial" w:hAnsi="Arial"/>
          <w:sz w:val="14"/>
          <w:szCs w:val="14"/>
          <w:color w:val="auto"/>
        </w:rPr>
      </w:pPr>
      <w:r>
        <w:rPr>
          <w:rFonts w:ascii="Arial" w:cs="Arial" w:eastAsia="Arial" w:hAnsi="Arial"/>
          <w:sz w:val="14"/>
          <w:szCs w:val="14"/>
          <w:color w:val="auto"/>
        </w:rPr>
        <w:t>File No. 333-96515 Brighthouse Variable Life Accumulator and Brighthouse Variable Life Accumulator - Series 2 File No. 333-96519 Brighthouse Variable Life</w:t>
      </w:r>
    </w:p>
    <w:p>
      <w:pPr>
        <w:spacing w:after="0" w:line="1" w:lineRule="exact"/>
        <w:rPr>
          <w:rFonts w:ascii="Arial" w:cs="Arial" w:eastAsia="Arial" w:hAnsi="Arial"/>
          <w:sz w:val="14"/>
          <w:szCs w:val="14"/>
          <w:color w:val="auto"/>
        </w:rPr>
      </w:pPr>
    </w:p>
    <w:p>
      <w:pPr>
        <w:ind w:left="440" w:right="5499"/>
        <w:spacing w:after="0" w:line="230" w:lineRule="auto"/>
        <w:rPr>
          <w:rFonts w:ascii="Arial" w:cs="Arial" w:eastAsia="Arial" w:hAnsi="Arial"/>
          <w:sz w:val="14"/>
          <w:szCs w:val="14"/>
          <w:color w:val="auto"/>
        </w:rPr>
      </w:pPr>
      <w:r>
        <w:rPr>
          <w:rFonts w:ascii="Arial" w:cs="Arial" w:eastAsia="Arial" w:hAnsi="Arial"/>
          <w:sz w:val="14"/>
          <w:szCs w:val="14"/>
          <w:color w:val="auto"/>
        </w:rPr>
        <w:t>File No. 333-113109 Brighthouse Variable Life Accumulator - Series 3 File No. 333-152216 Portfolio Architect Life</w:t>
      </w:r>
    </w:p>
    <w:p>
      <w:pPr>
        <w:ind w:left="440"/>
        <w:spacing w:after="0"/>
        <w:rPr>
          <w:rFonts w:ascii="Arial" w:cs="Arial" w:eastAsia="Arial" w:hAnsi="Arial"/>
          <w:sz w:val="14"/>
          <w:szCs w:val="14"/>
          <w:color w:val="auto"/>
        </w:rPr>
      </w:pPr>
      <w:r>
        <w:rPr>
          <w:rFonts w:ascii="Arial" w:cs="Arial" w:eastAsia="Arial" w:hAnsi="Arial"/>
          <w:sz w:val="14"/>
          <w:szCs w:val="14"/>
          <w:color w:val="auto"/>
        </w:rPr>
        <w:t>File No. 333-152217 VintageLife,</w:t>
      </w:r>
    </w:p>
    <w:p>
      <w:pPr>
        <w:spacing w:after="0" w:line="166" w:lineRule="exact"/>
        <w:rPr>
          <w:rFonts w:ascii="Arial" w:cs="Arial" w:eastAsia="Arial" w:hAnsi="Arial"/>
          <w:sz w:val="14"/>
          <w:szCs w:val="14"/>
          <w:color w:val="auto"/>
        </w:rPr>
      </w:pPr>
    </w:p>
    <w:p>
      <w:pPr>
        <w:ind w:left="160" w:hanging="158"/>
        <w:spacing w:after="0"/>
        <w:tabs>
          <w:tab w:leader="none" w:pos="160" w:val="left"/>
        </w:tabs>
        <w:numPr>
          <w:ilvl w:val="0"/>
          <w:numId w:val="132"/>
        </w:numPr>
        <w:rPr>
          <w:rFonts w:ascii="Arial" w:cs="Arial" w:eastAsia="Arial" w:hAnsi="Arial"/>
          <w:sz w:val="14"/>
          <w:szCs w:val="14"/>
          <w:color w:val="auto"/>
        </w:rPr>
      </w:pPr>
      <w:r>
        <w:rPr>
          <w:rFonts w:ascii="Arial" w:cs="Arial" w:eastAsia="Arial" w:hAnsi="Arial"/>
          <w:sz w:val="14"/>
          <w:szCs w:val="14"/>
          <w:color w:val="auto"/>
        </w:rPr>
        <w:t>Brighthouse Fund UL III for Variable Life Insurance (811-09215)</w:t>
      </w:r>
    </w:p>
    <w:p>
      <w:pPr>
        <w:ind w:left="440"/>
        <w:spacing w:after="0" w:line="237" w:lineRule="auto"/>
        <w:rPr>
          <w:sz w:val="20"/>
          <w:szCs w:val="20"/>
          <w:color w:val="auto"/>
        </w:rPr>
      </w:pPr>
      <w:r>
        <w:rPr>
          <w:rFonts w:ascii="Arial" w:cs="Arial" w:eastAsia="Arial" w:hAnsi="Arial"/>
          <w:sz w:val="14"/>
          <w:szCs w:val="14"/>
          <w:color w:val="auto"/>
        </w:rPr>
        <w:t>File No. 333-71349 Corporate Owned VUL Series 1</w:t>
      </w:r>
    </w:p>
    <w:p>
      <w:pPr>
        <w:ind w:left="440"/>
        <w:spacing w:after="0" w:line="230" w:lineRule="auto"/>
        <w:rPr>
          <w:sz w:val="20"/>
          <w:szCs w:val="20"/>
          <w:color w:val="auto"/>
        </w:rPr>
      </w:pPr>
      <w:r>
        <w:rPr>
          <w:rFonts w:ascii="Arial" w:cs="Arial" w:eastAsia="Arial" w:hAnsi="Arial"/>
          <w:sz w:val="14"/>
          <w:szCs w:val="14"/>
          <w:color w:val="auto"/>
        </w:rPr>
        <w:t>File No. 333-94779 Corporate Owned VUL 2000 and Corporate Owned VUL III</w:t>
      </w:r>
    </w:p>
    <w:p>
      <w:pPr>
        <w:ind w:left="440"/>
        <w:spacing w:after="0" w:line="230" w:lineRule="auto"/>
        <w:rPr>
          <w:sz w:val="20"/>
          <w:szCs w:val="20"/>
          <w:color w:val="auto"/>
        </w:rPr>
      </w:pPr>
      <w:r>
        <w:rPr>
          <w:rFonts w:ascii="Arial" w:cs="Arial" w:eastAsia="Arial" w:hAnsi="Arial"/>
          <w:sz w:val="14"/>
          <w:szCs w:val="14"/>
          <w:color w:val="auto"/>
        </w:rPr>
        <w:t>File No. 333-105335 Corporate Select Policy</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4"/>
          <w:szCs w:val="14"/>
          <w:color w:val="auto"/>
        </w:rPr>
        <w:t>File No. 333-113533 Corporate Owned VUL IV,</w:t>
      </w:r>
    </w:p>
    <w:p>
      <w:pPr>
        <w:spacing w:after="0" w:line="166" w:lineRule="exact"/>
        <w:rPr>
          <w:sz w:val="20"/>
          <w:szCs w:val="20"/>
          <w:color w:val="auto"/>
        </w:rPr>
      </w:pPr>
    </w:p>
    <w:p>
      <w:pPr>
        <w:spacing w:after="0"/>
        <w:tabs>
          <w:tab w:leader="none" w:pos="14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3"/>
          <w:szCs w:val="13"/>
          <w:color w:val="auto"/>
        </w:rPr>
        <w:t>Brighthouse Separate Account A (811-03365)</w:t>
      </w:r>
    </w:p>
    <w:p>
      <w:pPr>
        <w:ind w:left="440"/>
        <w:spacing w:after="0" w:line="237" w:lineRule="auto"/>
        <w:rPr>
          <w:sz w:val="20"/>
          <w:szCs w:val="20"/>
          <w:color w:val="auto"/>
        </w:rPr>
      </w:pPr>
      <w:r>
        <w:rPr>
          <w:rFonts w:ascii="Arial" w:cs="Arial" w:eastAsia="Arial" w:hAnsi="Arial"/>
          <w:sz w:val="14"/>
          <w:szCs w:val="14"/>
          <w:color w:val="auto"/>
        </w:rPr>
        <w:t>File No. 333-200231 Series VA (offered between October 7, 2011 and May 1, 2016)</w:t>
      </w:r>
    </w:p>
    <w:p>
      <w:pPr>
        <w:spacing w:after="0" w:line="1" w:lineRule="exact"/>
        <w:rPr>
          <w:sz w:val="20"/>
          <w:szCs w:val="20"/>
          <w:color w:val="auto"/>
        </w:rPr>
      </w:pPr>
    </w:p>
    <w:p>
      <w:pPr>
        <w:ind w:left="580" w:right="1899" w:hanging="155"/>
        <w:spacing w:after="0" w:line="230" w:lineRule="auto"/>
        <w:rPr>
          <w:sz w:val="20"/>
          <w:szCs w:val="20"/>
          <w:color w:val="auto"/>
        </w:rPr>
      </w:pPr>
      <w:r>
        <w:rPr>
          <w:rFonts w:ascii="Arial" w:cs="Arial" w:eastAsia="Arial" w:hAnsi="Arial"/>
          <w:sz w:val="14"/>
          <w:szCs w:val="14"/>
          <w:color w:val="auto"/>
        </w:rPr>
        <w:t>File No. 333-200232 Series S (offered between October 7, 2011 and May 1, 2016) and Series S-L Share Option (offered between October 7, 2011 and May 1, 2016)</w:t>
      </w:r>
    </w:p>
    <w:p>
      <w:pPr>
        <w:ind w:left="440"/>
        <w:spacing w:after="0" w:line="230" w:lineRule="auto"/>
        <w:rPr>
          <w:sz w:val="20"/>
          <w:szCs w:val="20"/>
          <w:color w:val="auto"/>
        </w:rPr>
      </w:pPr>
      <w:r>
        <w:rPr>
          <w:rFonts w:ascii="Arial" w:cs="Arial" w:eastAsia="Arial" w:hAnsi="Arial"/>
          <w:sz w:val="14"/>
          <w:szCs w:val="14"/>
          <w:color w:val="auto"/>
        </w:rPr>
        <w:t>File No. 333-200233 Series VA-4 (offered between October 7, 2011 and May 1, 2016)</w:t>
      </w:r>
    </w:p>
    <w:p>
      <w:pPr>
        <w:ind w:left="440"/>
        <w:spacing w:after="0" w:line="230" w:lineRule="auto"/>
        <w:rPr>
          <w:sz w:val="20"/>
          <w:szCs w:val="20"/>
          <w:color w:val="auto"/>
        </w:rPr>
      </w:pPr>
      <w:r>
        <w:rPr>
          <w:rFonts w:ascii="Arial" w:cs="Arial" w:eastAsia="Arial" w:hAnsi="Arial"/>
          <w:sz w:val="14"/>
          <w:szCs w:val="14"/>
          <w:color w:val="auto"/>
        </w:rPr>
        <w:t>File No. 333-200234 Series O (offered between April 30, 2012 and July 19, 2015)</w:t>
      </w:r>
    </w:p>
    <w:p>
      <w:pPr>
        <w:ind w:left="440"/>
        <w:spacing w:after="0" w:line="230" w:lineRule="auto"/>
        <w:rPr>
          <w:sz w:val="20"/>
          <w:szCs w:val="20"/>
          <w:color w:val="auto"/>
        </w:rPr>
      </w:pPr>
      <w:r>
        <w:rPr>
          <w:rFonts w:ascii="Arial" w:cs="Arial" w:eastAsia="Arial" w:hAnsi="Arial"/>
          <w:sz w:val="14"/>
          <w:szCs w:val="14"/>
          <w:color w:val="auto"/>
        </w:rPr>
        <w:t>File No. 333-200236 Series L - 4 Year (offered on and after April 29, 2013)</w:t>
      </w:r>
    </w:p>
    <w:p>
      <w:pPr>
        <w:ind w:left="440"/>
        <w:spacing w:after="0" w:line="230" w:lineRule="auto"/>
        <w:rPr>
          <w:sz w:val="20"/>
          <w:szCs w:val="20"/>
          <w:color w:val="auto"/>
        </w:rPr>
      </w:pPr>
      <w:r>
        <w:rPr>
          <w:rFonts w:ascii="Arial" w:cs="Arial" w:eastAsia="Arial" w:hAnsi="Arial"/>
          <w:sz w:val="14"/>
          <w:szCs w:val="14"/>
          <w:color w:val="auto"/>
        </w:rPr>
        <w:t>File No. 333-200237 PrimElite IV</w:t>
      </w:r>
    </w:p>
    <w:p>
      <w:pPr>
        <w:ind w:left="440"/>
        <w:spacing w:after="0" w:line="230" w:lineRule="auto"/>
        <w:rPr>
          <w:sz w:val="20"/>
          <w:szCs w:val="20"/>
          <w:color w:val="auto"/>
        </w:rPr>
      </w:pPr>
      <w:r>
        <w:rPr>
          <w:rFonts w:ascii="Arial" w:cs="Arial" w:eastAsia="Arial" w:hAnsi="Arial"/>
          <w:sz w:val="14"/>
          <w:szCs w:val="14"/>
          <w:color w:val="auto"/>
        </w:rPr>
        <w:t>File No. 333-200238 Marquis Portfolios (offered on and after April 30, 2012)</w:t>
      </w:r>
    </w:p>
    <w:p>
      <w:pPr>
        <w:ind w:left="440"/>
        <w:spacing w:after="0" w:line="229" w:lineRule="auto"/>
        <w:rPr>
          <w:sz w:val="20"/>
          <w:szCs w:val="20"/>
          <w:color w:val="auto"/>
        </w:rPr>
      </w:pPr>
      <w:r>
        <w:rPr>
          <w:rFonts w:ascii="Arial" w:cs="Arial" w:eastAsia="Arial" w:hAnsi="Arial"/>
          <w:sz w:val="14"/>
          <w:szCs w:val="14"/>
          <w:color w:val="auto"/>
        </w:rPr>
        <w:t>File No. 333-200239 Brighthouse Growth and Income</w:t>
      </w:r>
    </w:p>
    <w:p>
      <w:pPr>
        <w:ind w:left="440"/>
        <w:spacing w:after="0" w:line="231" w:lineRule="auto"/>
        <w:rPr>
          <w:sz w:val="20"/>
          <w:szCs w:val="20"/>
          <w:color w:val="auto"/>
        </w:rPr>
      </w:pPr>
      <w:r>
        <w:rPr>
          <w:rFonts w:ascii="Arial" w:cs="Arial" w:eastAsia="Arial" w:hAnsi="Arial"/>
          <w:sz w:val="14"/>
          <w:szCs w:val="14"/>
          <w:color w:val="auto"/>
        </w:rPr>
        <w:t>File No. 333-200240 Group Flexible Payment Variable Annuity (Flexible Bonus/Retirement Companion/Smart Choice)</w:t>
      </w:r>
    </w:p>
    <w:p>
      <w:pPr>
        <w:ind w:left="440"/>
        <w:spacing w:after="0" w:line="230" w:lineRule="auto"/>
        <w:rPr>
          <w:sz w:val="20"/>
          <w:szCs w:val="20"/>
          <w:color w:val="auto"/>
        </w:rPr>
      </w:pPr>
      <w:r>
        <w:rPr>
          <w:rFonts w:ascii="Arial" w:cs="Arial" w:eastAsia="Arial" w:hAnsi="Arial"/>
          <w:sz w:val="14"/>
          <w:szCs w:val="14"/>
          <w:color w:val="auto"/>
        </w:rPr>
        <w:t>File No. 333-200243 PrimElite III</w:t>
      </w:r>
    </w:p>
    <w:p>
      <w:pPr>
        <w:ind w:left="440"/>
        <w:spacing w:after="0" w:line="189" w:lineRule="auto"/>
        <w:rPr>
          <w:sz w:val="20"/>
          <w:szCs w:val="20"/>
          <w:color w:val="auto"/>
        </w:rPr>
      </w:pPr>
      <w:r>
        <w:rPr>
          <w:rFonts w:ascii="Arial" w:cs="Arial" w:eastAsia="Arial" w:hAnsi="Arial"/>
          <w:sz w:val="12"/>
          <w:szCs w:val="12"/>
          <w:color w:val="auto"/>
        </w:rPr>
        <w:t>File No. 333-200246 Brighthouse Simple Solutions</w:t>
      </w:r>
      <w:r>
        <w:rPr>
          <w:rFonts w:ascii="Arial" w:cs="Arial" w:eastAsia="Arial" w:hAnsi="Arial"/>
          <w:sz w:val="17"/>
          <w:szCs w:val="17"/>
          <w:color w:val="auto"/>
          <w:vertAlign w:val="superscript"/>
        </w:rPr>
        <w:t>SM</w:t>
      </w:r>
    </w:p>
    <w:p>
      <w:pPr>
        <w:ind w:left="440"/>
        <w:spacing w:after="0" w:line="230" w:lineRule="auto"/>
        <w:rPr>
          <w:sz w:val="20"/>
          <w:szCs w:val="20"/>
          <w:color w:val="auto"/>
        </w:rPr>
      </w:pPr>
      <w:r>
        <w:rPr>
          <w:rFonts w:ascii="Arial" w:cs="Arial" w:eastAsia="Arial" w:hAnsi="Arial"/>
          <w:sz w:val="14"/>
          <w:szCs w:val="14"/>
          <w:color w:val="auto"/>
        </w:rPr>
        <w:t>File No. 333-200250 Marquis Portfolios (offered between November 7, 2005 and April 30, 2012)</w:t>
      </w:r>
    </w:p>
    <w:p>
      <w:pPr>
        <w:ind w:left="440"/>
        <w:spacing w:after="0" w:line="230" w:lineRule="auto"/>
        <w:rPr>
          <w:sz w:val="20"/>
          <w:szCs w:val="20"/>
          <w:color w:val="auto"/>
        </w:rPr>
      </w:pPr>
      <w:r>
        <w:rPr>
          <w:rFonts w:ascii="Arial" w:cs="Arial" w:eastAsia="Arial" w:hAnsi="Arial"/>
          <w:sz w:val="14"/>
          <w:szCs w:val="14"/>
          <w:color w:val="auto"/>
        </w:rPr>
        <w:t>File No. 333-200253 Series XC</w:t>
      </w:r>
    </w:p>
    <w:p>
      <w:pPr>
        <w:ind w:left="440"/>
        <w:spacing w:after="0" w:line="230" w:lineRule="auto"/>
        <w:rPr>
          <w:sz w:val="20"/>
          <w:szCs w:val="20"/>
          <w:color w:val="auto"/>
        </w:rPr>
      </w:pPr>
      <w:r>
        <w:rPr>
          <w:rFonts w:ascii="Arial" w:cs="Arial" w:eastAsia="Arial" w:hAnsi="Arial"/>
          <w:sz w:val="14"/>
          <w:szCs w:val="14"/>
          <w:color w:val="auto"/>
        </w:rPr>
        <w:t>File No. 333-200256 Series VA (offered between March 22, 2001 and October 7, 2011)</w:t>
      </w:r>
    </w:p>
    <w:p>
      <w:pPr>
        <w:ind w:left="440"/>
        <w:spacing w:after="0" w:line="230" w:lineRule="auto"/>
        <w:rPr>
          <w:sz w:val="20"/>
          <w:szCs w:val="20"/>
          <w:color w:val="auto"/>
        </w:rPr>
      </w:pPr>
      <w:r>
        <w:rPr>
          <w:rFonts w:ascii="Arial" w:cs="Arial" w:eastAsia="Arial" w:hAnsi="Arial"/>
          <w:sz w:val="14"/>
          <w:szCs w:val="14"/>
          <w:color w:val="auto"/>
        </w:rPr>
        <w:t>File No. 333-200259 Series L and Series L - 4 Year (offered between November 22, 2004 and October 7, 2011)</w:t>
      </w:r>
    </w:p>
    <w:p>
      <w:pPr>
        <w:ind w:left="440"/>
        <w:spacing w:after="0" w:line="230" w:lineRule="auto"/>
        <w:rPr>
          <w:sz w:val="20"/>
          <w:szCs w:val="20"/>
          <w:color w:val="auto"/>
        </w:rPr>
      </w:pPr>
      <w:r>
        <w:rPr>
          <w:rFonts w:ascii="Arial" w:cs="Arial" w:eastAsia="Arial" w:hAnsi="Arial"/>
          <w:sz w:val="14"/>
          <w:szCs w:val="14"/>
          <w:color w:val="auto"/>
        </w:rPr>
        <w:t>File No. 333-200261 Series C (offered between September 4, 2001 and October 7, 2011)</w:t>
      </w:r>
    </w:p>
    <w:p>
      <w:pPr>
        <w:ind w:left="440"/>
        <w:spacing w:after="0" w:line="230" w:lineRule="auto"/>
        <w:rPr>
          <w:sz w:val="20"/>
          <w:szCs w:val="20"/>
          <w:color w:val="auto"/>
        </w:rPr>
      </w:pPr>
      <w:r>
        <w:rPr>
          <w:rFonts w:ascii="Arial" w:cs="Arial" w:eastAsia="Arial" w:hAnsi="Arial"/>
          <w:sz w:val="14"/>
          <w:szCs w:val="14"/>
          <w:color w:val="auto"/>
        </w:rPr>
        <w:t>File No. 333-200263 Series XTRA</w:t>
      </w:r>
    </w:p>
    <w:p>
      <w:pPr>
        <w:ind w:left="440"/>
        <w:spacing w:after="0" w:line="230" w:lineRule="auto"/>
        <w:rPr>
          <w:sz w:val="20"/>
          <w:szCs w:val="20"/>
          <w:color w:val="auto"/>
        </w:rPr>
      </w:pPr>
      <w:r>
        <w:rPr>
          <w:rFonts w:ascii="Arial" w:cs="Arial" w:eastAsia="Arial" w:hAnsi="Arial"/>
          <w:sz w:val="14"/>
          <w:szCs w:val="14"/>
          <w:color w:val="auto"/>
        </w:rPr>
        <w:t>File No. 333-200265 Series S and Series S-L Share Option (offered between April 30, 2007 and October 7, 2011)</w:t>
      </w:r>
    </w:p>
    <w:p>
      <w:pPr>
        <w:ind w:left="440"/>
        <w:spacing w:after="0" w:line="230" w:lineRule="auto"/>
        <w:rPr>
          <w:sz w:val="20"/>
          <w:szCs w:val="20"/>
          <w:color w:val="auto"/>
        </w:rPr>
      </w:pPr>
      <w:r>
        <w:rPr>
          <w:rFonts w:ascii="Arial" w:cs="Arial" w:eastAsia="Arial" w:hAnsi="Arial"/>
          <w:sz w:val="14"/>
          <w:szCs w:val="14"/>
          <w:color w:val="auto"/>
        </w:rPr>
        <w:t>File No. 333-200268 Series L - 4 Year (offered between October 7, 2011 and April 28, 2013)</w:t>
      </w:r>
    </w:p>
    <w:p>
      <w:pPr>
        <w:ind w:left="440"/>
        <w:spacing w:after="0" w:line="230" w:lineRule="auto"/>
        <w:rPr>
          <w:sz w:val="20"/>
          <w:szCs w:val="20"/>
          <w:color w:val="auto"/>
        </w:rPr>
      </w:pPr>
      <w:r>
        <w:rPr>
          <w:rFonts w:ascii="Arial" w:cs="Arial" w:eastAsia="Arial" w:hAnsi="Arial"/>
          <w:sz w:val="14"/>
          <w:szCs w:val="14"/>
          <w:color w:val="auto"/>
        </w:rPr>
        <w:t>File No. 333-200270 Group Annuity SF 101</w:t>
      </w:r>
    </w:p>
    <w:p>
      <w:pPr>
        <w:ind w:left="440"/>
        <w:spacing w:after="0" w:line="230" w:lineRule="auto"/>
        <w:rPr>
          <w:sz w:val="20"/>
          <w:szCs w:val="20"/>
          <w:color w:val="auto"/>
        </w:rPr>
      </w:pPr>
      <w:r>
        <w:rPr>
          <w:rFonts w:ascii="Arial" w:cs="Arial" w:eastAsia="Arial" w:hAnsi="Arial"/>
          <w:sz w:val="14"/>
          <w:szCs w:val="14"/>
          <w:color w:val="auto"/>
        </w:rPr>
        <w:t>File No. 333-200272 Ultimate Annuity FSL 224</w:t>
      </w:r>
    </w:p>
    <w:p>
      <w:pPr>
        <w:ind w:left="440"/>
        <w:spacing w:after="0" w:line="230" w:lineRule="auto"/>
        <w:rPr>
          <w:sz w:val="20"/>
          <w:szCs w:val="20"/>
          <w:color w:val="auto"/>
        </w:rPr>
      </w:pPr>
      <w:r>
        <w:rPr>
          <w:rFonts w:ascii="Arial" w:cs="Arial" w:eastAsia="Arial" w:hAnsi="Arial"/>
          <w:sz w:val="14"/>
          <w:szCs w:val="14"/>
          <w:color w:val="auto"/>
        </w:rPr>
        <w:t>File No. 333-200275 Foresight SF 137</w:t>
      </w:r>
    </w:p>
    <w:p>
      <w:pPr>
        <w:ind w:left="440"/>
        <w:spacing w:after="0" w:line="230" w:lineRule="auto"/>
        <w:rPr>
          <w:sz w:val="20"/>
          <w:szCs w:val="20"/>
          <w:color w:val="auto"/>
        </w:rPr>
      </w:pPr>
      <w:r>
        <w:rPr>
          <w:rFonts w:ascii="Arial" w:cs="Arial" w:eastAsia="Arial" w:hAnsi="Arial"/>
          <w:sz w:val="14"/>
          <w:szCs w:val="14"/>
          <w:color w:val="auto"/>
        </w:rPr>
        <w:t>File No. 333-200277 SecurAnnuity (CLICO) 224/ SF 1700</w:t>
      </w:r>
    </w:p>
    <w:p>
      <w:pPr>
        <w:ind w:left="440"/>
        <w:spacing w:after="0" w:line="230" w:lineRule="auto"/>
        <w:rPr>
          <w:sz w:val="20"/>
          <w:szCs w:val="20"/>
          <w:color w:val="auto"/>
        </w:rPr>
      </w:pPr>
      <w:r>
        <w:rPr>
          <w:rFonts w:ascii="Arial" w:cs="Arial" w:eastAsia="Arial" w:hAnsi="Arial"/>
          <w:sz w:val="14"/>
          <w:szCs w:val="14"/>
          <w:color w:val="auto"/>
        </w:rPr>
        <w:t>File No. 333-200278 Group VA SF 234 (Texas)</w:t>
      </w:r>
    </w:p>
    <w:p>
      <w:pPr>
        <w:ind w:left="440"/>
        <w:spacing w:after="0" w:line="230" w:lineRule="auto"/>
        <w:rPr>
          <w:sz w:val="20"/>
          <w:szCs w:val="20"/>
          <w:color w:val="auto"/>
        </w:rPr>
      </w:pPr>
      <w:r>
        <w:rPr>
          <w:rFonts w:ascii="Arial" w:cs="Arial" w:eastAsia="Arial" w:hAnsi="Arial"/>
          <w:sz w:val="14"/>
          <w:szCs w:val="14"/>
          <w:color w:val="auto"/>
        </w:rPr>
        <w:t>File No. 333-200280 Sunshine SF 236 FL</w:t>
      </w:r>
    </w:p>
    <w:p>
      <w:pPr>
        <w:ind w:left="440"/>
        <w:spacing w:after="0" w:line="230" w:lineRule="auto"/>
        <w:rPr>
          <w:sz w:val="20"/>
          <w:szCs w:val="20"/>
          <w:color w:val="auto"/>
        </w:rPr>
      </w:pPr>
      <w:r>
        <w:rPr>
          <w:rFonts w:ascii="Arial" w:cs="Arial" w:eastAsia="Arial" w:hAnsi="Arial"/>
          <w:sz w:val="14"/>
          <w:szCs w:val="14"/>
          <w:color w:val="auto"/>
        </w:rPr>
        <w:t>File No. 333-200281 Flexible Value SF 230</w:t>
      </w:r>
    </w:p>
    <w:p>
      <w:pPr>
        <w:ind w:left="440" w:right="3199"/>
        <w:spacing w:after="0"/>
        <w:rPr>
          <w:sz w:val="20"/>
          <w:szCs w:val="20"/>
          <w:color w:val="auto"/>
        </w:rPr>
      </w:pPr>
      <w:r>
        <w:rPr>
          <w:rFonts w:ascii="Arial" w:cs="Arial" w:eastAsia="Arial" w:hAnsi="Arial"/>
          <w:sz w:val="14"/>
          <w:szCs w:val="14"/>
          <w:color w:val="auto"/>
        </w:rPr>
        <w:t>File No. 333-200282 Investors Choice Annuity, Capital Strategist Annuity, Imprint Annuity and Strive Annuity File No. 333-200283 Protected Equity Portfolio (PEP)</w:t>
      </w:r>
    </w:p>
    <w:p>
      <w:pPr>
        <w:sectPr>
          <w:pgSz w:w="11900" w:h="16838" w:orient="portrait"/>
          <w:cols w:equalWidth="0" w:num="1">
            <w:col w:w="10159"/>
          </w:cols>
          <w:pgMar w:left="300" w:top="240" w:right="1440" w:bottom="1440" w:gutter="0" w:footer="0" w:header="0"/>
        </w:sectPr>
      </w:pPr>
    </w:p>
    <w:bookmarkStart w:id="128" w:name="page129"/>
    <w:bookmarkEnd w:id="128"/>
    <w:p>
      <w:pPr>
        <w:ind w:left="44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0">
                      <a:extLst>
                        <a:ext uri="{28A0092B-C50C-407E-A947-70E740481C1C}"/>
                      </a:extLst>
                    </a:blip>
                    <a:srcRect/>
                    <a:stretch>
                      <a:fillRect/>
                    </a:stretch>
                  </pic:blipFill>
                  <pic:spPr bwMode="auto">
                    <a:xfrm>
                      <a:off x="0" y="0"/>
                      <a:ext cx="7203440" cy="32385"/>
                    </a:xfrm>
                    <a:prstGeom prst="rect">
                      <a:avLst/>
                    </a:prstGeom>
                    <a:noFill/>
                  </pic:spPr>
                </pic:pic>
              </a:graphicData>
            </a:graphic>
          </wp:anchor>
        </w:drawing>
        <w:t>File No. 333-200284 Vintage L and Vintage XC</w:t>
      </w:r>
    </w:p>
    <w:p>
      <w:pPr>
        <w:ind w:left="440"/>
        <w:spacing w:after="0" w:line="237" w:lineRule="auto"/>
        <w:rPr>
          <w:sz w:val="20"/>
          <w:szCs w:val="20"/>
          <w:color w:val="auto"/>
        </w:rPr>
      </w:pPr>
      <w:r>
        <w:rPr>
          <w:rFonts w:ascii="Arial" w:cs="Arial" w:eastAsia="Arial" w:hAnsi="Arial"/>
          <w:sz w:val="14"/>
          <w:szCs w:val="14"/>
          <w:color w:val="auto"/>
        </w:rPr>
        <w:t>File No. 333-200285 Series XTRA 6</w:t>
      </w:r>
    </w:p>
    <w:p>
      <w:pPr>
        <w:ind w:left="440"/>
        <w:spacing w:after="0" w:line="230" w:lineRule="auto"/>
        <w:rPr>
          <w:sz w:val="20"/>
          <w:szCs w:val="20"/>
          <w:color w:val="auto"/>
        </w:rPr>
      </w:pPr>
      <w:r>
        <w:rPr>
          <w:rFonts w:ascii="Arial" w:cs="Arial" w:eastAsia="Arial" w:hAnsi="Arial"/>
          <w:sz w:val="14"/>
          <w:szCs w:val="14"/>
          <w:color w:val="auto"/>
        </w:rPr>
        <w:t>File No. 333-200286 Series VA - 4 (offered between May 1, 2011 and October 7, 2011)</w:t>
      </w:r>
    </w:p>
    <w:p>
      <w:pPr>
        <w:ind w:left="440"/>
        <w:spacing w:after="0" w:line="230" w:lineRule="auto"/>
        <w:rPr>
          <w:sz w:val="20"/>
          <w:szCs w:val="20"/>
          <w:color w:val="auto"/>
        </w:rPr>
      </w:pPr>
      <w:r>
        <w:rPr>
          <w:rFonts w:ascii="Arial" w:cs="Arial" w:eastAsia="Arial" w:hAnsi="Arial"/>
          <w:sz w:val="14"/>
          <w:szCs w:val="14"/>
          <w:color w:val="auto"/>
        </w:rPr>
        <w:t>File No. 333-200287 Series C (offered on and after October 7, 2011)</w:t>
      </w:r>
    </w:p>
    <w:p>
      <w:pPr>
        <w:ind w:left="440"/>
        <w:spacing w:after="0" w:line="230" w:lineRule="auto"/>
        <w:rPr>
          <w:sz w:val="20"/>
          <w:szCs w:val="20"/>
          <w:color w:val="auto"/>
        </w:rPr>
      </w:pPr>
      <w:r>
        <w:rPr>
          <w:rFonts w:ascii="Arial" w:cs="Arial" w:eastAsia="Arial" w:hAnsi="Arial"/>
          <w:sz w:val="14"/>
          <w:szCs w:val="14"/>
          <w:color w:val="auto"/>
        </w:rPr>
        <w:t>File No. 333-200288 Pioneer PRISM</w:t>
      </w:r>
    </w:p>
    <w:p>
      <w:pPr>
        <w:ind w:left="440"/>
        <w:spacing w:after="0" w:line="230" w:lineRule="auto"/>
        <w:rPr>
          <w:sz w:val="20"/>
          <w:szCs w:val="20"/>
          <w:color w:val="auto"/>
        </w:rPr>
      </w:pPr>
      <w:r>
        <w:rPr>
          <w:rFonts w:ascii="Arial" w:cs="Arial" w:eastAsia="Arial" w:hAnsi="Arial"/>
          <w:sz w:val="14"/>
          <w:szCs w:val="14"/>
          <w:color w:val="auto"/>
        </w:rPr>
        <w:t>File No. 333-200289 Pioneer PRISM L</w:t>
      </w:r>
    </w:p>
    <w:p>
      <w:pPr>
        <w:ind w:left="440"/>
        <w:spacing w:after="0" w:line="230" w:lineRule="auto"/>
        <w:rPr>
          <w:sz w:val="20"/>
          <w:szCs w:val="20"/>
          <w:color w:val="auto"/>
        </w:rPr>
      </w:pPr>
      <w:r>
        <w:rPr>
          <w:rFonts w:ascii="Arial" w:cs="Arial" w:eastAsia="Arial" w:hAnsi="Arial"/>
          <w:sz w:val="14"/>
          <w:szCs w:val="14"/>
          <w:color w:val="auto"/>
        </w:rPr>
        <w:t>File No. 333-200290 Pioneer PRISM XC</w:t>
      </w:r>
    </w:p>
    <w:p>
      <w:pPr>
        <w:spacing w:after="0" w:line="1" w:lineRule="exact"/>
        <w:rPr>
          <w:sz w:val="20"/>
          <w:szCs w:val="20"/>
          <w:color w:val="auto"/>
        </w:rPr>
      </w:pPr>
    </w:p>
    <w:p>
      <w:pPr>
        <w:ind w:left="580" w:right="2279" w:hanging="155"/>
        <w:spacing w:after="0" w:line="214" w:lineRule="auto"/>
        <w:rPr>
          <w:sz w:val="20"/>
          <w:szCs w:val="20"/>
          <w:color w:val="auto"/>
        </w:rPr>
      </w:pPr>
      <w:r>
        <w:rPr>
          <w:rFonts w:ascii="Arial" w:cs="Arial" w:eastAsia="Arial" w:hAnsi="Arial"/>
          <w:sz w:val="12"/>
          <w:szCs w:val="12"/>
          <w:color w:val="auto"/>
        </w:rPr>
        <w:t>File No. 333-200323 Brighthouse Investment Portfolio Architect</w:t>
      </w:r>
      <w:r>
        <w:rPr>
          <w:rFonts w:ascii="Arial" w:cs="Arial" w:eastAsia="Arial" w:hAnsi="Arial"/>
          <w:sz w:val="18"/>
          <w:szCs w:val="18"/>
          <w:color w:val="auto"/>
          <w:vertAlign w:val="superscript"/>
        </w:rPr>
        <w:t>SM</w:t>
      </w:r>
      <w:r>
        <w:rPr>
          <w:rFonts w:ascii="Arial" w:cs="Arial" w:eastAsia="Arial" w:hAnsi="Arial"/>
          <w:sz w:val="12"/>
          <w:szCs w:val="12"/>
          <w:color w:val="auto"/>
        </w:rPr>
        <w:t xml:space="preserve"> - Standard Version and Brighthouse Investment Portfolio Architect</w:t>
      </w:r>
      <w:r>
        <w:rPr>
          <w:rFonts w:ascii="Arial" w:cs="Arial" w:eastAsia="Arial" w:hAnsi="Arial"/>
          <w:sz w:val="18"/>
          <w:szCs w:val="18"/>
          <w:color w:val="auto"/>
          <w:vertAlign w:val="superscript"/>
        </w:rPr>
        <w:t>SM</w:t>
      </w:r>
      <w:r>
        <w:rPr>
          <w:rFonts w:ascii="Arial" w:cs="Arial" w:eastAsia="Arial" w:hAnsi="Arial"/>
          <w:sz w:val="12"/>
          <w:szCs w:val="12"/>
          <w:color w:val="auto"/>
        </w:rPr>
        <w:t xml:space="preserve"> - C Share Option</w:t>
      </w:r>
    </w:p>
    <w:p>
      <w:pPr>
        <w:ind w:left="440"/>
        <w:spacing w:after="0" w:line="231" w:lineRule="auto"/>
        <w:rPr>
          <w:sz w:val="20"/>
          <w:szCs w:val="20"/>
          <w:color w:val="auto"/>
        </w:rPr>
      </w:pPr>
      <w:r>
        <w:rPr>
          <w:rFonts w:ascii="Arial" w:cs="Arial" w:eastAsia="Arial" w:hAnsi="Arial"/>
          <w:sz w:val="14"/>
          <w:szCs w:val="14"/>
          <w:color w:val="auto"/>
        </w:rPr>
        <w:t>File No. 333-203748 Series O (offered on and after July 20, 2015)</w:t>
      </w:r>
    </w:p>
    <w:p>
      <w:pPr>
        <w:ind w:left="440"/>
        <w:spacing w:after="0" w:line="230" w:lineRule="auto"/>
        <w:rPr>
          <w:sz w:val="20"/>
          <w:szCs w:val="20"/>
          <w:color w:val="auto"/>
        </w:rPr>
      </w:pPr>
      <w:r>
        <w:rPr>
          <w:rFonts w:ascii="Arial" w:cs="Arial" w:eastAsia="Arial" w:hAnsi="Arial"/>
          <w:sz w:val="14"/>
          <w:szCs w:val="14"/>
          <w:color w:val="auto"/>
        </w:rPr>
        <w:t>File No. 333-209053 Series VA (offered on and after May 2, 2016)</w:t>
      </w:r>
    </w:p>
    <w:p>
      <w:pPr>
        <w:ind w:left="440"/>
        <w:spacing w:after="0" w:line="230" w:lineRule="auto"/>
        <w:rPr>
          <w:sz w:val="20"/>
          <w:szCs w:val="20"/>
          <w:color w:val="auto"/>
        </w:rPr>
      </w:pPr>
      <w:r>
        <w:rPr>
          <w:rFonts w:ascii="Arial" w:cs="Arial" w:eastAsia="Arial" w:hAnsi="Arial"/>
          <w:sz w:val="14"/>
          <w:szCs w:val="14"/>
          <w:color w:val="auto"/>
        </w:rPr>
        <w:t>File No. 333-209054 Series VA- 4 (offered on and after May 2, 2016)</w:t>
      </w:r>
    </w:p>
    <w:p>
      <w:pPr>
        <w:ind w:left="440"/>
        <w:spacing w:after="0"/>
        <w:rPr>
          <w:sz w:val="20"/>
          <w:szCs w:val="20"/>
          <w:color w:val="auto"/>
        </w:rPr>
      </w:pPr>
      <w:r>
        <w:rPr>
          <w:rFonts w:ascii="Arial" w:cs="Arial" w:eastAsia="Arial" w:hAnsi="Arial"/>
          <w:sz w:val="13"/>
          <w:szCs w:val="13"/>
          <w:color w:val="auto"/>
        </w:rPr>
        <w:t>File No. 333-209055 Series S (offered on and after May 2, 2016) and Series S-L Share Option (offered on and after May 2, 2016)</w:t>
      </w:r>
    </w:p>
    <w:p>
      <w:pPr>
        <w:spacing w:after="0" w:line="5" w:lineRule="exact"/>
        <w:rPr>
          <w:sz w:val="20"/>
          <w:szCs w:val="20"/>
          <w:color w:val="auto"/>
        </w:rPr>
      </w:pPr>
    </w:p>
    <w:p>
      <w:pPr>
        <w:ind w:left="440"/>
        <w:spacing w:after="0"/>
        <w:rPr>
          <w:sz w:val="20"/>
          <w:szCs w:val="20"/>
          <w:color w:val="auto"/>
        </w:rPr>
      </w:pPr>
      <w:r>
        <w:rPr>
          <w:rFonts w:ascii="Arial" w:cs="Arial" w:eastAsia="Arial" w:hAnsi="Arial"/>
          <w:sz w:val="14"/>
          <w:szCs w:val="14"/>
          <w:color w:val="auto"/>
        </w:rPr>
        <w:t>File No. 333-209411 Brighthouse Prime Options,</w:t>
      </w:r>
    </w:p>
    <w:p>
      <w:pPr>
        <w:spacing w:after="0" w:line="166" w:lineRule="exact"/>
        <w:rPr>
          <w:sz w:val="20"/>
          <w:szCs w:val="20"/>
          <w:color w:val="auto"/>
        </w:rPr>
      </w:pPr>
    </w:p>
    <w:p>
      <w:pPr>
        <w:spacing w:after="0"/>
        <w:tabs>
          <w:tab w:leader="none" w:pos="14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3"/>
          <w:szCs w:val="13"/>
          <w:color w:val="auto"/>
        </w:rPr>
        <w:t>Brighthouse Separate Account Eleven for Variable Annuities (811-21262)</w:t>
      </w:r>
    </w:p>
    <w:p>
      <w:pPr>
        <w:spacing w:after="0" w:line="5" w:lineRule="exact"/>
        <w:rPr>
          <w:sz w:val="20"/>
          <w:szCs w:val="20"/>
          <w:color w:val="auto"/>
        </w:rPr>
      </w:pPr>
    </w:p>
    <w:p>
      <w:pPr>
        <w:ind w:left="580" w:right="2059" w:hanging="155"/>
        <w:spacing w:after="0" w:line="230" w:lineRule="auto"/>
        <w:rPr>
          <w:sz w:val="20"/>
          <w:szCs w:val="20"/>
          <w:color w:val="auto"/>
        </w:rPr>
      </w:pPr>
      <w:r>
        <w:rPr>
          <w:rFonts w:ascii="Arial" w:cs="Arial" w:eastAsia="Arial" w:hAnsi="Arial"/>
          <w:sz w:val="14"/>
          <w:szCs w:val="14"/>
          <w:color w:val="auto"/>
        </w:rPr>
        <w:t>File Nos. 333-101778 and 333-152234 Pioneer AnnuiStar Plus Annuity, Portfolio Architect Plus Annuity and Scudder Advocate Rewards Annuity</w:t>
      </w:r>
    </w:p>
    <w:p>
      <w:pPr>
        <w:ind w:left="440"/>
        <w:spacing w:after="0" w:line="230" w:lineRule="auto"/>
        <w:rPr>
          <w:sz w:val="20"/>
          <w:szCs w:val="20"/>
          <w:color w:val="auto"/>
        </w:rPr>
      </w:pPr>
      <w:r>
        <w:rPr>
          <w:rFonts w:ascii="Arial" w:cs="Arial" w:eastAsia="Arial" w:hAnsi="Arial"/>
          <w:sz w:val="14"/>
          <w:szCs w:val="14"/>
          <w:color w:val="auto"/>
        </w:rPr>
        <w:t>File No. 333-152189 Universal Annuity</w:t>
      </w:r>
    </w:p>
    <w:p>
      <w:pPr>
        <w:ind w:left="440"/>
        <w:spacing w:after="0" w:line="230" w:lineRule="auto"/>
        <w:rPr>
          <w:sz w:val="20"/>
          <w:szCs w:val="20"/>
          <w:color w:val="auto"/>
        </w:rPr>
      </w:pPr>
      <w:r>
        <w:rPr>
          <w:rFonts w:ascii="Arial" w:cs="Arial" w:eastAsia="Arial" w:hAnsi="Arial"/>
          <w:sz w:val="14"/>
          <w:szCs w:val="14"/>
          <w:color w:val="auto"/>
        </w:rPr>
        <w:t>File No. 333-152190 Universal Select Annuity</w:t>
      </w:r>
    </w:p>
    <w:p>
      <w:pPr>
        <w:ind w:left="440"/>
        <w:spacing w:after="0" w:line="230" w:lineRule="auto"/>
        <w:rPr>
          <w:sz w:val="20"/>
          <w:szCs w:val="20"/>
          <w:color w:val="auto"/>
        </w:rPr>
      </w:pPr>
      <w:r>
        <w:rPr>
          <w:rFonts w:ascii="Arial" w:cs="Arial" w:eastAsia="Arial" w:hAnsi="Arial"/>
          <w:sz w:val="14"/>
          <w:szCs w:val="14"/>
          <w:color w:val="auto"/>
        </w:rPr>
        <w:t>File No. 333-152191 Universal Annuity Advantage</w:t>
      </w:r>
    </w:p>
    <w:p>
      <w:pPr>
        <w:ind w:left="440"/>
        <w:spacing w:after="0" w:line="230" w:lineRule="auto"/>
        <w:rPr>
          <w:sz w:val="20"/>
          <w:szCs w:val="20"/>
          <w:color w:val="auto"/>
        </w:rPr>
      </w:pPr>
      <w:r>
        <w:rPr>
          <w:rFonts w:ascii="Arial" w:cs="Arial" w:eastAsia="Arial" w:hAnsi="Arial"/>
          <w:sz w:val="14"/>
          <w:szCs w:val="14"/>
          <w:color w:val="auto"/>
        </w:rPr>
        <w:t>File Nos. 333-152192 and 333-152193 Brighthouse Retirement Account</w:t>
      </w:r>
    </w:p>
    <w:p>
      <w:pPr>
        <w:ind w:left="440"/>
        <w:spacing w:after="0" w:line="230" w:lineRule="auto"/>
        <w:rPr>
          <w:sz w:val="20"/>
          <w:szCs w:val="20"/>
          <w:color w:val="auto"/>
        </w:rPr>
      </w:pPr>
      <w:r>
        <w:rPr>
          <w:rFonts w:ascii="Arial" w:cs="Arial" w:eastAsia="Arial" w:hAnsi="Arial"/>
          <w:sz w:val="14"/>
          <w:szCs w:val="14"/>
          <w:color w:val="auto"/>
        </w:rPr>
        <w:t>File No. 333-152194 Gold Track and Gold Track Select</w:t>
      </w:r>
    </w:p>
    <w:p>
      <w:pPr>
        <w:ind w:left="440" w:right="3219"/>
        <w:spacing w:after="0" w:line="230" w:lineRule="auto"/>
        <w:rPr>
          <w:sz w:val="20"/>
          <w:szCs w:val="20"/>
          <w:color w:val="auto"/>
        </w:rPr>
      </w:pPr>
      <w:r>
        <w:rPr>
          <w:rFonts w:ascii="Arial" w:cs="Arial" w:eastAsia="Arial" w:hAnsi="Arial"/>
          <w:sz w:val="14"/>
          <w:szCs w:val="14"/>
          <w:color w:val="auto"/>
        </w:rPr>
        <w:t>File Nos. 333-152197 and 333-152198 Brighthouse Access Annuity and Brighthouse Access Select Annuity File Nos. 333-152199 and 333-152200 Vintage Annuity File Nos. 333-152201 and 333-152202 Index Annuity</w:t>
      </w:r>
    </w:p>
    <w:p>
      <w:pPr>
        <w:ind w:left="580" w:right="2119" w:hanging="155"/>
        <w:spacing w:after="0" w:line="229" w:lineRule="auto"/>
        <w:rPr>
          <w:sz w:val="20"/>
          <w:szCs w:val="20"/>
          <w:color w:val="auto"/>
        </w:rPr>
      </w:pPr>
      <w:r>
        <w:rPr>
          <w:rFonts w:ascii="Arial" w:cs="Arial" w:eastAsia="Arial" w:hAnsi="Arial"/>
          <w:sz w:val="14"/>
          <w:szCs w:val="14"/>
          <w:color w:val="auto"/>
        </w:rPr>
        <w:t>File Nos. 333-152232 and 333-152233 Portfolio Architect Annuity, Portfolio Architect Select Annuity, Premier Advisers Annuity (Class I) and Premier Advisers Annuity (Class II)</w:t>
      </w:r>
    </w:p>
    <w:p>
      <w:pPr>
        <w:spacing w:after="0" w:line="1" w:lineRule="exact"/>
        <w:rPr>
          <w:sz w:val="20"/>
          <w:szCs w:val="20"/>
          <w:color w:val="auto"/>
        </w:rPr>
      </w:pPr>
    </w:p>
    <w:p>
      <w:pPr>
        <w:ind w:left="580" w:right="2199" w:hanging="155"/>
        <w:spacing w:after="0" w:line="230" w:lineRule="auto"/>
        <w:rPr>
          <w:sz w:val="20"/>
          <w:szCs w:val="20"/>
          <w:color w:val="auto"/>
        </w:rPr>
      </w:pPr>
      <w:r>
        <w:rPr>
          <w:rFonts w:ascii="Arial" w:cs="Arial" w:eastAsia="Arial" w:hAnsi="Arial"/>
          <w:sz w:val="14"/>
          <w:szCs w:val="14"/>
          <w:color w:val="auto"/>
        </w:rPr>
        <w:t>File Nos. 333-152235 and 333-152236 Pioneer AnnuiStar Annuity, Portfolio Architect II Annuity and Pioneer AnnuiStar Value Annuity</w:t>
      </w:r>
    </w:p>
    <w:p>
      <w:pPr>
        <w:ind w:left="580" w:right="1839" w:hanging="155"/>
        <w:spacing w:after="0" w:line="230" w:lineRule="auto"/>
        <w:rPr>
          <w:sz w:val="20"/>
          <w:szCs w:val="20"/>
          <w:color w:val="auto"/>
        </w:rPr>
      </w:pPr>
      <w:r>
        <w:rPr>
          <w:rFonts w:ascii="Arial" w:cs="Arial" w:eastAsia="Arial" w:hAnsi="Arial"/>
          <w:sz w:val="14"/>
          <w:szCs w:val="14"/>
          <w:color w:val="auto"/>
        </w:rPr>
        <w:t>File Nos. 333-152237 and 333-152238 Premier Advisers II Annuity, Premier Advisers III (Series I) and Premier Advisers III Annuity (Series II)</w:t>
      </w:r>
    </w:p>
    <w:p>
      <w:pPr>
        <w:ind w:left="580" w:right="1779" w:hanging="155"/>
        <w:spacing w:after="0" w:line="230" w:lineRule="auto"/>
        <w:rPr>
          <w:sz w:val="20"/>
          <w:szCs w:val="20"/>
          <w:color w:val="auto"/>
        </w:rPr>
      </w:pPr>
      <w:r>
        <w:rPr>
          <w:rFonts w:ascii="Arial" w:cs="Arial" w:eastAsia="Arial" w:hAnsi="Arial"/>
          <w:sz w:val="14"/>
          <w:szCs w:val="14"/>
          <w:color w:val="auto"/>
        </w:rPr>
        <w:t>File Nos. 333-152239 and 333-152240 Premier Advisers AssetManager Annuity, Premier Advisers L Annuity (Series I) and Premier Advisers L Annuity (Series II)</w:t>
      </w:r>
    </w:p>
    <w:p>
      <w:pPr>
        <w:ind w:left="580" w:right="1799" w:hanging="155"/>
        <w:spacing w:after="0" w:line="229" w:lineRule="auto"/>
        <w:rPr>
          <w:sz w:val="20"/>
          <w:szCs w:val="20"/>
          <w:color w:val="auto"/>
        </w:rPr>
      </w:pPr>
      <w:r>
        <w:rPr>
          <w:rFonts w:ascii="Arial" w:cs="Arial" w:eastAsia="Arial" w:hAnsi="Arial"/>
          <w:sz w:val="14"/>
          <w:szCs w:val="14"/>
          <w:color w:val="auto"/>
        </w:rPr>
        <w:t>File Nos. 333-152255 and 333-152265 Vintage XTRA Annuity, Portfolio Architect XTRA Annuity and Vintage XTRA Annuity (Series II)</w:t>
      </w:r>
    </w:p>
    <w:p>
      <w:pPr>
        <w:spacing w:after="0" w:line="1" w:lineRule="exact"/>
        <w:rPr>
          <w:sz w:val="20"/>
          <w:szCs w:val="20"/>
          <w:color w:val="auto"/>
        </w:rPr>
      </w:pPr>
    </w:p>
    <w:p>
      <w:pPr>
        <w:ind w:left="580" w:right="2119" w:hanging="155"/>
        <w:spacing w:after="0" w:line="230" w:lineRule="auto"/>
        <w:rPr>
          <w:sz w:val="20"/>
          <w:szCs w:val="20"/>
          <w:color w:val="auto"/>
        </w:rPr>
      </w:pPr>
      <w:r>
        <w:rPr>
          <w:rFonts w:ascii="Arial" w:cs="Arial" w:eastAsia="Arial" w:hAnsi="Arial"/>
          <w:sz w:val="14"/>
          <w:szCs w:val="14"/>
          <w:color w:val="auto"/>
        </w:rPr>
        <w:t>File Nos. 333-152256 and 333-152292 Vintage 3 Annuity, Portfolio Architect 3 Annuity, Portfolio Architect L Annuity, Vintage L Annuity and Pioneer AnnuiStar Flex Annuity</w:t>
      </w:r>
    </w:p>
    <w:p>
      <w:pPr>
        <w:ind w:left="440"/>
        <w:spacing w:after="0" w:line="230" w:lineRule="auto"/>
        <w:rPr>
          <w:sz w:val="20"/>
          <w:szCs w:val="20"/>
          <w:color w:val="auto"/>
        </w:rPr>
      </w:pPr>
      <w:r>
        <w:rPr>
          <w:rFonts w:ascii="Arial" w:cs="Arial" w:eastAsia="Arial" w:hAnsi="Arial"/>
          <w:sz w:val="14"/>
          <w:szCs w:val="14"/>
          <w:color w:val="auto"/>
        </w:rPr>
        <w:t>File Nos. 333-152258 and 333-152261 PrimElite Annuity</w:t>
      </w:r>
    </w:p>
    <w:p>
      <w:pPr>
        <w:ind w:left="440"/>
        <w:spacing w:after="0" w:line="230" w:lineRule="auto"/>
        <w:rPr>
          <w:sz w:val="20"/>
          <w:szCs w:val="20"/>
          <w:color w:val="auto"/>
        </w:rPr>
      </w:pPr>
      <w:r>
        <w:rPr>
          <w:rFonts w:ascii="Arial" w:cs="Arial" w:eastAsia="Arial" w:hAnsi="Arial"/>
          <w:sz w:val="14"/>
          <w:szCs w:val="14"/>
          <w:color w:val="auto"/>
        </w:rPr>
        <w:t>File Nos. 333-152259 and 333-152262 PrimElite II Annuity</w:t>
      </w:r>
    </w:p>
    <w:p>
      <w:pPr>
        <w:ind w:left="440"/>
        <w:spacing w:after="0" w:line="230" w:lineRule="auto"/>
        <w:rPr>
          <w:sz w:val="20"/>
          <w:szCs w:val="20"/>
          <w:color w:val="auto"/>
        </w:rPr>
      </w:pPr>
      <w:r>
        <w:rPr>
          <w:rFonts w:ascii="Arial" w:cs="Arial" w:eastAsia="Arial" w:hAnsi="Arial"/>
          <w:sz w:val="14"/>
          <w:szCs w:val="14"/>
          <w:color w:val="auto"/>
        </w:rPr>
        <w:t>File Nos. 333-152260 and 333-152266 Protected Equity Portfolio Annuity</w:t>
      </w:r>
    </w:p>
    <w:p>
      <w:pPr>
        <w:ind w:left="440"/>
        <w:spacing w:after="0" w:line="230" w:lineRule="auto"/>
        <w:rPr>
          <w:sz w:val="20"/>
          <w:szCs w:val="20"/>
          <w:color w:val="auto"/>
        </w:rPr>
      </w:pPr>
      <w:r>
        <w:rPr>
          <w:rFonts w:ascii="Arial" w:cs="Arial" w:eastAsia="Arial" w:hAnsi="Arial"/>
          <w:sz w:val="14"/>
          <w:szCs w:val="14"/>
          <w:color w:val="auto"/>
        </w:rPr>
        <w:t>File Nos. 333-152263 and 333-152269 Marquis Portfolios</w:t>
      </w:r>
    </w:p>
    <w:p>
      <w:pPr>
        <w:ind w:left="580" w:right="2259" w:hanging="155"/>
        <w:spacing w:after="0" w:line="230" w:lineRule="auto"/>
        <w:rPr>
          <w:sz w:val="20"/>
          <w:szCs w:val="20"/>
          <w:color w:val="auto"/>
        </w:rPr>
      </w:pPr>
      <w:r>
        <w:rPr>
          <w:rFonts w:ascii="Arial" w:cs="Arial" w:eastAsia="Arial" w:hAnsi="Arial"/>
          <w:sz w:val="14"/>
          <w:szCs w:val="14"/>
          <w:color w:val="auto"/>
        </w:rPr>
        <w:t>File Nos. 333-152264 and 333-152270 Vintage Access, Portfolio Architect Access, Scudder Advocate Advisor and Scudder Advocate Advisor - ST1 Annuity</w:t>
      </w:r>
    </w:p>
    <w:p>
      <w:pPr>
        <w:ind w:left="440"/>
        <w:spacing w:after="0" w:line="230" w:lineRule="auto"/>
        <w:rPr>
          <w:sz w:val="20"/>
          <w:szCs w:val="20"/>
          <w:color w:val="auto"/>
        </w:rPr>
      </w:pPr>
      <w:r>
        <w:rPr>
          <w:rFonts w:ascii="Arial" w:cs="Arial" w:eastAsia="Arial" w:hAnsi="Arial"/>
          <w:sz w:val="14"/>
          <w:szCs w:val="14"/>
          <w:color w:val="auto"/>
        </w:rPr>
        <w:t>File Nos. 333-152267 and 333-152268 Vintage II Annuity and Vintage II Annuity (Series II)</w:t>
      </w:r>
    </w:p>
    <w:p>
      <w:pPr>
        <w:ind w:left="440"/>
        <w:spacing w:after="0" w:line="230" w:lineRule="auto"/>
        <w:rPr>
          <w:sz w:val="20"/>
          <w:szCs w:val="20"/>
          <w:color w:val="auto"/>
        </w:rPr>
      </w:pPr>
      <w:r>
        <w:rPr>
          <w:rFonts w:ascii="Arial" w:cs="Arial" w:eastAsia="Arial" w:hAnsi="Arial"/>
          <w:sz w:val="14"/>
          <w:szCs w:val="14"/>
          <w:color w:val="auto"/>
        </w:rPr>
        <w:t>File No. 333-197658 Brighthouse Accumulation Annuity</w:t>
      </w:r>
    </w:p>
    <w:p>
      <w:pPr>
        <w:ind w:left="440"/>
        <w:spacing w:after="0"/>
        <w:rPr>
          <w:sz w:val="20"/>
          <w:szCs w:val="20"/>
          <w:color w:val="auto"/>
        </w:rPr>
      </w:pPr>
      <w:r>
        <w:rPr>
          <w:rFonts w:ascii="Arial" w:cs="Arial" w:eastAsia="Arial" w:hAnsi="Arial"/>
          <w:sz w:val="14"/>
          <w:szCs w:val="14"/>
          <w:color w:val="auto"/>
        </w:rPr>
        <w:t>File No. 333-208464 Brighthouse Premier Variable Annuity</w:t>
      </w:r>
      <w:r>
        <w:rPr>
          <w:rFonts w:ascii="Arial" w:cs="Arial" w:eastAsia="Arial" w:hAnsi="Arial"/>
          <w:sz w:val="20"/>
          <w:szCs w:val="20"/>
          <w:color w:val="auto"/>
          <w:vertAlign w:val="superscript"/>
        </w:rPr>
        <w:t>SM</w:t>
      </w:r>
      <w:r>
        <w:rPr>
          <w:rFonts w:ascii="Arial" w:cs="Arial" w:eastAsia="Arial" w:hAnsi="Arial"/>
          <w:sz w:val="14"/>
          <w:szCs w:val="14"/>
          <w:color w:val="auto"/>
        </w:rPr>
        <w:t>,</w:t>
      </w:r>
    </w:p>
    <w:p>
      <w:pPr>
        <w:spacing w:after="0" w:line="97" w:lineRule="exact"/>
        <w:rPr>
          <w:sz w:val="20"/>
          <w:szCs w:val="20"/>
          <w:color w:val="auto"/>
        </w:rPr>
      </w:pPr>
    </w:p>
    <w:p>
      <w:pPr>
        <w:ind w:left="440" w:right="6159" w:hanging="438"/>
        <w:spacing w:after="0" w:line="272" w:lineRule="auto"/>
        <w:tabs>
          <w:tab w:leader="none" w:pos="173" w:val="left"/>
        </w:tabs>
        <w:numPr>
          <w:ilvl w:val="0"/>
          <w:numId w:val="133"/>
        </w:numPr>
        <w:rPr>
          <w:rFonts w:ascii="Arial" w:cs="Arial" w:eastAsia="Arial" w:hAnsi="Arial"/>
          <w:sz w:val="13"/>
          <w:szCs w:val="13"/>
          <w:color w:val="auto"/>
        </w:rPr>
      </w:pPr>
      <w:r>
        <w:rPr>
          <w:rFonts w:ascii="Arial" w:cs="Arial" w:eastAsia="Arial" w:hAnsi="Arial"/>
          <w:sz w:val="13"/>
          <w:szCs w:val="13"/>
          <w:color w:val="auto"/>
        </w:rPr>
        <w:t>Brighthouse Separate Account QPN for Variable Annuities File No. 333-156867 Unallocated Group Variable Annuity File No. 333-156911 Brighthouse Retirement Perspectives,</w:t>
      </w:r>
    </w:p>
    <w:p>
      <w:pPr>
        <w:spacing w:after="0" w:line="139" w:lineRule="exact"/>
        <w:rPr>
          <w:rFonts w:ascii="Arial" w:cs="Arial" w:eastAsia="Arial" w:hAnsi="Arial"/>
          <w:sz w:val="13"/>
          <w:szCs w:val="13"/>
          <w:color w:val="auto"/>
        </w:rPr>
      </w:pPr>
    </w:p>
    <w:p>
      <w:pPr>
        <w:ind w:left="160" w:hanging="158"/>
        <w:spacing w:after="0"/>
        <w:tabs>
          <w:tab w:leader="none" w:pos="160" w:val="left"/>
        </w:tabs>
        <w:numPr>
          <w:ilvl w:val="0"/>
          <w:numId w:val="133"/>
        </w:numPr>
        <w:rPr>
          <w:rFonts w:ascii="Arial" w:cs="Arial" w:eastAsia="Arial" w:hAnsi="Arial"/>
          <w:sz w:val="14"/>
          <w:szCs w:val="14"/>
          <w:color w:val="auto"/>
        </w:rPr>
      </w:pPr>
      <w:r>
        <w:rPr>
          <w:rFonts w:ascii="Arial" w:cs="Arial" w:eastAsia="Arial" w:hAnsi="Arial"/>
          <w:sz w:val="14"/>
          <w:szCs w:val="14"/>
          <w:color w:val="auto"/>
        </w:rPr>
        <w:t>Brighthouse Variable Annuity Account C (811-05200)</w:t>
      </w:r>
    </w:p>
    <w:p>
      <w:pPr>
        <w:ind w:left="440"/>
        <w:spacing w:after="0" w:line="237" w:lineRule="auto"/>
        <w:rPr>
          <w:sz w:val="20"/>
          <w:szCs w:val="20"/>
          <w:color w:val="auto"/>
        </w:rPr>
      </w:pPr>
      <w:r>
        <w:rPr>
          <w:rFonts w:ascii="Arial" w:cs="Arial" w:eastAsia="Arial" w:hAnsi="Arial"/>
          <w:sz w:val="14"/>
          <w:szCs w:val="14"/>
          <w:color w:val="auto"/>
        </w:rPr>
        <w:t>File No. 333-200244 Class XC</w:t>
      </w:r>
    </w:p>
    <w:p>
      <w:pPr>
        <w:ind w:left="440"/>
        <w:spacing w:after="0" w:line="230" w:lineRule="auto"/>
        <w:rPr>
          <w:sz w:val="20"/>
          <w:szCs w:val="20"/>
          <w:color w:val="auto"/>
        </w:rPr>
      </w:pPr>
      <w:r>
        <w:rPr>
          <w:rFonts w:ascii="Arial" w:cs="Arial" w:eastAsia="Arial" w:hAnsi="Arial"/>
          <w:sz w:val="14"/>
          <w:szCs w:val="14"/>
          <w:color w:val="auto"/>
        </w:rPr>
        <w:t>File No. 333-200247 Class VA, Class AA and Class B</w:t>
      </w:r>
    </w:p>
    <w:p>
      <w:pPr>
        <w:ind w:left="440"/>
        <w:spacing w:after="0" w:line="230" w:lineRule="auto"/>
        <w:rPr>
          <w:sz w:val="20"/>
          <w:szCs w:val="20"/>
          <w:color w:val="auto"/>
        </w:rPr>
      </w:pPr>
      <w:r>
        <w:rPr>
          <w:rFonts w:ascii="Arial" w:cs="Arial" w:eastAsia="Arial" w:hAnsi="Arial"/>
          <w:sz w:val="14"/>
          <w:szCs w:val="14"/>
          <w:color w:val="auto"/>
        </w:rPr>
        <w:t>File No. 333-200249 Class L and Class L - 4 Year</w:t>
      </w:r>
    </w:p>
    <w:p>
      <w:pPr>
        <w:ind w:left="440"/>
        <w:spacing w:after="0" w:line="230" w:lineRule="auto"/>
        <w:rPr>
          <w:sz w:val="20"/>
          <w:szCs w:val="20"/>
          <w:color w:val="auto"/>
        </w:rPr>
      </w:pPr>
      <w:r>
        <w:rPr>
          <w:rFonts w:ascii="Arial" w:cs="Arial" w:eastAsia="Arial" w:hAnsi="Arial"/>
          <w:sz w:val="14"/>
          <w:szCs w:val="14"/>
          <w:color w:val="auto"/>
        </w:rPr>
        <w:t>File No. 333-200252 Class A</w:t>
      </w:r>
    </w:p>
    <w:p>
      <w:pPr>
        <w:ind w:left="440"/>
        <w:spacing w:after="0" w:line="230" w:lineRule="auto"/>
        <w:rPr>
          <w:sz w:val="20"/>
          <w:szCs w:val="20"/>
          <w:color w:val="auto"/>
        </w:rPr>
      </w:pPr>
      <w:r>
        <w:rPr>
          <w:rFonts w:ascii="Arial" w:cs="Arial" w:eastAsia="Arial" w:hAnsi="Arial"/>
          <w:sz w:val="14"/>
          <w:szCs w:val="14"/>
          <w:color w:val="auto"/>
        </w:rPr>
        <w:t>File No. 333-200255 COVA VA, Firstar Summit VA, Premier Advisor VA, Destiny Select VA and Prevail VA</w:t>
      </w:r>
    </w:p>
    <w:p>
      <w:pPr>
        <w:ind w:left="440"/>
        <w:spacing w:after="0" w:line="230" w:lineRule="auto"/>
        <w:rPr>
          <w:sz w:val="20"/>
          <w:szCs w:val="20"/>
          <w:color w:val="auto"/>
        </w:rPr>
      </w:pPr>
      <w:r>
        <w:rPr>
          <w:rFonts w:ascii="Arial" w:cs="Arial" w:eastAsia="Arial" w:hAnsi="Arial"/>
          <w:sz w:val="14"/>
          <w:szCs w:val="14"/>
          <w:color w:val="auto"/>
        </w:rPr>
        <w:t>File No. 333-200258 COVA VA SPDA</w:t>
      </w:r>
    </w:p>
    <w:p>
      <w:pPr>
        <w:ind w:left="440"/>
        <w:spacing w:after="0" w:line="230" w:lineRule="auto"/>
        <w:rPr>
          <w:sz w:val="20"/>
          <w:szCs w:val="20"/>
          <w:color w:val="auto"/>
        </w:rPr>
      </w:pPr>
      <w:r>
        <w:rPr>
          <w:rFonts w:ascii="Arial" w:cs="Arial" w:eastAsia="Arial" w:hAnsi="Arial"/>
          <w:sz w:val="14"/>
          <w:szCs w:val="14"/>
          <w:color w:val="auto"/>
        </w:rPr>
        <w:t>File No. 333-200260 COVA Series A</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4"/>
          <w:szCs w:val="14"/>
          <w:color w:val="auto"/>
        </w:rPr>
        <w:t>File No. 333-200262 Navigator-Select/Custom-Select/Russell-Select</w:t>
      </w:r>
    </w:p>
    <w:p>
      <w:pPr>
        <w:sectPr>
          <w:pgSz w:w="11900" w:h="16838" w:orient="portrait"/>
          <w:cols w:equalWidth="0" w:num="1">
            <w:col w:w="10159"/>
          </w:cols>
          <w:pgMar w:left="300" w:top="240" w:right="1440" w:bottom="1440" w:gutter="0" w:footer="0" w:header="0"/>
        </w:sectPr>
      </w:pPr>
    </w:p>
    <w:bookmarkStart w:id="129" w:name="page130"/>
    <w:bookmarkEnd w:id="129"/>
    <w:p>
      <w:pPr>
        <w:ind w:left="44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1">
                      <a:extLst>
                        <a:ext uri="{28A0092B-C50C-407E-A947-70E740481C1C}"/>
                      </a:extLst>
                    </a:blip>
                    <a:srcRect/>
                    <a:stretch>
                      <a:fillRect/>
                    </a:stretch>
                  </pic:blipFill>
                  <pic:spPr bwMode="auto">
                    <a:xfrm>
                      <a:off x="0" y="0"/>
                      <a:ext cx="7203440" cy="32385"/>
                    </a:xfrm>
                    <a:prstGeom prst="rect">
                      <a:avLst/>
                    </a:prstGeom>
                    <a:noFill/>
                  </pic:spPr>
                </pic:pic>
              </a:graphicData>
            </a:graphic>
          </wp:anchor>
        </w:drawing>
        <w:t>File No. 333-200264 Navigator-Select/Custom-Select/Russell-Select (CA)</w:t>
      </w:r>
    </w:p>
    <w:p>
      <w:pPr>
        <w:ind w:left="440"/>
        <w:spacing w:after="0" w:line="237" w:lineRule="auto"/>
        <w:rPr>
          <w:sz w:val="20"/>
          <w:szCs w:val="20"/>
          <w:color w:val="auto"/>
        </w:rPr>
      </w:pPr>
      <w:r>
        <w:rPr>
          <w:rFonts w:ascii="Arial" w:cs="Arial" w:eastAsia="Arial" w:hAnsi="Arial"/>
          <w:sz w:val="14"/>
          <w:szCs w:val="14"/>
          <w:color w:val="auto"/>
        </w:rPr>
        <w:t>File No. 333-200266 COVA VA and Premier Advisor (CA)</w:t>
      </w:r>
    </w:p>
    <w:p>
      <w:pPr>
        <w:ind w:left="440"/>
        <w:spacing w:after="0" w:line="230" w:lineRule="auto"/>
        <w:rPr>
          <w:sz w:val="20"/>
          <w:szCs w:val="20"/>
          <w:color w:val="auto"/>
        </w:rPr>
      </w:pPr>
      <w:r>
        <w:rPr>
          <w:rFonts w:ascii="Arial" w:cs="Arial" w:eastAsia="Arial" w:hAnsi="Arial"/>
          <w:sz w:val="14"/>
          <w:szCs w:val="14"/>
          <w:color w:val="auto"/>
        </w:rPr>
        <w:t>File No. 333-200267 COVA Series A (CA)</w:t>
      </w:r>
    </w:p>
    <w:p>
      <w:pPr>
        <w:ind w:left="440"/>
        <w:spacing w:after="0" w:line="230" w:lineRule="auto"/>
        <w:rPr>
          <w:sz w:val="20"/>
          <w:szCs w:val="20"/>
          <w:color w:val="auto"/>
        </w:rPr>
      </w:pPr>
      <w:r>
        <w:rPr>
          <w:rFonts w:ascii="Arial" w:cs="Arial" w:eastAsia="Arial" w:hAnsi="Arial"/>
          <w:sz w:val="14"/>
          <w:szCs w:val="14"/>
          <w:color w:val="auto"/>
        </w:rPr>
        <w:t>File No. 333-200269 Class C</w:t>
      </w:r>
    </w:p>
    <w:p>
      <w:pPr>
        <w:ind w:left="440"/>
        <w:spacing w:after="0" w:line="230" w:lineRule="auto"/>
        <w:rPr>
          <w:sz w:val="20"/>
          <w:szCs w:val="20"/>
          <w:color w:val="auto"/>
        </w:rPr>
      </w:pPr>
      <w:r>
        <w:rPr>
          <w:rFonts w:ascii="Arial" w:cs="Arial" w:eastAsia="Arial" w:hAnsi="Arial"/>
          <w:sz w:val="14"/>
          <w:szCs w:val="14"/>
          <w:color w:val="auto"/>
        </w:rPr>
        <w:t>File No. 333-200271 Class VA (CA), Class AA (CA), and Class B (CA)</w:t>
      </w:r>
    </w:p>
    <w:p>
      <w:pPr>
        <w:ind w:left="440"/>
        <w:spacing w:after="0" w:line="230" w:lineRule="auto"/>
        <w:rPr>
          <w:sz w:val="20"/>
          <w:szCs w:val="20"/>
          <w:color w:val="auto"/>
        </w:rPr>
      </w:pPr>
      <w:r>
        <w:rPr>
          <w:rFonts w:ascii="Arial" w:cs="Arial" w:eastAsia="Arial" w:hAnsi="Arial"/>
          <w:sz w:val="14"/>
          <w:szCs w:val="14"/>
          <w:color w:val="auto"/>
        </w:rPr>
        <w:t>File No. 333-200273 Class XC (CA)</w:t>
      </w:r>
    </w:p>
    <w:p>
      <w:pPr>
        <w:ind w:left="440"/>
        <w:spacing w:after="0" w:line="230" w:lineRule="auto"/>
        <w:rPr>
          <w:sz w:val="20"/>
          <w:szCs w:val="20"/>
          <w:color w:val="auto"/>
        </w:rPr>
      </w:pPr>
      <w:r>
        <w:rPr>
          <w:rFonts w:ascii="Arial" w:cs="Arial" w:eastAsia="Arial" w:hAnsi="Arial"/>
          <w:sz w:val="14"/>
          <w:szCs w:val="14"/>
          <w:color w:val="auto"/>
        </w:rPr>
        <w:t>File No. 333-200274 Class L (CA) and Class L - 4 Year (CA)</w:t>
      </w:r>
    </w:p>
    <w:p>
      <w:pPr>
        <w:ind w:left="440"/>
        <w:spacing w:after="0" w:line="230" w:lineRule="auto"/>
        <w:rPr>
          <w:sz w:val="20"/>
          <w:szCs w:val="20"/>
          <w:color w:val="auto"/>
        </w:rPr>
      </w:pPr>
      <w:r>
        <w:rPr>
          <w:rFonts w:ascii="Arial" w:cs="Arial" w:eastAsia="Arial" w:hAnsi="Arial"/>
          <w:sz w:val="14"/>
          <w:szCs w:val="14"/>
          <w:color w:val="auto"/>
        </w:rPr>
        <w:t>File No. 333-200276 Class A (CA)</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4"/>
          <w:szCs w:val="14"/>
          <w:color w:val="auto"/>
        </w:rPr>
        <w:t>File No. 333-200279 Class C (CA),</w:t>
      </w:r>
    </w:p>
    <w:p>
      <w:pPr>
        <w:spacing w:after="0" w:line="166" w:lineRule="exact"/>
        <w:rPr>
          <w:sz w:val="20"/>
          <w:szCs w:val="20"/>
          <w:color w:val="auto"/>
        </w:rPr>
      </w:pPr>
    </w:p>
    <w:p>
      <w:pPr>
        <w:spacing w:after="0"/>
        <w:tabs>
          <w:tab w:leader="none" w:pos="14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3"/>
          <w:szCs w:val="13"/>
          <w:color w:val="auto"/>
        </w:rPr>
        <w:t>Brighthouse Variable Life Account A (811-21851)</w:t>
      </w:r>
    </w:p>
    <w:p>
      <w:pPr>
        <w:spacing w:after="0" w:line="5" w:lineRule="exact"/>
        <w:rPr>
          <w:sz w:val="20"/>
          <w:szCs w:val="20"/>
          <w:color w:val="auto"/>
        </w:rPr>
      </w:pPr>
    </w:p>
    <w:p>
      <w:pPr>
        <w:ind w:left="440"/>
        <w:spacing w:after="0"/>
        <w:rPr>
          <w:sz w:val="20"/>
          <w:szCs w:val="20"/>
          <w:color w:val="auto"/>
        </w:rPr>
      </w:pPr>
      <w:r>
        <w:rPr>
          <w:rFonts w:ascii="Arial" w:cs="Arial" w:eastAsia="Arial" w:hAnsi="Arial"/>
          <w:sz w:val="14"/>
          <w:szCs w:val="14"/>
          <w:color w:val="auto"/>
        </w:rPr>
        <w:t>File No. 333-200241 Equity Advantage Variable Universal Life,</w:t>
      </w:r>
    </w:p>
    <w:p>
      <w:pPr>
        <w:spacing w:after="0" w:line="166" w:lineRule="exact"/>
        <w:rPr>
          <w:sz w:val="20"/>
          <w:szCs w:val="20"/>
          <w:color w:val="auto"/>
        </w:rPr>
      </w:pPr>
    </w:p>
    <w:p>
      <w:pPr>
        <w:ind w:left="440" w:right="6859" w:hanging="438"/>
        <w:spacing w:after="0" w:line="238" w:lineRule="auto"/>
        <w:tabs>
          <w:tab w:leader="none" w:pos="173" w:val="left"/>
        </w:tabs>
        <w:numPr>
          <w:ilvl w:val="0"/>
          <w:numId w:val="134"/>
        </w:numPr>
        <w:rPr>
          <w:rFonts w:ascii="Arial" w:cs="Arial" w:eastAsia="Arial" w:hAnsi="Arial"/>
          <w:sz w:val="14"/>
          <w:szCs w:val="14"/>
          <w:color w:val="auto"/>
        </w:rPr>
      </w:pPr>
      <w:r>
        <w:rPr>
          <w:rFonts w:ascii="Arial" w:cs="Arial" w:eastAsia="Arial" w:hAnsi="Arial"/>
          <w:sz w:val="14"/>
          <w:szCs w:val="14"/>
          <w:color w:val="auto"/>
        </w:rPr>
        <w:t>Brighthouse Variable Life Account One (811-07971) File No. 333-200242 Class VL</w:t>
      </w:r>
    </w:p>
    <w:p>
      <w:pPr>
        <w:spacing w:after="0" w:line="1" w:lineRule="exact"/>
        <w:rPr>
          <w:rFonts w:ascii="Arial" w:cs="Arial" w:eastAsia="Arial" w:hAnsi="Arial"/>
          <w:sz w:val="14"/>
          <w:szCs w:val="14"/>
          <w:color w:val="auto"/>
        </w:rPr>
      </w:pPr>
    </w:p>
    <w:p>
      <w:pPr>
        <w:ind w:left="440"/>
        <w:spacing w:after="0" w:line="230" w:lineRule="auto"/>
        <w:rPr>
          <w:rFonts w:ascii="Arial" w:cs="Arial" w:eastAsia="Arial" w:hAnsi="Arial"/>
          <w:sz w:val="14"/>
          <w:szCs w:val="14"/>
          <w:color w:val="auto"/>
        </w:rPr>
      </w:pPr>
      <w:r>
        <w:rPr>
          <w:rFonts w:ascii="Arial" w:cs="Arial" w:eastAsia="Arial" w:hAnsi="Arial"/>
          <w:sz w:val="14"/>
          <w:szCs w:val="14"/>
          <w:color w:val="auto"/>
        </w:rPr>
        <w:t>File No. 333-200245 Class VL (CA)</w:t>
      </w:r>
    </w:p>
    <w:p>
      <w:pPr>
        <w:ind w:left="440"/>
        <w:spacing w:after="0" w:line="230" w:lineRule="auto"/>
        <w:rPr>
          <w:rFonts w:ascii="Arial" w:cs="Arial" w:eastAsia="Arial" w:hAnsi="Arial"/>
          <w:sz w:val="14"/>
          <w:szCs w:val="14"/>
          <w:color w:val="auto"/>
        </w:rPr>
      </w:pPr>
      <w:r>
        <w:rPr>
          <w:rFonts w:ascii="Arial" w:cs="Arial" w:eastAsia="Arial" w:hAnsi="Arial"/>
          <w:sz w:val="14"/>
          <w:szCs w:val="14"/>
          <w:color w:val="auto"/>
        </w:rPr>
        <w:t>File No. 333-200248 Modified Single Premium Variable Life</w:t>
      </w:r>
    </w:p>
    <w:p>
      <w:pPr>
        <w:ind w:left="440" w:right="5599"/>
        <w:spacing w:after="0" w:line="236" w:lineRule="auto"/>
        <w:rPr>
          <w:rFonts w:ascii="Arial" w:cs="Arial" w:eastAsia="Arial" w:hAnsi="Arial"/>
          <w:sz w:val="14"/>
          <w:szCs w:val="14"/>
          <w:color w:val="auto"/>
        </w:rPr>
      </w:pPr>
      <w:r>
        <w:rPr>
          <w:rFonts w:ascii="Arial" w:cs="Arial" w:eastAsia="Arial" w:hAnsi="Arial"/>
          <w:sz w:val="14"/>
          <w:szCs w:val="14"/>
          <w:color w:val="auto"/>
        </w:rPr>
        <w:t>File No. 333-200251 Custom Select and Russell Select Variable Life File No. 333-200254 Modified Single Premium Variable Life (CA) File No. 333-200257 Custom Select Variable Life,</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color w:val="auto"/>
        </w:rPr>
        <w:t>And pertaining to:</w:t>
      </w:r>
    </w:p>
    <w:p>
      <w:pPr>
        <w:ind w:left="440"/>
        <w:spacing w:after="0" w:line="185" w:lineRule="auto"/>
        <w:rPr>
          <w:sz w:val="20"/>
          <w:szCs w:val="20"/>
          <w:color w:val="auto"/>
        </w:rPr>
      </w:pPr>
      <w:r>
        <w:rPr>
          <w:rFonts w:ascii="Arial" w:cs="Arial" w:eastAsia="Arial" w:hAnsi="Arial"/>
          <w:sz w:val="12"/>
          <w:szCs w:val="12"/>
          <w:color w:val="auto"/>
        </w:rPr>
        <w:t>File No. 333-268618 Brighthouse SmartGuard Plus</w:t>
      </w:r>
      <w:r>
        <w:rPr>
          <w:rFonts w:ascii="Arial" w:cs="Arial" w:eastAsia="Arial" w:hAnsi="Arial"/>
          <w:sz w:val="18"/>
          <w:szCs w:val="18"/>
          <w:color w:val="auto"/>
          <w:vertAlign w:val="superscript"/>
        </w:rPr>
        <w:t>SM</w:t>
      </w:r>
    </w:p>
    <w:p>
      <w:pPr>
        <w:ind w:left="440" w:right="1939"/>
        <w:spacing w:after="0" w:line="189" w:lineRule="auto"/>
        <w:rPr>
          <w:sz w:val="20"/>
          <w:szCs w:val="20"/>
          <w:color w:val="auto"/>
        </w:rPr>
      </w:pPr>
      <w:r>
        <w:rPr>
          <w:rFonts w:ascii="Arial" w:cs="Arial" w:eastAsia="Arial" w:hAnsi="Arial"/>
          <w:sz w:val="13"/>
          <w:szCs w:val="13"/>
          <w:color w:val="auto"/>
        </w:rPr>
        <w:t>File No. 333-262390 Brighthouse Shield</w:t>
      </w:r>
      <w:r>
        <w:rPr>
          <w:rFonts w:ascii="Arial" w:cs="Arial" w:eastAsia="Arial" w:hAnsi="Arial"/>
          <w:sz w:val="19"/>
          <w:szCs w:val="19"/>
          <w:color w:val="auto"/>
          <w:vertAlign w:val="superscript"/>
        </w:rPr>
        <w:t>®</w:t>
      </w:r>
      <w:r>
        <w:rPr>
          <w:rFonts w:ascii="Arial" w:cs="Arial" w:eastAsia="Arial" w:hAnsi="Arial"/>
          <w:sz w:val="13"/>
          <w:szCs w:val="13"/>
          <w:color w:val="auto"/>
        </w:rPr>
        <w:t xml:space="preserve"> Level Pay Plus</w:t>
      </w:r>
      <w:r>
        <w:rPr>
          <w:rFonts w:ascii="Arial" w:cs="Arial" w:eastAsia="Arial" w:hAnsi="Arial"/>
          <w:sz w:val="19"/>
          <w:szCs w:val="19"/>
          <w:color w:val="auto"/>
          <w:vertAlign w:val="superscript"/>
        </w:rPr>
        <w:t>SM</w:t>
      </w:r>
      <w:r>
        <w:rPr>
          <w:rFonts w:ascii="Arial" w:cs="Arial" w:eastAsia="Arial" w:hAnsi="Arial"/>
          <w:sz w:val="13"/>
          <w:szCs w:val="13"/>
          <w:color w:val="auto"/>
        </w:rPr>
        <w:t xml:space="preserve"> Annuity and Brighthouse Shield</w:t>
      </w:r>
      <w:r>
        <w:rPr>
          <w:rFonts w:ascii="Arial" w:cs="Arial" w:eastAsia="Arial" w:hAnsi="Arial"/>
          <w:sz w:val="19"/>
          <w:szCs w:val="19"/>
          <w:color w:val="auto"/>
          <w:vertAlign w:val="superscript"/>
        </w:rPr>
        <w:t>®</w:t>
      </w:r>
      <w:r>
        <w:rPr>
          <w:rFonts w:ascii="Arial" w:cs="Arial" w:eastAsia="Arial" w:hAnsi="Arial"/>
          <w:sz w:val="13"/>
          <w:szCs w:val="13"/>
          <w:color w:val="auto"/>
        </w:rPr>
        <w:t xml:space="preserve"> Level Pay Plus</w:t>
      </w:r>
      <w:r>
        <w:rPr>
          <w:rFonts w:ascii="Arial" w:cs="Arial" w:eastAsia="Arial" w:hAnsi="Arial"/>
          <w:sz w:val="19"/>
          <w:szCs w:val="19"/>
          <w:color w:val="auto"/>
          <w:vertAlign w:val="superscript"/>
        </w:rPr>
        <w:t>SM</w:t>
      </w:r>
      <w:r>
        <w:rPr>
          <w:rFonts w:ascii="Arial" w:cs="Arial" w:eastAsia="Arial" w:hAnsi="Arial"/>
          <w:sz w:val="13"/>
          <w:szCs w:val="13"/>
          <w:color w:val="auto"/>
        </w:rPr>
        <w:t xml:space="preserve"> Advisory Annuity File No. 333-259505 Brighthouse Shield</w:t>
      </w:r>
      <w:r>
        <w:rPr>
          <w:rFonts w:ascii="Arial" w:cs="Arial" w:eastAsia="Arial" w:hAnsi="Arial"/>
          <w:sz w:val="19"/>
          <w:szCs w:val="19"/>
          <w:color w:val="auto"/>
          <w:vertAlign w:val="superscript"/>
        </w:rPr>
        <w:t>®</w:t>
      </w:r>
      <w:r>
        <w:rPr>
          <w:rFonts w:ascii="Arial" w:cs="Arial" w:eastAsia="Arial" w:hAnsi="Arial"/>
          <w:sz w:val="13"/>
          <w:szCs w:val="13"/>
          <w:color w:val="auto"/>
        </w:rPr>
        <w:t xml:space="preserve"> Level Select 6-Year Annuity v.3 File No. 333-233240 Brighthouse Shield</w:t>
      </w:r>
      <w:r>
        <w:rPr>
          <w:rFonts w:ascii="Arial" w:cs="Arial" w:eastAsia="Arial" w:hAnsi="Arial"/>
          <w:sz w:val="19"/>
          <w:szCs w:val="19"/>
          <w:color w:val="auto"/>
          <w:vertAlign w:val="superscript"/>
        </w:rPr>
        <w:t>®</w:t>
      </w:r>
      <w:r>
        <w:rPr>
          <w:rFonts w:ascii="Arial" w:cs="Arial" w:eastAsia="Arial" w:hAnsi="Arial"/>
          <w:sz w:val="13"/>
          <w:szCs w:val="13"/>
          <w:color w:val="auto"/>
        </w:rPr>
        <w:t xml:space="preserve"> Level 10 Advisory Annuity</w:t>
      </w:r>
    </w:p>
    <w:p>
      <w:pPr>
        <w:ind w:left="440"/>
        <w:spacing w:after="0" w:line="180" w:lineRule="auto"/>
        <w:rPr>
          <w:sz w:val="20"/>
          <w:szCs w:val="20"/>
          <w:color w:val="auto"/>
        </w:rPr>
      </w:pPr>
      <w:r>
        <w:rPr>
          <w:rFonts w:ascii="Arial" w:cs="Arial" w:eastAsia="Arial" w:hAnsi="Arial"/>
          <w:sz w:val="12"/>
          <w:szCs w:val="12"/>
          <w:color w:val="auto"/>
        </w:rPr>
        <w:t>File No. 333-268427 Brighthouse Shield</w:t>
      </w:r>
      <w:r>
        <w:rPr>
          <w:rFonts w:ascii="Arial" w:cs="Arial" w:eastAsia="Arial" w:hAnsi="Arial"/>
          <w:sz w:val="18"/>
          <w:szCs w:val="18"/>
          <w:color w:val="auto"/>
          <w:vertAlign w:val="superscript"/>
        </w:rPr>
        <w:t>®</w:t>
      </w:r>
      <w:r>
        <w:rPr>
          <w:rFonts w:ascii="Arial" w:cs="Arial" w:eastAsia="Arial" w:hAnsi="Arial"/>
          <w:sz w:val="12"/>
          <w:szCs w:val="12"/>
          <w:color w:val="auto"/>
        </w:rPr>
        <w:t xml:space="preserve"> Level Select Advisory Annuity</w:t>
      </w:r>
    </w:p>
    <w:p>
      <w:pPr>
        <w:ind w:left="440"/>
        <w:spacing w:after="0" w:line="189" w:lineRule="auto"/>
        <w:rPr>
          <w:sz w:val="20"/>
          <w:szCs w:val="20"/>
          <w:color w:val="auto"/>
        </w:rPr>
      </w:pPr>
      <w:r>
        <w:rPr>
          <w:rFonts w:ascii="Arial" w:cs="Arial" w:eastAsia="Arial" w:hAnsi="Arial"/>
          <w:sz w:val="12"/>
          <w:szCs w:val="12"/>
          <w:color w:val="auto"/>
        </w:rPr>
        <w:t>File No. 333-263492 Brighthouse Shield</w:t>
      </w:r>
      <w:r>
        <w:rPr>
          <w:rFonts w:ascii="Arial" w:cs="Arial" w:eastAsia="Arial" w:hAnsi="Arial"/>
          <w:sz w:val="17"/>
          <w:szCs w:val="17"/>
          <w:color w:val="auto"/>
          <w:vertAlign w:val="superscript"/>
        </w:rPr>
        <w:t>®</w:t>
      </w:r>
      <w:r>
        <w:rPr>
          <w:rFonts w:ascii="Arial" w:cs="Arial" w:eastAsia="Arial" w:hAnsi="Arial"/>
          <w:sz w:val="12"/>
          <w:szCs w:val="12"/>
          <w:color w:val="auto"/>
        </w:rPr>
        <w:t xml:space="preserve"> Level Select 6-Year Annuity</w:t>
      </w:r>
    </w:p>
    <w:p>
      <w:pPr>
        <w:ind w:left="440"/>
        <w:spacing w:after="0" w:line="189" w:lineRule="auto"/>
        <w:rPr>
          <w:sz w:val="20"/>
          <w:szCs w:val="20"/>
          <w:color w:val="auto"/>
        </w:rPr>
      </w:pPr>
      <w:r>
        <w:rPr>
          <w:rFonts w:ascii="Arial" w:cs="Arial" w:eastAsia="Arial" w:hAnsi="Arial"/>
          <w:sz w:val="12"/>
          <w:szCs w:val="12"/>
          <w:color w:val="auto"/>
        </w:rPr>
        <w:t>File No. 333-263495 Brighthouse Shield</w:t>
      </w:r>
      <w:r>
        <w:rPr>
          <w:rFonts w:ascii="Arial" w:cs="Arial" w:eastAsia="Arial" w:hAnsi="Arial"/>
          <w:sz w:val="17"/>
          <w:szCs w:val="17"/>
          <w:color w:val="auto"/>
          <w:vertAlign w:val="superscript"/>
        </w:rPr>
        <w:t>®</w:t>
      </w:r>
      <w:r>
        <w:rPr>
          <w:rFonts w:ascii="Arial" w:cs="Arial" w:eastAsia="Arial" w:hAnsi="Arial"/>
          <w:sz w:val="12"/>
          <w:szCs w:val="12"/>
          <w:color w:val="auto"/>
        </w:rPr>
        <w:t xml:space="preserve"> Level Select 3-Year Annuity</w:t>
      </w:r>
    </w:p>
    <w:p>
      <w:pPr>
        <w:ind w:left="440"/>
        <w:spacing w:after="0" w:line="190" w:lineRule="auto"/>
        <w:rPr>
          <w:sz w:val="20"/>
          <w:szCs w:val="20"/>
          <w:color w:val="auto"/>
        </w:rPr>
      </w:pPr>
      <w:r>
        <w:rPr>
          <w:rFonts w:ascii="Arial" w:cs="Arial" w:eastAsia="Arial" w:hAnsi="Arial"/>
          <w:sz w:val="12"/>
          <w:szCs w:val="12"/>
          <w:color w:val="auto"/>
        </w:rPr>
        <w:t>File No. 333-238213 Brighthouse Shield</w:t>
      </w:r>
      <w:r>
        <w:rPr>
          <w:rFonts w:ascii="Arial" w:cs="Arial" w:eastAsia="Arial" w:hAnsi="Arial"/>
          <w:sz w:val="17"/>
          <w:szCs w:val="17"/>
          <w:color w:val="auto"/>
          <w:vertAlign w:val="superscript"/>
        </w:rPr>
        <w:t>®</w:t>
      </w:r>
      <w:r>
        <w:rPr>
          <w:rFonts w:ascii="Arial" w:cs="Arial" w:eastAsia="Arial" w:hAnsi="Arial"/>
          <w:sz w:val="12"/>
          <w:szCs w:val="12"/>
          <w:color w:val="auto"/>
        </w:rPr>
        <w:t xml:space="preserve"> Level 10 Annuity</w:t>
      </w:r>
    </w:p>
    <w:p>
      <w:pPr>
        <w:ind w:left="440"/>
        <w:spacing w:after="0" w:line="189" w:lineRule="auto"/>
        <w:rPr>
          <w:sz w:val="20"/>
          <w:szCs w:val="20"/>
          <w:color w:val="auto"/>
        </w:rPr>
      </w:pPr>
      <w:r>
        <w:rPr>
          <w:rFonts w:ascii="Arial" w:cs="Arial" w:eastAsia="Arial" w:hAnsi="Arial"/>
          <w:sz w:val="12"/>
          <w:szCs w:val="12"/>
          <w:color w:val="auto"/>
        </w:rPr>
        <w:t>File No. 333-208664 Brighthouse Shield Level Selector</w:t>
      </w:r>
      <w:r>
        <w:rPr>
          <w:rFonts w:ascii="Arial" w:cs="Arial" w:eastAsia="Arial" w:hAnsi="Arial"/>
          <w:sz w:val="17"/>
          <w:szCs w:val="17"/>
          <w:color w:val="auto"/>
          <w:vertAlign w:val="superscript"/>
        </w:rPr>
        <w:t>®</w:t>
      </w:r>
      <w:r>
        <w:rPr>
          <w:rFonts w:ascii="Arial" w:cs="Arial" w:eastAsia="Arial" w:hAnsi="Arial"/>
          <w:sz w:val="12"/>
          <w:szCs w:val="12"/>
          <w:color w:val="auto"/>
        </w:rPr>
        <w:t xml:space="preserve"> Annuity</w:t>
      </w:r>
    </w:p>
    <w:p>
      <w:pPr>
        <w:ind w:left="440"/>
        <w:spacing w:after="0" w:line="190" w:lineRule="auto"/>
        <w:rPr>
          <w:sz w:val="20"/>
          <w:szCs w:val="20"/>
          <w:color w:val="auto"/>
        </w:rPr>
      </w:pPr>
      <w:r>
        <w:rPr>
          <w:rFonts w:ascii="Arial" w:cs="Arial" w:eastAsia="Arial" w:hAnsi="Arial"/>
          <w:sz w:val="12"/>
          <w:szCs w:val="12"/>
          <w:color w:val="auto"/>
        </w:rPr>
        <w:t>File No. 333-207091 Brighthouse Shield Level Selector</w:t>
      </w:r>
      <w:r>
        <w:rPr>
          <w:rFonts w:ascii="Arial" w:cs="Arial" w:eastAsia="Arial" w:hAnsi="Arial"/>
          <w:sz w:val="17"/>
          <w:szCs w:val="17"/>
          <w:color w:val="auto"/>
          <w:vertAlign w:val="superscript"/>
        </w:rPr>
        <w:t>®</w:t>
      </w:r>
      <w:r>
        <w:rPr>
          <w:rFonts w:ascii="Arial" w:cs="Arial" w:eastAsia="Arial" w:hAnsi="Arial"/>
          <w:sz w:val="12"/>
          <w:szCs w:val="12"/>
          <w:color w:val="auto"/>
        </w:rPr>
        <w:t xml:space="preserve"> 3-Year Annuity</w:t>
      </w:r>
    </w:p>
    <w:p>
      <w:pPr>
        <w:ind w:left="440"/>
        <w:spacing w:after="0" w:line="230" w:lineRule="auto"/>
        <w:rPr>
          <w:sz w:val="20"/>
          <w:szCs w:val="20"/>
          <w:color w:val="auto"/>
        </w:rPr>
      </w:pPr>
      <w:r>
        <w:rPr>
          <w:rFonts w:ascii="Arial" w:cs="Arial" w:eastAsia="Arial" w:hAnsi="Arial"/>
          <w:sz w:val="14"/>
          <w:szCs w:val="14"/>
          <w:color w:val="auto"/>
        </w:rPr>
        <w:t>File No. 333-276468 Registered Fixed Account Option</w:t>
      </w:r>
    </w:p>
    <w:p>
      <w:pPr>
        <w:ind w:left="440"/>
        <w:spacing w:after="0" w:line="230" w:lineRule="auto"/>
        <w:rPr>
          <w:sz w:val="20"/>
          <w:szCs w:val="20"/>
          <w:color w:val="auto"/>
        </w:rPr>
      </w:pPr>
      <w:r>
        <w:rPr>
          <w:rFonts w:ascii="Arial" w:cs="Arial" w:eastAsia="Arial" w:hAnsi="Arial"/>
          <w:sz w:val="14"/>
          <w:szCs w:val="14"/>
          <w:color w:val="auto"/>
        </w:rPr>
        <w:t>File No. 333-276469 Fixed Annuity (Strategic Value Annuity)</w:t>
      </w:r>
    </w:p>
    <w:p>
      <w:pPr>
        <w:ind w:left="440"/>
        <w:spacing w:after="0" w:line="230" w:lineRule="auto"/>
        <w:rPr>
          <w:sz w:val="20"/>
          <w:szCs w:val="20"/>
          <w:color w:val="auto"/>
        </w:rPr>
      </w:pPr>
      <w:r>
        <w:rPr>
          <w:rFonts w:ascii="Arial" w:cs="Arial" w:eastAsia="Arial" w:hAnsi="Arial"/>
          <w:sz w:val="14"/>
          <w:szCs w:val="14"/>
          <w:color w:val="auto"/>
        </w:rPr>
        <w:t>File No. 333-276470 Brighthouse Retirement Account Liquidity Benefit</w:t>
      </w:r>
    </w:p>
    <w:p>
      <w:pPr>
        <w:ind w:left="440"/>
        <w:spacing w:after="0" w:line="189" w:lineRule="auto"/>
        <w:rPr>
          <w:sz w:val="20"/>
          <w:szCs w:val="20"/>
          <w:color w:val="auto"/>
        </w:rPr>
      </w:pPr>
      <w:r>
        <w:rPr>
          <w:rFonts w:ascii="Arial" w:cs="Arial" w:eastAsia="Arial" w:hAnsi="Arial"/>
          <w:sz w:val="12"/>
          <w:szCs w:val="12"/>
          <w:color w:val="auto"/>
        </w:rPr>
        <w:t>File No. 333-276599 Brighthouse Shield</w:t>
      </w:r>
      <w:r>
        <w:rPr>
          <w:rFonts w:ascii="Arial" w:cs="Arial" w:eastAsia="Arial" w:hAnsi="Arial"/>
          <w:sz w:val="17"/>
          <w:szCs w:val="17"/>
          <w:color w:val="auto"/>
          <w:vertAlign w:val="superscript"/>
        </w:rPr>
        <w:t>®</w:t>
      </w:r>
      <w:r>
        <w:rPr>
          <w:rFonts w:ascii="Arial" w:cs="Arial" w:eastAsia="Arial" w:hAnsi="Arial"/>
          <w:sz w:val="12"/>
          <w:szCs w:val="12"/>
          <w:color w:val="auto"/>
        </w:rPr>
        <w:t xml:space="preserve"> Level II 6-Year Annuity</w:t>
      </w:r>
    </w:p>
    <w:p>
      <w:pPr>
        <w:ind w:left="440"/>
        <w:spacing w:after="0" w:line="190" w:lineRule="auto"/>
        <w:rPr>
          <w:sz w:val="20"/>
          <w:szCs w:val="20"/>
          <w:color w:val="auto"/>
        </w:rPr>
      </w:pPr>
      <w:r>
        <w:rPr>
          <w:rFonts w:ascii="Arial" w:cs="Arial" w:eastAsia="Arial" w:hAnsi="Arial"/>
          <w:sz w:val="12"/>
          <w:szCs w:val="12"/>
          <w:color w:val="auto"/>
        </w:rPr>
        <w:t>File No. 333-276762 Brighthouse Shield</w:t>
      </w:r>
      <w:r>
        <w:rPr>
          <w:rFonts w:ascii="Arial" w:cs="Arial" w:eastAsia="Arial" w:hAnsi="Arial"/>
          <w:sz w:val="17"/>
          <w:szCs w:val="17"/>
          <w:color w:val="auto"/>
          <w:vertAlign w:val="superscript"/>
        </w:rPr>
        <w:t>®</w:t>
      </w:r>
      <w:r>
        <w:rPr>
          <w:rFonts w:ascii="Arial" w:cs="Arial" w:eastAsia="Arial" w:hAnsi="Arial"/>
          <w:sz w:val="12"/>
          <w:szCs w:val="12"/>
          <w:color w:val="auto"/>
        </w:rPr>
        <w:t xml:space="preserve"> Level II Advisory Annuity</w:t>
      </w:r>
    </w:p>
    <w:p>
      <w:pPr>
        <w:ind w:left="440" w:right="2019"/>
        <w:spacing w:after="0"/>
        <w:rPr>
          <w:sz w:val="20"/>
          <w:szCs w:val="20"/>
          <w:color w:val="auto"/>
        </w:rPr>
      </w:pPr>
      <w:r>
        <w:rPr>
          <w:rFonts w:ascii="Arial" w:cs="Arial" w:eastAsia="Arial" w:hAnsi="Arial"/>
          <w:sz w:val="14"/>
          <w:szCs w:val="14"/>
          <w:color w:val="auto"/>
        </w:rPr>
        <w:t>File No. 333-276763 Brighthouse Shield Level Pay Plus</w:t>
      </w:r>
      <w:r>
        <w:rPr>
          <w:rFonts w:ascii="Arial" w:cs="Arial" w:eastAsia="Arial" w:hAnsi="Arial"/>
          <w:sz w:val="20"/>
          <w:szCs w:val="20"/>
          <w:color w:val="auto"/>
          <w:vertAlign w:val="superscript"/>
        </w:rPr>
        <w:t>®</w:t>
      </w:r>
      <w:r>
        <w:rPr>
          <w:rFonts w:ascii="Arial" w:cs="Arial" w:eastAsia="Arial" w:hAnsi="Arial"/>
          <w:sz w:val="14"/>
          <w:szCs w:val="14"/>
          <w:color w:val="auto"/>
        </w:rPr>
        <w:t xml:space="preserve"> II Annuity and Brighthouse Shield Level Pay Plus</w:t>
      </w:r>
      <w:r>
        <w:rPr>
          <w:rFonts w:ascii="Arial" w:cs="Arial" w:eastAsia="Arial" w:hAnsi="Arial"/>
          <w:sz w:val="20"/>
          <w:szCs w:val="20"/>
          <w:color w:val="auto"/>
          <w:vertAlign w:val="superscript"/>
        </w:rPr>
        <w:t>®</w:t>
      </w:r>
      <w:r>
        <w:rPr>
          <w:rFonts w:ascii="Arial" w:cs="Arial" w:eastAsia="Arial" w:hAnsi="Arial"/>
          <w:sz w:val="14"/>
          <w:szCs w:val="14"/>
          <w:color w:val="auto"/>
        </w:rPr>
        <w:t xml:space="preserve"> II Advisory Annuity File No. 333-279302 Brighthouse Shield</w:t>
      </w:r>
      <w:r>
        <w:rPr>
          <w:rFonts w:ascii="Arial" w:cs="Arial" w:eastAsia="Arial" w:hAnsi="Arial"/>
          <w:sz w:val="20"/>
          <w:szCs w:val="20"/>
          <w:color w:val="auto"/>
          <w:vertAlign w:val="superscript"/>
        </w:rPr>
        <w:t>®</w:t>
      </w:r>
      <w:r>
        <w:rPr>
          <w:rFonts w:ascii="Arial" w:cs="Arial" w:eastAsia="Arial" w:hAnsi="Arial"/>
          <w:sz w:val="14"/>
          <w:szCs w:val="14"/>
          <w:color w:val="auto"/>
        </w:rPr>
        <w:t xml:space="preserve"> Level II 3-Year Annuity T-Mark Fixed Annuity</w:t>
      </w:r>
    </w:p>
    <w:p>
      <w:pPr>
        <w:spacing w:after="0" w:line="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Target Maturity,</w:t>
      </w:r>
    </w:p>
    <w:p>
      <w:pPr>
        <w:spacing w:after="0" w:line="166" w:lineRule="exact"/>
        <w:rPr>
          <w:sz w:val="20"/>
          <w:szCs w:val="20"/>
          <w:color w:val="auto"/>
        </w:rPr>
      </w:pPr>
    </w:p>
    <w:p>
      <w:pPr>
        <w:spacing w:after="0"/>
        <w:tabs>
          <w:tab w:leader="none" w:pos="14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3"/>
          <w:szCs w:val="13"/>
          <w:color w:val="auto"/>
        </w:rPr>
        <w:t>Brighthouse Life Insurance Company (RILA MVA)</w:t>
      </w:r>
    </w:p>
    <w:p>
      <w:pPr>
        <w:spacing w:after="0" w:line="5" w:lineRule="exact"/>
        <w:rPr>
          <w:sz w:val="20"/>
          <w:szCs w:val="20"/>
          <w:color w:val="auto"/>
        </w:rPr>
      </w:pPr>
    </w:p>
    <w:p>
      <w:pPr>
        <w:ind w:left="440" w:right="2019"/>
        <w:spacing w:after="0"/>
        <w:rPr>
          <w:sz w:val="20"/>
          <w:szCs w:val="20"/>
          <w:color w:val="auto"/>
        </w:rPr>
      </w:pPr>
      <w:r>
        <w:rPr>
          <w:rFonts w:ascii="Arial" w:cs="Arial" w:eastAsia="Arial" w:hAnsi="Arial"/>
          <w:sz w:val="13"/>
          <w:szCs w:val="13"/>
          <w:color w:val="auto"/>
        </w:rPr>
        <w:t>File No. 333-282752 Brighthouse Shield Level Pay Plus</w:t>
      </w:r>
      <w:r>
        <w:rPr>
          <w:rFonts w:ascii="Arial" w:cs="Arial" w:eastAsia="Arial" w:hAnsi="Arial"/>
          <w:sz w:val="19"/>
          <w:szCs w:val="19"/>
          <w:color w:val="auto"/>
          <w:vertAlign w:val="superscript"/>
        </w:rPr>
        <w:t>®</w:t>
      </w:r>
      <w:r>
        <w:rPr>
          <w:rFonts w:ascii="Arial" w:cs="Arial" w:eastAsia="Arial" w:hAnsi="Arial"/>
          <w:sz w:val="13"/>
          <w:szCs w:val="13"/>
          <w:color w:val="auto"/>
        </w:rPr>
        <w:t xml:space="preserve"> II Annuity and Brighthouse Shield Level Pay Plus</w:t>
      </w:r>
      <w:r>
        <w:rPr>
          <w:rFonts w:ascii="Arial" w:cs="Arial" w:eastAsia="Arial" w:hAnsi="Arial"/>
          <w:sz w:val="19"/>
          <w:szCs w:val="19"/>
          <w:color w:val="auto"/>
          <w:vertAlign w:val="superscript"/>
        </w:rPr>
        <w:t>®</w:t>
      </w:r>
      <w:r>
        <w:rPr>
          <w:rFonts w:ascii="Arial" w:cs="Arial" w:eastAsia="Arial" w:hAnsi="Arial"/>
          <w:sz w:val="13"/>
          <w:szCs w:val="13"/>
          <w:color w:val="auto"/>
        </w:rPr>
        <w:t xml:space="preserve"> II Advisory Annuity File No. 333-282871 Brighthouse Shield</w:t>
      </w:r>
      <w:r>
        <w:rPr>
          <w:rFonts w:ascii="Arial" w:cs="Arial" w:eastAsia="Arial" w:hAnsi="Arial"/>
          <w:sz w:val="19"/>
          <w:szCs w:val="19"/>
          <w:color w:val="auto"/>
          <w:vertAlign w:val="superscript"/>
        </w:rPr>
        <w:t>®</w:t>
      </w:r>
      <w:r>
        <w:rPr>
          <w:rFonts w:ascii="Arial" w:cs="Arial" w:eastAsia="Arial" w:hAnsi="Arial"/>
          <w:sz w:val="13"/>
          <w:szCs w:val="13"/>
          <w:color w:val="auto"/>
        </w:rPr>
        <w:t xml:space="preserve"> Level II Advisory Annuity File No. 333-283023 Brighthouse Shield</w:t>
      </w:r>
      <w:r>
        <w:rPr>
          <w:rFonts w:ascii="Arial" w:cs="Arial" w:eastAsia="Arial" w:hAnsi="Arial"/>
          <w:sz w:val="19"/>
          <w:szCs w:val="19"/>
          <w:color w:val="auto"/>
          <w:vertAlign w:val="superscript"/>
        </w:rPr>
        <w:t>®</w:t>
      </w:r>
      <w:r>
        <w:rPr>
          <w:rFonts w:ascii="Arial" w:cs="Arial" w:eastAsia="Arial" w:hAnsi="Arial"/>
          <w:sz w:val="13"/>
          <w:szCs w:val="13"/>
          <w:color w:val="auto"/>
        </w:rPr>
        <w:t xml:space="preserve"> Level II 6-Year Annuity</w:t>
      </w:r>
    </w:p>
    <w:p>
      <w:pPr>
        <w:ind w:left="440"/>
        <w:spacing w:after="0" w:line="188" w:lineRule="auto"/>
        <w:rPr>
          <w:sz w:val="20"/>
          <w:szCs w:val="20"/>
          <w:color w:val="auto"/>
        </w:rPr>
      </w:pPr>
      <w:r>
        <w:rPr>
          <w:rFonts w:ascii="Arial" w:cs="Arial" w:eastAsia="Arial" w:hAnsi="Arial"/>
          <w:sz w:val="14"/>
          <w:szCs w:val="14"/>
          <w:color w:val="auto"/>
        </w:rPr>
        <w:t>File No. 333-283024 Brighthouse Shield</w:t>
      </w:r>
      <w:r>
        <w:rPr>
          <w:rFonts w:ascii="Arial" w:cs="Arial" w:eastAsia="Arial" w:hAnsi="Arial"/>
          <w:sz w:val="20"/>
          <w:szCs w:val="20"/>
          <w:color w:val="auto"/>
          <w:vertAlign w:val="superscript"/>
        </w:rPr>
        <w:t>®</w:t>
      </w:r>
      <w:r>
        <w:rPr>
          <w:rFonts w:ascii="Arial" w:cs="Arial" w:eastAsia="Arial" w:hAnsi="Arial"/>
          <w:sz w:val="14"/>
          <w:szCs w:val="14"/>
          <w:color w:val="auto"/>
        </w:rPr>
        <w:t xml:space="preserve"> Level II 3-Year Annuity</w:t>
      </w:r>
    </w:p>
    <w:p>
      <w:pPr>
        <w:ind w:left="440"/>
        <w:spacing w:after="0" w:line="230" w:lineRule="auto"/>
        <w:rPr>
          <w:sz w:val="20"/>
          <w:szCs w:val="20"/>
          <w:color w:val="auto"/>
        </w:rPr>
      </w:pPr>
      <w:r>
        <w:rPr>
          <w:rFonts w:ascii="Arial" w:cs="Arial" w:eastAsia="Arial" w:hAnsi="Arial"/>
          <w:sz w:val="14"/>
          <w:szCs w:val="14"/>
          <w:color w:val="auto"/>
        </w:rPr>
        <w:t>File No. 333-290021 Fixed Account Annuity (Strategic Value Annuity)</w:t>
      </w:r>
    </w:p>
    <w:p>
      <w:pPr>
        <w:ind w:left="580" w:right="2199" w:hanging="155"/>
        <w:spacing w:after="0" w:line="230" w:lineRule="auto"/>
        <w:rPr>
          <w:sz w:val="20"/>
          <w:szCs w:val="20"/>
          <w:color w:val="auto"/>
        </w:rPr>
      </w:pPr>
      <w:r>
        <w:rPr>
          <w:rFonts w:ascii="Arial" w:cs="Arial" w:eastAsia="Arial" w:hAnsi="Arial"/>
          <w:sz w:val="14"/>
          <w:szCs w:val="14"/>
          <w:color w:val="auto"/>
        </w:rPr>
        <w:t>File No. 333-290022 Gold Track and Registered Fixed Account Option and Gold Track Select and Registered Fixed Account Option</w:t>
      </w:r>
    </w:p>
    <w:p>
      <w:pPr>
        <w:ind w:left="440" w:right="3859"/>
        <w:spacing w:after="0" w:line="247" w:lineRule="auto"/>
        <w:rPr>
          <w:sz w:val="20"/>
          <w:szCs w:val="20"/>
          <w:color w:val="auto"/>
        </w:rPr>
      </w:pPr>
      <w:r>
        <w:rPr>
          <w:rFonts w:ascii="Arial" w:cs="Arial" w:eastAsia="Arial" w:hAnsi="Arial"/>
          <w:sz w:val="13"/>
          <w:szCs w:val="13"/>
          <w:color w:val="auto"/>
        </w:rPr>
        <w:t>File No. 333-290023 Brighthouse Retirement Perspectives and Registered Fixed Account Option File No. 333-290024 Unallocated Group Variable Annuity and Registered Fixed Account Option</w:t>
      </w:r>
    </w:p>
    <w:p>
      <w:pPr>
        <w:spacing w:after="0" w:line="1" w:lineRule="exact"/>
        <w:rPr>
          <w:sz w:val="20"/>
          <w:szCs w:val="20"/>
          <w:color w:val="auto"/>
        </w:rPr>
      </w:pPr>
    </w:p>
    <w:p>
      <w:pPr>
        <w:ind w:left="580" w:right="2159" w:hanging="155"/>
        <w:spacing w:after="0"/>
        <w:rPr>
          <w:sz w:val="20"/>
          <w:szCs w:val="20"/>
          <w:color w:val="auto"/>
        </w:rPr>
      </w:pPr>
      <w:r>
        <w:rPr>
          <w:rFonts w:ascii="Arial" w:cs="Arial" w:eastAsia="Arial" w:hAnsi="Arial"/>
          <w:sz w:val="14"/>
          <w:szCs w:val="14"/>
          <w:color w:val="auto"/>
        </w:rPr>
        <w:t>File No. 333-290025 Brighthouse Retirement Account Annuity, Registered Fixed Account Option and Brighthouse Retirement Account Liquidity Benefit</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color w:val="auto"/>
        </w:rPr>
        <w:t>And new annuities and life products such as:</w:t>
      </w:r>
    </w:p>
    <w:p>
      <w:pPr>
        <w:ind w:left="440"/>
        <w:spacing w:after="0" w:line="237" w:lineRule="auto"/>
        <w:rPr>
          <w:sz w:val="20"/>
          <w:szCs w:val="20"/>
          <w:color w:val="auto"/>
        </w:rPr>
      </w:pPr>
      <w:r>
        <w:rPr>
          <w:rFonts w:ascii="Arial" w:cs="Arial" w:eastAsia="Arial" w:hAnsi="Arial"/>
          <w:sz w:val="14"/>
          <w:szCs w:val="14"/>
          <w:color w:val="auto"/>
        </w:rPr>
        <w:t>Brighthouse Shield Annuity</w:t>
      </w:r>
    </w:p>
    <w:p>
      <w:pPr>
        <w:ind w:left="440"/>
        <w:spacing w:after="0" w:line="230" w:lineRule="auto"/>
        <w:rPr>
          <w:sz w:val="20"/>
          <w:szCs w:val="20"/>
          <w:color w:val="auto"/>
        </w:rPr>
      </w:pPr>
      <w:r>
        <w:rPr>
          <w:rFonts w:ascii="Arial" w:cs="Arial" w:eastAsia="Arial" w:hAnsi="Arial"/>
          <w:sz w:val="14"/>
          <w:szCs w:val="14"/>
          <w:color w:val="auto"/>
        </w:rPr>
        <w:t>Brighthouse Shield 3-Year Annuity</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4"/>
          <w:szCs w:val="14"/>
          <w:color w:val="auto"/>
        </w:rPr>
        <w:t>Brighthouse Shield 6-Year Annuity</w:t>
      </w:r>
    </w:p>
    <w:p>
      <w:pPr>
        <w:sectPr>
          <w:pgSz w:w="11900" w:h="16838" w:orient="portrait"/>
          <w:cols w:equalWidth="0" w:num="1">
            <w:col w:w="10159"/>
          </w:cols>
          <w:pgMar w:left="300" w:top="240" w:right="1440" w:bottom="1440" w:gutter="0" w:footer="0" w:header="0"/>
        </w:sectPr>
      </w:pPr>
    </w:p>
    <w:bookmarkStart w:id="130" w:name="page131"/>
    <w:bookmarkEnd w:id="130"/>
    <w:p>
      <w:pPr>
        <w:ind w:left="44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2">
                      <a:extLst>
                        <a:ext uri="{28A0092B-C50C-407E-A947-70E740481C1C}"/>
                      </a:extLst>
                    </a:blip>
                    <a:srcRect/>
                    <a:stretch>
                      <a:fillRect/>
                    </a:stretch>
                  </pic:blipFill>
                  <pic:spPr bwMode="auto">
                    <a:xfrm>
                      <a:off x="0" y="0"/>
                      <a:ext cx="7203440" cy="32385"/>
                    </a:xfrm>
                    <a:prstGeom prst="rect">
                      <a:avLst/>
                    </a:prstGeom>
                    <a:noFill/>
                  </pic:spPr>
                </pic:pic>
              </a:graphicData>
            </a:graphic>
          </wp:anchor>
        </w:drawing>
        <w:t>Brighthouse Index-linked Life Insurance Policy,</w:t>
      </w:r>
    </w:p>
    <w:p>
      <w:pPr>
        <w:spacing w:after="0" w:line="158" w:lineRule="exact"/>
        <w:rPr>
          <w:sz w:val="20"/>
          <w:szCs w:val="20"/>
          <w:color w:val="auto"/>
        </w:rPr>
      </w:pPr>
    </w:p>
    <w:p>
      <w:pPr>
        <w:ind w:right="1979"/>
        <w:spacing w:after="0" w:line="239" w:lineRule="auto"/>
        <w:rPr>
          <w:sz w:val="20"/>
          <w:szCs w:val="20"/>
          <w:color w:val="auto"/>
        </w:rPr>
      </w:pPr>
      <w:r>
        <w:rPr>
          <w:rFonts w:ascii="Arial" w:cs="Arial" w:eastAsia="Arial" w:hAnsi="Arial"/>
          <w:sz w:val="14"/>
          <w:szCs w:val="14"/>
          <w:color w:val="auto"/>
        </w:rPr>
        <w:t>and to have full power and authority to do or cause to be done in my name, place and stead each and every act and thing necessary or appropriate in order to effectuate the same, as fully to all intents and purposes as I might or could do in person, hereby ratifying and confirming all that said attorneys-in-fact or any of them, may do or cause to be done by virtue hereof. This Power of Attorney does not revoke any prior powers of attorney.</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color w:val="auto"/>
        </w:rPr>
        <w:t>IN WITNESS WHEREOF, I have hereunto set my hand this 3rd day of November 2025.</w:t>
      </w:r>
    </w:p>
    <w:p>
      <w:pPr>
        <w:spacing w:after="0" w:line="322"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/s/ Gianna H. Figaro-Sterling</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Gianna H. Figaro-Sterling</w:t>
      </w:r>
    </w:p>
    <w:p>
      <w:pPr>
        <w:sectPr>
          <w:pgSz w:w="11900" w:h="16838" w:orient="portrait"/>
          <w:cols w:equalWidth="0" w:num="1">
            <w:col w:w="10159"/>
          </w:cols>
          <w:pgMar w:left="300" w:top="240" w:right="1440" w:bottom="1440" w:gutter="0" w:footer="0" w:header="0"/>
        </w:sectPr>
      </w:pPr>
    </w:p>
    <w:bookmarkStart w:id="131" w:name="page132"/>
    <w:bookmarkEnd w:id="131"/>
    <w:p>
      <w:pPr>
        <w:ind w:left="3540"/>
        <w:spacing w:after="0"/>
        <w:rPr>
          <w:sz w:val="20"/>
          <w:szCs w:val="20"/>
          <w:color w:val="auto"/>
        </w:rPr>
      </w:pPr>
      <w:r>
        <w:rPr>
          <w:rFonts w:ascii="Arial" w:cs="Arial" w:eastAsia="Arial" w:hAnsi="Arial"/>
          <w:sz w:val="27"/>
          <w:szCs w:val="27"/>
          <w:b w:val="1"/>
          <w:bCs w:val="1"/>
          <w:color w:val="auto"/>
        </w:rPr>
        <w:t>Calculation of Filing Fee Tables</w:t>
      </w:r>
    </w:p>
    <w:p>
      <w:pPr>
        <w:spacing w:after="0" w:line="173" w:lineRule="exact"/>
        <w:rPr>
          <w:sz w:val="20"/>
          <w:szCs w:val="20"/>
          <w:color w:val="auto"/>
        </w:rPr>
      </w:pPr>
    </w:p>
    <w:p>
      <w:pPr>
        <w:ind w:left="5360"/>
        <w:spacing w:after="0"/>
        <w:rPr>
          <w:sz w:val="20"/>
          <w:szCs w:val="20"/>
          <w:color w:val="auto"/>
        </w:rPr>
      </w:pPr>
      <w:r>
        <w:rPr>
          <w:rFonts w:ascii="Arial" w:cs="Arial" w:eastAsia="Arial" w:hAnsi="Arial"/>
          <w:sz w:val="27"/>
          <w:szCs w:val="27"/>
          <w:b w:val="1"/>
          <w:bCs w:val="1"/>
          <w:color w:val="auto"/>
        </w:rPr>
        <w:t>S-3</w:t>
      </w:r>
    </w:p>
    <w:p>
      <w:pPr>
        <w:spacing w:after="0" w:line="101" w:lineRule="exact"/>
        <w:rPr>
          <w:sz w:val="20"/>
          <w:szCs w:val="20"/>
          <w:color w:val="auto"/>
        </w:rPr>
      </w:pPr>
    </w:p>
    <w:p>
      <w:pPr>
        <w:jc w:val="center"/>
        <w:ind w:right="200"/>
        <w:spacing w:after="0"/>
        <w:rPr>
          <w:sz w:val="20"/>
          <w:szCs w:val="20"/>
          <w:color w:val="auto"/>
        </w:rPr>
      </w:pPr>
      <w:r>
        <w:rPr>
          <w:rFonts w:ascii="Arial" w:cs="Arial" w:eastAsia="Arial" w:hAnsi="Arial"/>
          <w:sz w:val="27"/>
          <w:szCs w:val="27"/>
          <w:b w:val="1"/>
          <w:bCs w:val="1"/>
          <w:color w:val="auto"/>
        </w:rPr>
        <w:t>BRIGHTHOUSE LIFE INSURANCE Co</w:t>
      </w:r>
    </w:p>
    <w:p>
      <w:pPr>
        <w:spacing w:after="0" w:line="102"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40" w:type="dxa"/>
            <w:vAlign w:val="bottom"/>
            <w:tcBorders>
              <w:bottom w:val="single" w:sz="8" w:color="auto"/>
            </w:tcBorders>
          </w:tcPr>
          <w:p>
            <w:pPr>
              <w:spacing w:after="0"/>
              <w:rPr>
                <w:sz w:val="23"/>
                <w:szCs w:val="23"/>
                <w:color w:val="auto"/>
              </w:rPr>
            </w:pPr>
          </w:p>
        </w:tc>
        <w:tc>
          <w:tcPr>
            <w:tcW w:w="5060" w:type="dxa"/>
            <w:vAlign w:val="bottom"/>
            <w:tcBorders>
              <w:bottom w:val="single" w:sz="8" w:color="auto"/>
            </w:tcBorders>
            <w:gridSpan w:val="13"/>
          </w:tcPr>
          <w:p>
            <w:pPr>
              <w:spacing w:after="0"/>
              <w:rPr>
                <w:sz w:val="20"/>
                <w:szCs w:val="20"/>
                <w:color w:val="auto"/>
              </w:rPr>
            </w:pPr>
            <w:r>
              <w:rPr>
                <w:rFonts w:ascii="Arial" w:cs="Arial" w:eastAsia="Arial" w:hAnsi="Arial"/>
                <w:sz w:val="16"/>
                <w:szCs w:val="16"/>
                <w:b w:val="1"/>
                <w:bCs w:val="1"/>
                <w:color w:val="auto"/>
              </w:rPr>
              <w:t>Table 1: Newly Registered and Carry Forward Securities</w:t>
            </w:r>
          </w:p>
        </w:tc>
        <w:tc>
          <w:tcPr>
            <w:tcW w:w="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820" w:type="dxa"/>
            <w:vAlign w:val="bottom"/>
            <w:tcBorders>
              <w:bottom w:val="single" w:sz="8" w:color="auto"/>
            </w:tcBorders>
            <w:gridSpan w:val="3"/>
          </w:tcPr>
          <w:p>
            <w:pPr>
              <w:ind w:left="420"/>
              <w:spacing w:after="0" w:line="184" w:lineRule="exact"/>
              <w:rPr>
                <w:sz w:val="20"/>
                <w:szCs w:val="20"/>
                <w:color w:val="auto"/>
              </w:rPr>
            </w:pPr>
            <w:r>
              <w:rPr>
                <w:rFonts w:ascii="MS PGothic" w:cs="MS PGothic" w:eastAsia="MS PGothic" w:hAnsi="MS PGothic"/>
                <w:sz w:val="16"/>
                <w:szCs w:val="16"/>
                <w:color w:val="auto"/>
                <w:highlight w:val="black"/>
              </w:rPr>
              <w:t>☐</w:t>
            </w:r>
            <w:r>
              <w:rPr>
                <w:rFonts w:ascii="Arial" w:cs="Arial" w:eastAsia="Arial" w:hAnsi="Arial"/>
                <w:sz w:val="16"/>
                <w:szCs w:val="16"/>
                <w:b w:val="1"/>
                <w:bCs w:val="1"/>
                <w:color w:val="auto"/>
              </w:rPr>
              <w:t>Not Applicable</w:t>
            </w:r>
          </w:p>
        </w:tc>
        <w:tc>
          <w:tcPr>
            <w:tcW w:w="0" w:type="dxa"/>
            <w:vAlign w:val="bottom"/>
          </w:tcPr>
          <w:p>
            <w:pPr>
              <w:spacing w:after="0"/>
              <w:rPr>
                <w:sz w:val="1"/>
                <w:szCs w:val="1"/>
                <w:color w:val="auto"/>
              </w:rPr>
            </w:pPr>
          </w:p>
        </w:tc>
      </w:tr>
      <w:tr>
        <w:trPr>
          <w:trHeight w:val="190"/>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6"/>
                <w:szCs w:val="16"/>
                <w:b w:val="1"/>
                <w:bCs w:val="1"/>
                <w:color w:val="auto"/>
              </w:rPr>
              <w:t>Filing Fee</w:t>
            </w: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6"/>
                <w:szCs w:val="16"/>
                <w:b w:val="1"/>
                <w:bCs w:val="1"/>
                <w:color w:val="auto"/>
              </w:rPr>
              <w:t>Previously</w:t>
            </w: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Fee</w:t>
            </w: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Proposed</w:t>
            </w:r>
          </w:p>
        </w:tc>
        <w:tc>
          <w:tcPr>
            <w:tcW w:w="20" w:type="dxa"/>
            <w:vAlign w:val="bottom"/>
          </w:tcPr>
          <w:p>
            <w:pPr>
              <w:spacing w:after="0"/>
              <w:rPr>
                <w:sz w:val="16"/>
                <w:szCs w:val="16"/>
                <w:color w:val="auto"/>
              </w:rPr>
            </w:pPr>
          </w:p>
        </w:tc>
        <w:tc>
          <w:tcPr>
            <w:tcW w:w="11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Carry</w:t>
            </w:r>
          </w:p>
        </w:tc>
        <w:tc>
          <w:tcPr>
            <w:tcW w:w="20" w:type="dxa"/>
            <w:vAlign w:val="bottom"/>
          </w:tcPr>
          <w:p>
            <w:pPr>
              <w:spacing w:after="0"/>
              <w:rPr>
                <w:sz w:val="16"/>
                <w:szCs w:val="16"/>
                <w:color w:val="auto"/>
              </w:rPr>
            </w:pPr>
          </w:p>
        </w:tc>
        <w:tc>
          <w:tcPr>
            <w:tcW w:w="94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6"/>
                <w:szCs w:val="16"/>
                <w:b w:val="1"/>
                <w:bCs w:val="1"/>
                <w:color w:val="auto"/>
              </w:rPr>
              <w:t>Paid in</w:t>
            </w: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7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9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Carry</w:t>
            </w:r>
          </w:p>
        </w:tc>
        <w:tc>
          <w:tcPr>
            <w:tcW w:w="20" w:type="dxa"/>
            <w:vAlign w:val="bottom"/>
          </w:tcPr>
          <w:p>
            <w:pPr>
              <w:spacing w:after="0"/>
              <w:rPr>
                <w:sz w:val="8"/>
                <w:szCs w:val="8"/>
                <w:color w:val="auto"/>
              </w:rPr>
            </w:pPr>
          </w:p>
        </w:tc>
        <w:tc>
          <w:tcPr>
            <w:tcW w:w="68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Carry</w:t>
            </w:r>
          </w:p>
        </w:tc>
        <w:tc>
          <w:tcPr>
            <w:tcW w:w="20" w:type="dxa"/>
            <w:vAlign w:val="bottom"/>
          </w:tcPr>
          <w:p>
            <w:pPr>
              <w:spacing w:after="0"/>
              <w:rPr>
                <w:sz w:val="8"/>
                <w:szCs w:val="8"/>
                <w:color w:val="auto"/>
              </w:rPr>
            </w:pPr>
          </w:p>
        </w:tc>
        <w:tc>
          <w:tcPr>
            <w:tcW w:w="8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Connection</w:t>
            </w: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7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Security</w:t>
            </w:r>
          </w:p>
        </w:tc>
        <w:tc>
          <w:tcPr>
            <w:tcW w:w="20" w:type="dxa"/>
            <w:vAlign w:val="bottom"/>
          </w:tcPr>
          <w:p>
            <w:pPr>
              <w:spacing w:after="0"/>
              <w:rPr>
                <w:sz w:val="8"/>
                <w:szCs w:val="8"/>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Calculation</w:t>
            </w:r>
          </w:p>
        </w:tc>
        <w:tc>
          <w:tcPr>
            <w:tcW w:w="20" w:type="dxa"/>
            <w:vAlign w:val="bottom"/>
          </w:tcPr>
          <w:p>
            <w:pPr>
              <w:spacing w:after="0"/>
              <w:rPr>
                <w:sz w:val="8"/>
                <w:szCs w:val="8"/>
                <w:color w:val="auto"/>
              </w:rPr>
            </w:pPr>
          </w:p>
        </w:tc>
        <w:tc>
          <w:tcPr>
            <w:tcW w:w="8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Maximum</w:t>
            </w:r>
          </w:p>
        </w:tc>
        <w:tc>
          <w:tcPr>
            <w:tcW w:w="20" w:type="dxa"/>
            <w:vAlign w:val="bottom"/>
          </w:tcPr>
          <w:p>
            <w:pPr>
              <w:spacing w:after="0"/>
              <w:rPr>
                <w:sz w:val="8"/>
                <w:szCs w:val="8"/>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Maximum</w:t>
            </w:r>
          </w:p>
        </w:tc>
        <w:tc>
          <w:tcPr>
            <w:tcW w:w="20" w:type="dxa"/>
            <w:vAlign w:val="bottom"/>
          </w:tcPr>
          <w:p>
            <w:pPr>
              <w:spacing w:after="0"/>
              <w:rPr>
                <w:sz w:val="8"/>
                <w:szCs w:val="8"/>
                <w:color w:val="auto"/>
              </w:rPr>
            </w:pPr>
          </w:p>
        </w:tc>
        <w:tc>
          <w:tcPr>
            <w:tcW w:w="800" w:type="dxa"/>
            <w:vAlign w:val="bottom"/>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980" w:type="dxa"/>
            <w:vAlign w:val="bottom"/>
            <w:vMerge w:val="restart"/>
            <w:shd w:val="clear" w:color="auto" w:fill="9ADAF6"/>
          </w:tcPr>
          <w:p>
            <w:pPr>
              <w:jc w:val="right"/>
              <w:spacing w:after="0"/>
              <w:rPr>
                <w:sz w:val="20"/>
                <w:szCs w:val="20"/>
                <w:color w:val="auto"/>
              </w:rPr>
            </w:pPr>
            <w:r>
              <w:rPr>
                <w:rFonts w:ascii="Arial" w:cs="Arial" w:eastAsia="Arial" w:hAnsi="Arial"/>
                <w:sz w:val="16"/>
                <w:szCs w:val="16"/>
                <w:b w:val="1"/>
                <w:bCs w:val="1"/>
                <w:color w:val="auto"/>
              </w:rPr>
              <w:t>Amount of</w:t>
            </w:r>
          </w:p>
        </w:tc>
        <w:tc>
          <w:tcPr>
            <w:tcW w:w="20" w:type="dxa"/>
            <w:vAlign w:val="bottom"/>
          </w:tcPr>
          <w:p>
            <w:pPr>
              <w:spacing w:after="0"/>
              <w:rPr>
                <w:sz w:val="8"/>
                <w:szCs w:val="8"/>
                <w:color w:val="auto"/>
              </w:rPr>
            </w:pPr>
          </w:p>
        </w:tc>
        <w:tc>
          <w:tcPr>
            <w:tcW w:w="68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Forward</w:t>
            </w:r>
          </w:p>
        </w:tc>
        <w:tc>
          <w:tcPr>
            <w:tcW w:w="20" w:type="dxa"/>
            <w:vAlign w:val="bottom"/>
          </w:tcPr>
          <w:p>
            <w:pPr>
              <w:spacing w:after="0"/>
              <w:rPr>
                <w:sz w:val="8"/>
                <w:szCs w:val="8"/>
                <w:color w:val="auto"/>
              </w:rPr>
            </w:pPr>
          </w:p>
        </w:tc>
        <w:tc>
          <w:tcPr>
            <w:tcW w:w="940" w:type="dxa"/>
            <w:vAlign w:val="bottom"/>
            <w:tcBorders>
              <w:right w:val="single" w:sz="8" w:color="auto"/>
            </w:tcBorders>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165"/>
        </w:trPr>
        <w:tc>
          <w:tcPr>
            <w:tcW w:w="40" w:type="dxa"/>
            <w:vAlign w:val="bottom"/>
            <w:tcBorders>
              <w:left w:val="single" w:sz="8" w:color="auto"/>
            </w:tcBorders>
          </w:tcPr>
          <w:p>
            <w:pPr>
              <w:spacing w:after="0"/>
              <w:rPr>
                <w:sz w:val="14"/>
                <w:szCs w:val="14"/>
                <w:color w:val="auto"/>
              </w:rPr>
            </w:pPr>
          </w:p>
        </w:tc>
        <w:tc>
          <w:tcPr>
            <w:tcW w:w="7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ind w:left="20"/>
              <w:spacing w:after="0" w:line="165" w:lineRule="exact"/>
              <w:rPr>
                <w:sz w:val="20"/>
                <w:szCs w:val="20"/>
                <w:color w:val="auto"/>
              </w:rPr>
            </w:pPr>
            <w:r>
              <w:rPr>
                <w:rFonts w:ascii="Arial" w:cs="Arial" w:eastAsia="Arial" w:hAnsi="Arial"/>
                <w:sz w:val="16"/>
                <w:szCs w:val="16"/>
                <w:b w:val="1"/>
                <w:bCs w:val="1"/>
                <w:color w:val="auto"/>
              </w:rPr>
              <w:t>Security</w:t>
            </w:r>
          </w:p>
        </w:tc>
        <w:tc>
          <w:tcPr>
            <w:tcW w:w="20" w:type="dxa"/>
            <w:vAlign w:val="bottom"/>
          </w:tcPr>
          <w:p>
            <w:pPr>
              <w:spacing w:after="0"/>
              <w:rPr>
                <w:sz w:val="14"/>
                <w:szCs w:val="14"/>
                <w:color w:val="auto"/>
              </w:rPr>
            </w:pPr>
          </w:p>
        </w:tc>
        <w:tc>
          <w:tcPr>
            <w:tcW w:w="8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shd w:val="clear" w:color="auto" w:fill="9ADAF6"/>
          </w:tcPr>
          <w:p>
            <w:pPr>
              <w:jc w:val="right"/>
              <w:ind w:right="58"/>
              <w:spacing w:after="0" w:line="165" w:lineRule="exact"/>
              <w:rPr>
                <w:sz w:val="20"/>
                <w:szCs w:val="20"/>
                <w:color w:val="auto"/>
              </w:rPr>
            </w:pPr>
            <w:r>
              <w:rPr>
                <w:rFonts w:ascii="Arial" w:cs="Arial" w:eastAsia="Arial" w:hAnsi="Arial"/>
                <w:sz w:val="16"/>
                <w:szCs w:val="16"/>
                <w:b w:val="1"/>
                <w:bCs w:val="1"/>
                <w:color w:val="auto"/>
              </w:rPr>
              <w:t>Amount</w:t>
            </w:r>
          </w:p>
        </w:tc>
        <w:tc>
          <w:tcPr>
            <w:tcW w:w="20" w:type="dxa"/>
            <w:vAlign w:val="bottom"/>
          </w:tcPr>
          <w:p>
            <w:pPr>
              <w:spacing w:after="0"/>
              <w:rPr>
                <w:sz w:val="14"/>
                <w:szCs w:val="14"/>
                <w:color w:val="auto"/>
              </w:rPr>
            </w:pPr>
          </w:p>
        </w:tc>
        <w:tc>
          <w:tcPr>
            <w:tcW w:w="78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98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jc w:val="center"/>
              <w:spacing w:after="0" w:line="165" w:lineRule="exact"/>
              <w:rPr>
                <w:sz w:val="20"/>
                <w:szCs w:val="20"/>
                <w:color w:val="auto"/>
              </w:rPr>
            </w:pPr>
            <w:r>
              <w:rPr>
                <w:rFonts w:ascii="Arial" w:cs="Arial" w:eastAsia="Arial" w:hAnsi="Arial"/>
                <w:sz w:val="16"/>
                <w:szCs w:val="16"/>
                <w:b w:val="1"/>
                <w:bCs w:val="1"/>
                <w:color w:val="auto"/>
              </w:rPr>
              <w:t>Forward</w:t>
            </w:r>
          </w:p>
        </w:tc>
        <w:tc>
          <w:tcPr>
            <w:tcW w:w="20" w:type="dxa"/>
            <w:vAlign w:val="bottom"/>
          </w:tcPr>
          <w:p>
            <w:pPr>
              <w:spacing w:after="0"/>
              <w:rPr>
                <w:sz w:val="14"/>
                <w:szCs w:val="14"/>
                <w:color w:val="auto"/>
              </w:rPr>
            </w:pPr>
          </w:p>
        </w:tc>
        <w:tc>
          <w:tcPr>
            <w:tcW w:w="680" w:type="dxa"/>
            <w:vAlign w:val="bottom"/>
            <w:shd w:val="clear" w:color="auto" w:fill="9ADAF6"/>
          </w:tcPr>
          <w:p>
            <w:pPr>
              <w:jc w:val="center"/>
              <w:spacing w:after="0" w:line="165" w:lineRule="exact"/>
              <w:rPr>
                <w:sz w:val="20"/>
                <w:szCs w:val="20"/>
                <w:color w:val="auto"/>
              </w:rPr>
            </w:pPr>
            <w:r>
              <w:rPr>
                <w:rFonts w:ascii="Arial" w:cs="Arial" w:eastAsia="Arial" w:hAnsi="Arial"/>
                <w:sz w:val="16"/>
                <w:szCs w:val="16"/>
                <w:b w:val="1"/>
                <w:bCs w:val="1"/>
                <w:color w:val="auto"/>
              </w:rPr>
              <w:t>Forward</w:t>
            </w:r>
          </w:p>
        </w:tc>
        <w:tc>
          <w:tcPr>
            <w:tcW w:w="20" w:type="dxa"/>
            <w:vAlign w:val="bottom"/>
          </w:tcPr>
          <w:p>
            <w:pPr>
              <w:spacing w:after="0"/>
              <w:rPr>
                <w:sz w:val="14"/>
                <w:szCs w:val="14"/>
                <w:color w:val="auto"/>
              </w:rPr>
            </w:pPr>
          </w:p>
        </w:tc>
        <w:tc>
          <w:tcPr>
            <w:tcW w:w="86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Borders>
              <w:right w:val="single" w:sz="8" w:color="auto"/>
            </w:tcBorders>
            <w:shd w:val="clear" w:color="auto" w:fill="9ADAF6"/>
          </w:tcPr>
          <w:p>
            <w:pPr>
              <w:jc w:val="center"/>
              <w:spacing w:after="0" w:line="165" w:lineRule="exact"/>
              <w:rPr>
                <w:sz w:val="20"/>
                <w:szCs w:val="20"/>
                <w:color w:val="auto"/>
              </w:rPr>
            </w:pPr>
            <w:r>
              <w:rPr>
                <w:rFonts w:ascii="Arial" w:cs="Arial" w:eastAsia="Arial" w:hAnsi="Arial"/>
                <w:sz w:val="16"/>
                <w:szCs w:val="16"/>
                <w:b w:val="1"/>
                <w:bCs w:val="1"/>
                <w:color w:val="auto"/>
              </w:rPr>
              <w:t>with</w:t>
            </w: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ind w:left="160"/>
              <w:spacing w:after="0"/>
              <w:rPr>
                <w:sz w:val="20"/>
                <w:szCs w:val="20"/>
                <w:color w:val="auto"/>
              </w:rPr>
            </w:pPr>
            <w:r>
              <w:rPr>
                <w:rFonts w:ascii="Arial" w:cs="Arial" w:eastAsia="Arial" w:hAnsi="Arial"/>
                <w:sz w:val="16"/>
                <w:szCs w:val="16"/>
                <w:b w:val="1"/>
                <w:bCs w:val="1"/>
                <w:color w:val="auto"/>
              </w:rPr>
              <w:t>Type</w:t>
            </w: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Class</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or Carry</w:t>
            </w:r>
          </w:p>
        </w:tc>
        <w:tc>
          <w:tcPr>
            <w:tcW w:w="20" w:type="dxa"/>
            <w:vAlign w:val="bottom"/>
          </w:tcPr>
          <w:p>
            <w:pPr>
              <w:spacing w:after="0"/>
              <w:rPr>
                <w:sz w:val="16"/>
                <w:szCs w:val="16"/>
                <w:color w:val="auto"/>
              </w:rPr>
            </w:pPr>
          </w:p>
        </w:tc>
        <w:tc>
          <w:tcPr>
            <w:tcW w:w="880" w:type="dxa"/>
            <w:vAlign w:val="bottom"/>
            <w:shd w:val="clear" w:color="auto" w:fill="9ADAF6"/>
          </w:tcPr>
          <w:p>
            <w:pPr>
              <w:jc w:val="right"/>
              <w:spacing w:after="0"/>
              <w:rPr>
                <w:sz w:val="20"/>
                <w:szCs w:val="20"/>
                <w:color w:val="auto"/>
              </w:rPr>
            </w:pPr>
            <w:r>
              <w:rPr>
                <w:rFonts w:ascii="Arial" w:cs="Arial" w:eastAsia="Arial" w:hAnsi="Arial"/>
                <w:sz w:val="16"/>
                <w:szCs w:val="16"/>
                <w:b w:val="1"/>
                <w:bCs w:val="1"/>
                <w:color w:val="auto"/>
              </w:rPr>
              <w:t>Registered</w:t>
            </w:r>
          </w:p>
        </w:tc>
        <w:tc>
          <w:tcPr>
            <w:tcW w:w="20" w:type="dxa"/>
            <w:vAlign w:val="bottom"/>
          </w:tcPr>
          <w:p>
            <w:pPr>
              <w:spacing w:after="0"/>
              <w:rPr>
                <w:sz w:val="16"/>
                <w:szCs w:val="16"/>
                <w:color w:val="auto"/>
              </w:rPr>
            </w:pPr>
          </w:p>
        </w:tc>
        <w:tc>
          <w:tcPr>
            <w:tcW w:w="7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Offering</w:t>
            </w:r>
          </w:p>
        </w:tc>
        <w:tc>
          <w:tcPr>
            <w:tcW w:w="20" w:type="dxa"/>
            <w:vAlign w:val="bottom"/>
          </w:tcPr>
          <w:p>
            <w:pPr>
              <w:spacing w:after="0"/>
              <w:rPr>
                <w:sz w:val="16"/>
                <w:szCs w:val="16"/>
                <w:color w:val="auto"/>
              </w:rPr>
            </w:pPr>
          </w:p>
        </w:tc>
        <w:tc>
          <w:tcPr>
            <w:tcW w:w="116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Aggregate</w:t>
            </w: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Fee Rate</w:t>
            </w:r>
          </w:p>
        </w:tc>
        <w:tc>
          <w:tcPr>
            <w:tcW w:w="40" w:type="dxa"/>
            <w:vAlign w:val="bottom"/>
          </w:tcPr>
          <w:p>
            <w:pPr>
              <w:spacing w:after="0"/>
              <w:rPr>
                <w:sz w:val="16"/>
                <w:szCs w:val="16"/>
                <w:color w:val="auto"/>
              </w:rPr>
            </w:pPr>
          </w:p>
        </w:tc>
        <w:tc>
          <w:tcPr>
            <w:tcW w:w="980" w:type="dxa"/>
            <w:vAlign w:val="bottom"/>
            <w:shd w:val="clear" w:color="auto" w:fill="9ADAF6"/>
          </w:tcPr>
          <w:p>
            <w:pPr>
              <w:jc w:val="right"/>
              <w:spacing w:after="0"/>
              <w:rPr>
                <w:sz w:val="20"/>
                <w:szCs w:val="20"/>
                <w:color w:val="auto"/>
              </w:rPr>
            </w:pPr>
            <w:r>
              <w:rPr>
                <w:rFonts w:ascii="Arial" w:cs="Arial" w:eastAsia="Arial" w:hAnsi="Arial"/>
                <w:sz w:val="16"/>
                <w:szCs w:val="16"/>
                <w:b w:val="1"/>
                <w:bCs w:val="1"/>
                <w:color w:val="auto"/>
              </w:rPr>
              <w:t>Registration</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Form</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File</w:t>
            </w:r>
          </w:p>
        </w:tc>
        <w:tc>
          <w:tcPr>
            <w:tcW w:w="20" w:type="dxa"/>
            <w:vAlign w:val="bottom"/>
          </w:tcPr>
          <w:p>
            <w:pPr>
              <w:spacing w:after="0"/>
              <w:rPr>
                <w:sz w:val="16"/>
                <w:szCs w:val="16"/>
                <w:color w:val="auto"/>
              </w:rPr>
            </w:pPr>
          </w:p>
        </w:tc>
        <w:tc>
          <w:tcPr>
            <w:tcW w:w="86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Initial</w:t>
            </w:r>
          </w:p>
        </w:tc>
        <w:tc>
          <w:tcPr>
            <w:tcW w:w="20" w:type="dxa"/>
            <w:vAlign w:val="bottom"/>
          </w:tcPr>
          <w:p>
            <w:pPr>
              <w:spacing w:after="0"/>
              <w:rPr>
                <w:sz w:val="16"/>
                <w:szCs w:val="16"/>
                <w:color w:val="auto"/>
              </w:rPr>
            </w:pPr>
          </w:p>
        </w:tc>
        <w:tc>
          <w:tcPr>
            <w:tcW w:w="94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6"/>
                <w:szCs w:val="16"/>
                <w:b w:val="1"/>
                <w:bCs w:val="1"/>
                <w:color w:val="auto"/>
              </w:rPr>
              <w:t>Unsold</w:t>
            </w: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Title</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Forward</w:t>
            </w: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Price Per</w:t>
            </w:r>
          </w:p>
        </w:tc>
        <w:tc>
          <w:tcPr>
            <w:tcW w:w="20" w:type="dxa"/>
            <w:vAlign w:val="bottom"/>
          </w:tcPr>
          <w:p>
            <w:pPr>
              <w:spacing w:after="0"/>
              <w:rPr>
                <w:sz w:val="16"/>
                <w:szCs w:val="16"/>
                <w:color w:val="auto"/>
              </w:rPr>
            </w:pPr>
          </w:p>
        </w:tc>
        <w:tc>
          <w:tcPr>
            <w:tcW w:w="116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Offering Price</w:t>
            </w: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shd w:val="clear" w:color="auto" w:fill="9ADAF6"/>
          </w:tcPr>
          <w:p>
            <w:pPr>
              <w:jc w:val="right"/>
              <w:ind w:right="278"/>
              <w:spacing w:after="0"/>
              <w:rPr>
                <w:sz w:val="20"/>
                <w:szCs w:val="20"/>
                <w:color w:val="auto"/>
              </w:rPr>
            </w:pPr>
            <w:r>
              <w:rPr>
                <w:rFonts w:ascii="Arial" w:cs="Arial" w:eastAsia="Arial" w:hAnsi="Arial"/>
                <w:sz w:val="16"/>
                <w:szCs w:val="16"/>
                <w:b w:val="1"/>
                <w:bCs w:val="1"/>
                <w:color w:val="auto"/>
              </w:rPr>
              <w:t>Fee</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6"/>
              </w:rPr>
              <w:t>Type</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Number</w:t>
            </w:r>
          </w:p>
        </w:tc>
        <w:tc>
          <w:tcPr>
            <w:tcW w:w="20" w:type="dxa"/>
            <w:vAlign w:val="bottom"/>
          </w:tcPr>
          <w:p>
            <w:pPr>
              <w:spacing w:after="0"/>
              <w:rPr>
                <w:sz w:val="16"/>
                <w:szCs w:val="16"/>
                <w:color w:val="auto"/>
              </w:rPr>
            </w:pPr>
          </w:p>
        </w:tc>
        <w:tc>
          <w:tcPr>
            <w:tcW w:w="86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Effective</w:t>
            </w:r>
          </w:p>
        </w:tc>
        <w:tc>
          <w:tcPr>
            <w:tcW w:w="20" w:type="dxa"/>
            <w:vAlign w:val="bottom"/>
          </w:tcPr>
          <w:p>
            <w:pPr>
              <w:spacing w:after="0"/>
              <w:rPr>
                <w:sz w:val="16"/>
                <w:szCs w:val="16"/>
                <w:color w:val="auto"/>
              </w:rPr>
            </w:pPr>
          </w:p>
        </w:tc>
        <w:tc>
          <w:tcPr>
            <w:tcW w:w="94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6"/>
                <w:szCs w:val="16"/>
                <w:b w:val="1"/>
                <w:bCs w:val="1"/>
                <w:color w:val="auto"/>
              </w:rPr>
              <w:t>Securities</w:t>
            </w: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Rule</w:t>
            </w: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Unit</w:t>
            </w:r>
          </w:p>
        </w:tc>
        <w:tc>
          <w:tcPr>
            <w:tcW w:w="20" w:type="dxa"/>
            <w:vAlign w:val="bottom"/>
          </w:tcPr>
          <w:p>
            <w:pPr>
              <w:spacing w:after="0"/>
              <w:rPr>
                <w:sz w:val="16"/>
                <w:szCs w:val="16"/>
                <w:color w:val="auto"/>
              </w:rPr>
            </w:pPr>
          </w:p>
        </w:tc>
        <w:tc>
          <w:tcPr>
            <w:tcW w:w="11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Date</w:t>
            </w:r>
          </w:p>
        </w:tc>
        <w:tc>
          <w:tcPr>
            <w:tcW w:w="20" w:type="dxa"/>
            <w:vAlign w:val="bottom"/>
          </w:tcPr>
          <w:p>
            <w:pPr>
              <w:spacing w:after="0"/>
              <w:rPr>
                <w:sz w:val="16"/>
                <w:szCs w:val="16"/>
                <w:color w:val="auto"/>
              </w:rPr>
            </w:pPr>
          </w:p>
        </w:tc>
        <w:tc>
          <w:tcPr>
            <w:tcW w:w="94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to be</w:t>
            </w: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7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9ADAF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right w:val="single" w:sz="8" w:color="auto"/>
            </w:tcBorders>
            <w:vMerge w:val="continue"/>
            <w:shd w:val="clear" w:color="auto" w:fill="9ADAF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6"/>
                <w:szCs w:val="16"/>
                <w:b w:val="1"/>
                <w:bCs w:val="1"/>
                <w:color w:val="auto"/>
              </w:rPr>
              <w:t>Carried</w:t>
            </w:r>
          </w:p>
        </w:tc>
        <w:tc>
          <w:tcPr>
            <w:tcW w:w="0" w:type="dxa"/>
            <w:vAlign w:val="bottom"/>
          </w:tcPr>
          <w:p>
            <w:pPr>
              <w:spacing w:after="0"/>
              <w:rPr>
                <w:sz w:val="1"/>
                <w:szCs w:val="1"/>
                <w:color w:val="auto"/>
              </w:rPr>
            </w:pPr>
          </w:p>
        </w:tc>
      </w:tr>
      <w:tr>
        <w:trPr>
          <w:trHeight w:val="216"/>
        </w:trPr>
        <w:tc>
          <w:tcPr>
            <w:tcW w:w="40" w:type="dxa"/>
            <w:vAlign w:val="bottom"/>
            <w:tcBorders>
              <w:left w:val="single" w:sz="8" w:color="auto"/>
            </w:tcBorders>
          </w:tcPr>
          <w:p>
            <w:pPr>
              <w:spacing w:after="0"/>
              <w:rPr>
                <w:sz w:val="18"/>
                <w:szCs w:val="18"/>
                <w:color w:val="auto"/>
              </w:rPr>
            </w:pPr>
          </w:p>
        </w:tc>
        <w:tc>
          <w:tcPr>
            <w:tcW w:w="7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6"/>
                <w:szCs w:val="16"/>
                <w:b w:val="1"/>
                <w:bCs w:val="1"/>
                <w:color w:val="auto"/>
              </w:rPr>
              <w:t>Forward</w:t>
            </w:r>
          </w:p>
        </w:tc>
        <w:tc>
          <w:tcPr>
            <w:tcW w:w="0" w:type="dxa"/>
            <w:vAlign w:val="bottom"/>
          </w:tcPr>
          <w:p>
            <w:pPr>
              <w:spacing w:after="0"/>
              <w:rPr>
                <w:sz w:val="1"/>
                <w:szCs w:val="1"/>
                <w:color w:val="auto"/>
              </w:rPr>
            </w:pPr>
          </w:p>
        </w:tc>
      </w:tr>
      <w:tr>
        <w:trPr>
          <w:trHeight w:val="241"/>
        </w:trPr>
        <w:tc>
          <w:tcPr>
            <w:tcW w:w="40" w:type="dxa"/>
            <w:vAlign w:val="bottom"/>
            <w:tcBorders>
              <w:left w:val="single" w:sz="8" w:color="auto"/>
            </w:tcBorders>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80" w:type="dxa"/>
            <w:vAlign w:val="bottom"/>
            <w:gridSpan w:val="5"/>
          </w:tcPr>
          <w:p>
            <w:pPr>
              <w:jc w:val="center"/>
              <w:spacing w:after="0"/>
              <w:rPr>
                <w:sz w:val="20"/>
                <w:szCs w:val="20"/>
                <w:color w:val="auto"/>
              </w:rPr>
            </w:pPr>
            <w:r>
              <w:rPr>
                <w:rFonts w:ascii="Arial" w:cs="Arial" w:eastAsia="Arial" w:hAnsi="Arial"/>
                <w:sz w:val="16"/>
                <w:szCs w:val="16"/>
                <w:b w:val="1"/>
                <w:bCs w:val="1"/>
                <w:color w:val="auto"/>
              </w:rPr>
              <w:t>Newly Registered Securities</w:t>
            </w:r>
          </w:p>
        </w:tc>
        <w:tc>
          <w:tcPr>
            <w:tcW w:w="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40" w:type="dxa"/>
            <w:vAlign w:val="bottom"/>
            <w:tcBorders>
              <w:left w:val="single" w:sz="8" w:color="auto"/>
            </w:tcBorders>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ind w:left="20"/>
              <w:spacing w:after="0" w:line="181" w:lineRule="exact"/>
              <w:rPr>
                <w:sz w:val="20"/>
                <w:szCs w:val="20"/>
                <w:color w:val="auto"/>
              </w:rPr>
            </w:pPr>
            <w:r>
              <w:rPr>
                <w:rFonts w:ascii="Arial" w:cs="Arial" w:eastAsia="Arial" w:hAnsi="Arial"/>
                <w:sz w:val="16"/>
                <w:szCs w:val="16"/>
                <w:color w:val="auto"/>
              </w:rPr>
              <w:t>Flexible</w:t>
            </w: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78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Fees to</w:t>
            </w: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ind w:left="20"/>
              <w:spacing w:after="0"/>
              <w:rPr>
                <w:sz w:val="20"/>
                <w:szCs w:val="20"/>
                <w:color w:val="auto"/>
              </w:rPr>
            </w:pPr>
            <w:r>
              <w:rPr>
                <w:rFonts w:ascii="Arial" w:cs="Arial" w:eastAsia="Arial" w:hAnsi="Arial"/>
                <w:sz w:val="16"/>
                <w:szCs w:val="16"/>
                <w:color w:val="auto"/>
              </w:rPr>
              <w:t>Adjustable</w:t>
            </w: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78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Other</w:t>
            </w:r>
          </w:p>
        </w:tc>
        <w:tc>
          <w:tcPr>
            <w:tcW w:w="20" w:type="dxa"/>
            <w:vAlign w:val="bottom"/>
          </w:tcPr>
          <w:p>
            <w:pPr>
              <w:spacing w:after="0"/>
              <w:rPr>
                <w:sz w:val="8"/>
                <w:szCs w:val="8"/>
                <w:color w:val="auto"/>
              </w:rPr>
            </w:pPr>
          </w:p>
        </w:tc>
        <w:tc>
          <w:tcPr>
            <w:tcW w:w="80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Life</w:t>
            </w:r>
          </w:p>
        </w:tc>
        <w:tc>
          <w:tcPr>
            <w:tcW w:w="20" w:type="dxa"/>
            <w:vAlign w:val="bottom"/>
          </w:tcPr>
          <w:p>
            <w:pPr>
              <w:spacing w:after="0"/>
              <w:rPr>
                <w:sz w:val="8"/>
                <w:szCs w:val="8"/>
                <w:color w:val="auto"/>
              </w:rPr>
            </w:pPr>
          </w:p>
        </w:tc>
        <w:tc>
          <w:tcPr>
            <w:tcW w:w="92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457(o)</w:t>
            </w:r>
          </w:p>
        </w:tc>
        <w:tc>
          <w:tcPr>
            <w:tcW w:w="20" w:type="dxa"/>
            <w:vAlign w:val="bottom"/>
          </w:tcPr>
          <w:p>
            <w:pPr>
              <w:spacing w:after="0"/>
              <w:rPr>
                <w:sz w:val="8"/>
                <w:szCs w:val="8"/>
                <w:color w:val="auto"/>
              </w:rPr>
            </w:pPr>
          </w:p>
        </w:tc>
        <w:tc>
          <w:tcPr>
            <w:tcW w:w="8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$ 0.00</w:t>
            </w:r>
          </w:p>
        </w:tc>
        <w:tc>
          <w:tcPr>
            <w:tcW w:w="20" w:type="dxa"/>
            <w:vAlign w:val="bottom"/>
          </w:tcPr>
          <w:p>
            <w:pPr>
              <w:spacing w:after="0"/>
              <w:rPr>
                <w:sz w:val="8"/>
                <w:szCs w:val="8"/>
                <w:color w:val="auto"/>
              </w:rPr>
            </w:pPr>
          </w:p>
        </w:tc>
        <w:tc>
          <w:tcPr>
            <w:tcW w:w="80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0.0001381</w:t>
            </w:r>
          </w:p>
        </w:tc>
        <w:tc>
          <w:tcPr>
            <w:tcW w:w="40" w:type="dxa"/>
            <w:vAlign w:val="bottom"/>
          </w:tcPr>
          <w:p>
            <w:pPr>
              <w:spacing w:after="0"/>
              <w:rPr>
                <w:sz w:val="8"/>
                <w:szCs w:val="8"/>
                <w:color w:val="auto"/>
              </w:rPr>
            </w:pPr>
          </w:p>
        </w:tc>
        <w:tc>
          <w:tcPr>
            <w:tcW w:w="98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$ 0.00</w:t>
            </w: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78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be Paid</w:t>
            </w:r>
          </w:p>
        </w:tc>
        <w:tc>
          <w:tcPr>
            <w:tcW w:w="20" w:type="dxa"/>
            <w:vAlign w:val="bottom"/>
          </w:tcPr>
          <w:p>
            <w:pPr>
              <w:spacing w:after="0"/>
              <w:rPr>
                <w:sz w:val="8"/>
                <w:szCs w:val="8"/>
                <w:color w:val="auto"/>
              </w:rPr>
            </w:pPr>
          </w:p>
        </w:tc>
        <w:tc>
          <w:tcPr>
            <w:tcW w:w="1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vMerge w:val="continue"/>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98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40" w:type="dxa"/>
            <w:vAlign w:val="bottom"/>
            <w:tcBorders>
              <w:left w:val="single" w:sz="8" w:color="auto"/>
            </w:tcBorders>
          </w:tcPr>
          <w:p>
            <w:pPr>
              <w:spacing w:after="0"/>
              <w:rPr>
                <w:sz w:val="10"/>
                <w:szCs w:val="10"/>
                <w:color w:val="auto"/>
              </w:rPr>
            </w:pPr>
          </w:p>
        </w:tc>
        <w:tc>
          <w:tcPr>
            <w:tcW w:w="7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Insurance</w:t>
            </w:r>
          </w:p>
        </w:tc>
        <w:tc>
          <w:tcPr>
            <w:tcW w:w="20" w:type="dxa"/>
            <w:vAlign w:val="bottom"/>
          </w:tcPr>
          <w:p>
            <w:pPr>
              <w:spacing w:after="0"/>
              <w:rPr>
                <w:sz w:val="10"/>
                <w:szCs w:val="10"/>
                <w:color w:val="auto"/>
              </w:rPr>
            </w:pPr>
          </w:p>
        </w:tc>
        <w:tc>
          <w:tcPr>
            <w:tcW w:w="9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shd w:val="clear" w:color="auto" w:fill="E7E7E2"/>
          </w:tcPr>
          <w:p>
            <w:pPr>
              <w:spacing w:after="0"/>
              <w:rPr>
                <w:sz w:val="10"/>
                <w:szCs w:val="10"/>
                <w:color w:val="auto"/>
              </w:rPr>
            </w:pPr>
          </w:p>
        </w:tc>
        <w:tc>
          <w:tcPr>
            <w:tcW w:w="40" w:type="dxa"/>
            <w:vAlign w:val="bottom"/>
          </w:tcPr>
          <w:p>
            <w:pPr>
              <w:spacing w:after="0"/>
              <w:rPr>
                <w:sz w:val="10"/>
                <w:szCs w:val="10"/>
                <w:color w:val="auto"/>
              </w:rPr>
            </w:pPr>
          </w:p>
        </w:tc>
        <w:tc>
          <w:tcPr>
            <w:tcW w:w="9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tcBorders>
              <w:right w:val="single" w:sz="8" w:color="auto"/>
            </w:tcBorders>
            <w:shd w:val="clear" w:color="auto" w:fill="E7E7E2"/>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Borders>
              <w:left w:val="single" w:sz="8" w:color="auto"/>
            </w:tcBorders>
          </w:tcPr>
          <w:p>
            <w:pPr>
              <w:spacing w:after="0"/>
              <w:rPr>
                <w:sz w:val="5"/>
                <w:szCs w:val="5"/>
                <w:color w:val="auto"/>
              </w:rPr>
            </w:pPr>
          </w:p>
        </w:tc>
        <w:tc>
          <w:tcPr>
            <w:tcW w:w="7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vMerge w:val="continue"/>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16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shd w:val="clear" w:color="auto" w:fill="E7E7E2"/>
          </w:tcPr>
          <w:p>
            <w:pPr>
              <w:spacing w:after="0"/>
              <w:rPr>
                <w:sz w:val="5"/>
                <w:szCs w:val="5"/>
                <w:color w:val="auto"/>
              </w:rPr>
            </w:pPr>
          </w:p>
        </w:tc>
        <w:tc>
          <w:tcPr>
            <w:tcW w:w="40" w:type="dxa"/>
            <w:vAlign w:val="bottom"/>
          </w:tcPr>
          <w:p>
            <w:pPr>
              <w:spacing w:after="0"/>
              <w:rPr>
                <w:sz w:val="5"/>
                <w:szCs w:val="5"/>
                <w:color w:val="auto"/>
              </w:rPr>
            </w:pPr>
          </w:p>
        </w:tc>
        <w:tc>
          <w:tcPr>
            <w:tcW w:w="9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6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40" w:type="dxa"/>
            <w:vAlign w:val="bottom"/>
            <w:tcBorders>
              <w:right w:val="single" w:sz="8" w:color="auto"/>
            </w:tcBorders>
            <w:shd w:val="clear" w:color="auto" w:fill="E7E7E2"/>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0" w:type="dxa"/>
            <w:vAlign w:val="bottom"/>
            <w:tcBorders>
              <w:left w:val="single" w:sz="8" w:color="auto"/>
            </w:tcBorders>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ind w:left="20"/>
              <w:spacing w:after="0"/>
              <w:rPr>
                <w:sz w:val="20"/>
                <w:szCs w:val="20"/>
                <w:color w:val="auto"/>
              </w:rPr>
            </w:pPr>
            <w:r>
              <w:rPr>
                <w:rFonts w:ascii="Arial" w:cs="Arial" w:eastAsia="Arial" w:hAnsi="Arial"/>
                <w:sz w:val="16"/>
                <w:szCs w:val="16"/>
                <w:color w:val="auto"/>
              </w:rPr>
              <w:t>Policy</w:t>
            </w: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right w:val="single" w:sz="8" w:color="auto"/>
            </w:tcBorders>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40" w:type="dxa"/>
            <w:vAlign w:val="bottom"/>
            <w:tcBorders>
              <w:left w:val="single" w:sz="8" w:color="auto"/>
            </w:tcBorders>
          </w:tcPr>
          <w:p>
            <w:pPr>
              <w:spacing w:after="0"/>
              <w:rPr>
                <w:sz w:val="15"/>
                <w:szCs w:val="15"/>
                <w:color w:val="auto"/>
              </w:rPr>
            </w:pPr>
          </w:p>
        </w:tc>
        <w:tc>
          <w:tcPr>
            <w:tcW w:w="780" w:type="dxa"/>
            <w:vAlign w:val="bottom"/>
            <w:shd w:val="clear" w:color="auto" w:fill="E7E7E2"/>
          </w:tcPr>
          <w:p>
            <w:pPr>
              <w:spacing w:after="0" w:line="175" w:lineRule="exact"/>
              <w:rPr>
                <w:sz w:val="20"/>
                <w:szCs w:val="20"/>
                <w:color w:val="auto"/>
              </w:rPr>
            </w:pPr>
            <w:r>
              <w:rPr>
                <w:rFonts w:ascii="Arial" w:cs="Arial" w:eastAsia="Arial" w:hAnsi="Arial"/>
                <w:sz w:val="16"/>
                <w:szCs w:val="16"/>
                <w:color w:val="auto"/>
              </w:rPr>
              <w:t>Fees</w:t>
            </w: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rPr>
                <w:sz w:val="20"/>
                <w:szCs w:val="20"/>
                <w:color w:val="auto"/>
              </w:rPr>
            </w:pPr>
            <w:r>
              <w:rPr>
                <w:rFonts w:ascii="Arial" w:cs="Arial" w:eastAsia="Arial" w:hAnsi="Arial"/>
                <w:sz w:val="16"/>
                <w:szCs w:val="16"/>
                <w:color w:val="auto"/>
              </w:rPr>
              <w:t>Previously</w:t>
            </w: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 w:type="dxa"/>
            <w:vAlign w:val="bottom"/>
            <w:tcBorders>
              <w:left w:val="single" w:sz="8" w:color="auto"/>
            </w:tcBorders>
          </w:tcPr>
          <w:p>
            <w:pPr>
              <w:spacing w:after="0"/>
              <w:rPr>
                <w:sz w:val="18"/>
                <w:szCs w:val="18"/>
                <w:color w:val="auto"/>
              </w:rPr>
            </w:pPr>
          </w:p>
        </w:tc>
        <w:tc>
          <w:tcPr>
            <w:tcW w:w="780" w:type="dxa"/>
            <w:vAlign w:val="bottom"/>
            <w:shd w:val="clear" w:color="auto" w:fill="E7E7E2"/>
          </w:tcPr>
          <w:p>
            <w:pPr>
              <w:spacing w:after="0"/>
              <w:rPr>
                <w:sz w:val="20"/>
                <w:szCs w:val="20"/>
                <w:color w:val="auto"/>
              </w:rPr>
            </w:pPr>
            <w:r>
              <w:rPr>
                <w:rFonts w:ascii="Arial" w:cs="Arial" w:eastAsia="Arial" w:hAnsi="Arial"/>
                <w:sz w:val="16"/>
                <w:szCs w:val="16"/>
                <w:color w:val="auto"/>
              </w:rPr>
              <w:t>Paid</w:t>
            </w:r>
          </w:p>
        </w:tc>
        <w:tc>
          <w:tcPr>
            <w:tcW w:w="20" w:type="dxa"/>
            <w:vAlign w:val="bottom"/>
          </w:tcPr>
          <w:p>
            <w:pPr>
              <w:spacing w:after="0"/>
              <w:rPr>
                <w:sz w:val="18"/>
                <w:szCs w:val="18"/>
                <w:color w:val="auto"/>
              </w:rPr>
            </w:pPr>
          </w:p>
        </w:tc>
        <w:tc>
          <w:tcPr>
            <w:tcW w:w="1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right w:val="single" w:sz="8" w:color="auto"/>
            </w:tcBorders>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0" w:type="dxa"/>
            <w:vAlign w:val="bottom"/>
            <w:tcBorders>
              <w:left w:val="single" w:sz="8" w:color="auto"/>
            </w:tcBorders>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80" w:type="dxa"/>
            <w:vAlign w:val="bottom"/>
            <w:gridSpan w:val="5"/>
          </w:tcPr>
          <w:p>
            <w:pPr>
              <w:jc w:val="center"/>
              <w:spacing w:after="0"/>
              <w:rPr>
                <w:sz w:val="20"/>
                <w:szCs w:val="20"/>
                <w:color w:val="auto"/>
              </w:rPr>
            </w:pPr>
            <w:r>
              <w:rPr>
                <w:rFonts w:ascii="Arial" w:cs="Arial" w:eastAsia="Arial" w:hAnsi="Arial"/>
                <w:sz w:val="16"/>
                <w:szCs w:val="16"/>
                <w:b w:val="1"/>
                <w:bCs w:val="1"/>
                <w:color w:val="auto"/>
              </w:rPr>
              <w:t>Carry Forward Securities</w:t>
            </w:r>
          </w:p>
        </w:tc>
        <w:tc>
          <w:tcPr>
            <w:tcW w:w="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40" w:type="dxa"/>
            <w:vAlign w:val="bottom"/>
            <w:tcBorders>
              <w:left w:val="single" w:sz="8" w:color="auto"/>
            </w:tcBorders>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ind w:left="20"/>
              <w:spacing w:after="0" w:line="181" w:lineRule="exact"/>
              <w:rPr>
                <w:sz w:val="20"/>
                <w:szCs w:val="20"/>
                <w:color w:val="auto"/>
              </w:rPr>
            </w:pPr>
            <w:r>
              <w:rPr>
                <w:rFonts w:ascii="Arial" w:cs="Arial" w:eastAsia="Arial" w:hAnsi="Arial"/>
                <w:sz w:val="16"/>
                <w:szCs w:val="16"/>
                <w:color w:val="auto"/>
              </w:rPr>
              <w:t>Flexible</w:t>
            </w: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rPr>
                <w:sz w:val="20"/>
                <w:szCs w:val="20"/>
                <w:color w:val="auto"/>
              </w:rPr>
            </w:pPr>
            <w:r>
              <w:rPr>
                <w:rFonts w:ascii="Arial" w:cs="Arial" w:eastAsia="Arial" w:hAnsi="Arial"/>
                <w:sz w:val="16"/>
                <w:szCs w:val="16"/>
                <w:color w:val="auto"/>
              </w:rPr>
              <w:t>Carry</w:t>
            </w: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ind w:left="20"/>
              <w:spacing w:after="0"/>
              <w:rPr>
                <w:sz w:val="20"/>
                <w:szCs w:val="20"/>
                <w:color w:val="auto"/>
              </w:rPr>
            </w:pPr>
            <w:r>
              <w:rPr>
                <w:rFonts w:ascii="Arial" w:cs="Arial" w:eastAsia="Arial" w:hAnsi="Arial"/>
                <w:sz w:val="16"/>
                <w:szCs w:val="16"/>
                <w:color w:val="auto"/>
              </w:rPr>
              <w:t>Adjustable</w:t>
            </w: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vMerge w:val="restart"/>
            <w:shd w:val="clear" w:color="auto" w:fill="E7E7E2"/>
          </w:tcPr>
          <w:p>
            <w:pPr>
              <w:jc w:val="right"/>
              <w:ind w:right="98"/>
              <w:spacing w:after="0"/>
              <w:rPr>
                <w:sz w:val="20"/>
                <w:szCs w:val="20"/>
                <w:color w:val="auto"/>
              </w:rPr>
            </w:pPr>
            <w:r>
              <w:rPr>
                <w:rFonts w:ascii="Arial" w:cs="Arial" w:eastAsia="Arial" w:hAnsi="Arial"/>
                <w:sz w:val="16"/>
                <w:szCs w:val="16"/>
                <w:color w:val="auto"/>
              </w:rPr>
              <w:t>333-</w:t>
            </w: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78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Forward</w:t>
            </w:r>
          </w:p>
        </w:tc>
        <w:tc>
          <w:tcPr>
            <w:tcW w:w="20" w:type="dxa"/>
            <w:vAlign w:val="bottom"/>
          </w:tcPr>
          <w:p>
            <w:pPr>
              <w:spacing w:after="0"/>
              <w:rPr>
                <w:sz w:val="8"/>
                <w:szCs w:val="8"/>
                <w:color w:val="auto"/>
              </w:rPr>
            </w:pPr>
          </w:p>
        </w:tc>
        <w:tc>
          <w:tcPr>
            <w:tcW w:w="10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w w:val="89"/>
              </w:rPr>
              <w:t>1</w:t>
            </w:r>
          </w:p>
        </w:tc>
        <w:tc>
          <w:tcPr>
            <w:tcW w:w="20" w:type="dxa"/>
            <w:vAlign w:val="bottom"/>
          </w:tcPr>
          <w:p>
            <w:pPr>
              <w:spacing w:after="0"/>
              <w:rPr>
                <w:sz w:val="8"/>
                <w:szCs w:val="8"/>
                <w:color w:val="auto"/>
              </w:rPr>
            </w:pPr>
          </w:p>
        </w:tc>
        <w:tc>
          <w:tcPr>
            <w:tcW w:w="68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Other</w:t>
            </w:r>
          </w:p>
        </w:tc>
        <w:tc>
          <w:tcPr>
            <w:tcW w:w="20" w:type="dxa"/>
            <w:vAlign w:val="bottom"/>
          </w:tcPr>
          <w:p>
            <w:pPr>
              <w:spacing w:after="0"/>
              <w:rPr>
                <w:sz w:val="8"/>
                <w:szCs w:val="8"/>
                <w:color w:val="auto"/>
              </w:rPr>
            </w:pPr>
          </w:p>
        </w:tc>
        <w:tc>
          <w:tcPr>
            <w:tcW w:w="80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Life</w:t>
            </w:r>
          </w:p>
        </w:tc>
        <w:tc>
          <w:tcPr>
            <w:tcW w:w="20" w:type="dxa"/>
            <w:vAlign w:val="bottom"/>
          </w:tcPr>
          <w:p>
            <w:pPr>
              <w:spacing w:after="0"/>
              <w:rPr>
                <w:sz w:val="8"/>
                <w:szCs w:val="8"/>
                <w:color w:val="auto"/>
              </w:rPr>
            </w:pPr>
          </w:p>
        </w:tc>
        <w:tc>
          <w:tcPr>
            <w:tcW w:w="92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415(a)(6)</w:t>
            </w:r>
          </w:p>
        </w:tc>
        <w:tc>
          <w:tcPr>
            <w:tcW w:w="20" w:type="dxa"/>
            <w:vAlign w:val="bottom"/>
          </w:tcPr>
          <w:p>
            <w:pPr>
              <w:spacing w:after="0"/>
              <w:rPr>
                <w:sz w:val="8"/>
                <w:szCs w:val="8"/>
                <w:color w:val="auto"/>
              </w:rPr>
            </w:pPr>
          </w:p>
        </w:tc>
        <w:tc>
          <w:tcPr>
            <w:tcW w:w="88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0</w:t>
            </w:r>
          </w:p>
        </w:tc>
        <w:tc>
          <w:tcPr>
            <w:tcW w:w="20" w:type="dxa"/>
            <w:vAlign w:val="bottom"/>
          </w:tcPr>
          <w:p>
            <w:pPr>
              <w:spacing w:after="0"/>
              <w:rPr>
                <w:sz w:val="8"/>
                <w:szCs w:val="8"/>
                <w:color w:val="auto"/>
              </w:rPr>
            </w:pPr>
          </w:p>
        </w:tc>
        <w:tc>
          <w:tcPr>
            <w:tcW w:w="7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9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S-3</w:t>
            </w:r>
          </w:p>
        </w:tc>
        <w:tc>
          <w:tcPr>
            <w:tcW w:w="20" w:type="dxa"/>
            <w:vAlign w:val="bottom"/>
          </w:tcPr>
          <w:p>
            <w:pPr>
              <w:spacing w:after="0"/>
              <w:rPr>
                <w:sz w:val="8"/>
                <w:szCs w:val="8"/>
                <w:color w:val="auto"/>
              </w:rPr>
            </w:pPr>
          </w:p>
        </w:tc>
        <w:tc>
          <w:tcPr>
            <w:tcW w:w="68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07/13/2023</w:t>
            </w:r>
          </w:p>
        </w:tc>
        <w:tc>
          <w:tcPr>
            <w:tcW w:w="20" w:type="dxa"/>
            <w:vAlign w:val="bottom"/>
          </w:tcPr>
          <w:p>
            <w:pPr>
              <w:spacing w:after="0"/>
              <w:rPr>
                <w:sz w:val="8"/>
                <w:szCs w:val="8"/>
                <w:color w:val="auto"/>
              </w:rPr>
            </w:pPr>
          </w:p>
        </w:tc>
        <w:tc>
          <w:tcPr>
            <w:tcW w:w="940" w:type="dxa"/>
            <w:vAlign w:val="bottom"/>
            <w:tcBorders>
              <w:right w:val="single" w:sz="8" w:color="auto"/>
            </w:tcBorders>
            <w:vMerge w:val="restart"/>
            <w:shd w:val="clear" w:color="auto" w:fill="E7E7E2"/>
          </w:tcPr>
          <w:p>
            <w:pPr>
              <w:jc w:val="center"/>
              <w:spacing w:after="0"/>
              <w:rPr>
                <w:sz w:val="20"/>
                <w:szCs w:val="20"/>
                <w:color w:val="auto"/>
              </w:rPr>
            </w:pPr>
            <w:r>
              <w:rPr>
                <w:rFonts w:ascii="Arial" w:cs="Arial" w:eastAsia="Arial" w:hAnsi="Arial"/>
                <w:sz w:val="16"/>
                <w:szCs w:val="16"/>
                <w:color w:val="auto"/>
              </w:rPr>
              <w:t>$ 50,253.32</w:t>
            </w:r>
          </w:p>
        </w:tc>
        <w:tc>
          <w:tcPr>
            <w:tcW w:w="0" w:type="dxa"/>
            <w:vAlign w:val="bottom"/>
          </w:tcPr>
          <w:p>
            <w:pPr>
              <w:spacing w:after="0"/>
              <w:rPr>
                <w:sz w:val="1"/>
                <w:szCs w:val="1"/>
                <w:color w:val="auto"/>
              </w:rPr>
            </w:pPr>
          </w:p>
        </w:tc>
      </w:tr>
      <w:tr>
        <w:trPr>
          <w:trHeight w:val="165"/>
        </w:trPr>
        <w:tc>
          <w:tcPr>
            <w:tcW w:w="40" w:type="dxa"/>
            <w:vAlign w:val="bottom"/>
            <w:tcBorders>
              <w:left w:val="single" w:sz="8" w:color="auto"/>
            </w:tcBorders>
          </w:tcPr>
          <w:p>
            <w:pPr>
              <w:spacing w:after="0"/>
              <w:rPr>
                <w:sz w:val="14"/>
                <w:szCs w:val="14"/>
                <w:color w:val="auto"/>
              </w:rPr>
            </w:pPr>
          </w:p>
        </w:tc>
        <w:tc>
          <w:tcPr>
            <w:tcW w:w="7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shd w:val="clear" w:color="auto" w:fill="E7E7E2"/>
          </w:tcPr>
          <w:p>
            <w:pPr>
              <w:jc w:val="right"/>
              <w:spacing w:after="0" w:line="165" w:lineRule="exact"/>
              <w:rPr>
                <w:sz w:val="20"/>
                <w:szCs w:val="20"/>
                <w:color w:val="auto"/>
              </w:rPr>
            </w:pPr>
            <w:r>
              <w:rPr>
                <w:rFonts w:ascii="Arial" w:cs="Arial" w:eastAsia="Arial" w:hAnsi="Arial"/>
                <w:sz w:val="16"/>
                <w:szCs w:val="16"/>
                <w:color w:val="auto"/>
              </w:rPr>
              <w:t>456,019,200.09</w:t>
            </w:r>
          </w:p>
        </w:tc>
        <w:tc>
          <w:tcPr>
            <w:tcW w:w="20" w:type="dxa"/>
            <w:vAlign w:val="bottom"/>
          </w:tcPr>
          <w:p>
            <w:pPr>
              <w:spacing w:after="0"/>
              <w:rPr>
                <w:sz w:val="14"/>
                <w:szCs w:val="14"/>
                <w:color w:val="auto"/>
              </w:rPr>
            </w:pPr>
          </w:p>
        </w:tc>
        <w:tc>
          <w:tcPr>
            <w:tcW w:w="800" w:type="dxa"/>
            <w:vAlign w:val="bottom"/>
            <w:shd w:val="clear" w:color="auto" w:fill="E7E7E2"/>
          </w:tcPr>
          <w:p>
            <w:pPr>
              <w:spacing w:after="0"/>
              <w:rPr>
                <w:sz w:val="14"/>
                <w:szCs w:val="14"/>
                <w:color w:val="auto"/>
              </w:rPr>
            </w:pPr>
          </w:p>
        </w:tc>
        <w:tc>
          <w:tcPr>
            <w:tcW w:w="40" w:type="dxa"/>
            <w:vAlign w:val="bottom"/>
          </w:tcPr>
          <w:p>
            <w:pPr>
              <w:spacing w:after="0"/>
              <w:rPr>
                <w:sz w:val="14"/>
                <w:szCs w:val="14"/>
                <w:color w:val="auto"/>
              </w:rPr>
            </w:pPr>
          </w:p>
        </w:tc>
        <w:tc>
          <w:tcPr>
            <w:tcW w:w="9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E7E7E2"/>
          </w:tcPr>
          <w:p>
            <w:pPr>
              <w:jc w:val="right"/>
              <w:spacing w:after="0" w:line="165" w:lineRule="exact"/>
              <w:rPr>
                <w:sz w:val="20"/>
                <w:szCs w:val="20"/>
                <w:color w:val="auto"/>
              </w:rPr>
            </w:pPr>
            <w:r>
              <w:rPr>
                <w:rFonts w:ascii="Arial" w:cs="Arial" w:eastAsia="Arial" w:hAnsi="Arial"/>
                <w:sz w:val="16"/>
                <w:szCs w:val="16"/>
                <w:color w:val="auto"/>
              </w:rPr>
              <w:t>268618</w:t>
            </w:r>
          </w:p>
        </w:tc>
        <w:tc>
          <w:tcPr>
            <w:tcW w:w="20" w:type="dxa"/>
            <w:vAlign w:val="bottom"/>
          </w:tcPr>
          <w:p>
            <w:pPr>
              <w:spacing w:after="0"/>
              <w:rPr>
                <w:sz w:val="14"/>
                <w:szCs w:val="14"/>
                <w:color w:val="auto"/>
              </w:rPr>
            </w:pPr>
          </w:p>
        </w:tc>
        <w:tc>
          <w:tcPr>
            <w:tcW w:w="86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Borders>
              <w:right w:val="single" w:sz="8" w:color="auto"/>
            </w:tcBorders>
            <w:vMerge w:val="continue"/>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40" w:type="dxa"/>
            <w:vAlign w:val="bottom"/>
            <w:tcBorders>
              <w:left w:val="single" w:sz="8" w:color="auto"/>
            </w:tcBorders>
          </w:tcPr>
          <w:p>
            <w:pPr>
              <w:spacing w:after="0"/>
              <w:rPr>
                <w:sz w:val="9"/>
                <w:szCs w:val="9"/>
                <w:color w:val="auto"/>
              </w:rPr>
            </w:pPr>
          </w:p>
        </w:tc>
        <w:tc>
          <w:tcPr>
            <w:tcW w:w="780" w:type="dxa"/>
            <w:vAlign w:val="bottom"/>
            <w:shd w:val="clear" w:color="auto" w:fill="E7E7E2"/>
          </w:tcPr>
          <w:p>
            <w:pPr>
              <w:spacing w:after="0" w:line="113" w:lineRule="exact"/>
              <w:rPr>
                <w:sz w:val="20"/>
                <w:szCs w:val="20"/>
                <w:color w:val="auto"/>
              </w:rPr>
            </w:pPr>
            <w:r>
              <w:rPr>
                <w:rFonts w:ascii="Arial" w:cs="Arial" w:eastAsia="Arial" w:hAnsi="Arial"/>
                <w:sz w:val="13"/>
                <w:szCs w:val="13"/>
                <w:color w:val="auto"/>
              </w:rPr>
              <w:t>Securities</w:t>
            </w:r>
          </w:p>
        </w:tc>
        <w:tc>
          <w:tcPr>
            <w:tcW w:w="20" w:type="dxa"/>
            <w:vAlign w:val="bottom"/>
          </w:tcPr>
          <w:p>
            <w:pPr>
              <w:spacing w:after="0"/>
              <w:rPr>
                <w:sz w:val="9"/>
                <w:szCs w:val="9"/>
                <w:color w:val="auto"/>
              </w:rPr>
            </w:pPr>
          </w:p>
        </w:tc>
        <w:tc>
          <w:tcPr>
            <w:tcW w:w="10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shd w:val="clear" w:color="auto" w:fill="E7E7E2"/>
          </w:tcPr>
          <w:p>
            <w:pPr>
              <w:ind w:left="20"/>
              <w:spacing w:after="0" w:line="113" w:lineRule="exact"/>
              <w:rPr>
                <w:sz w:val="20"/>
                <w:szCs w:val="20"/>
                <w:color w:val="auto"/>
              </w:rPr>
            </w:pPr>
            <w:r>
              <w:rPr>
                <w:rFonts w:ascii="Arial" w:cs="Arial" w:eastAsia="Arial" w:hAnsi="Arial"/>
                <w:sz w:val="13"/>
                <w:szCs w:val="13"/>
                <w:color w:val="auto"/>
              </w:rPr>
              <w:t>Insurance</w:t>
            </w:r>
          </w:p>
        </w:tc>
        <w:tc>
          <w:tcPr>
            <w:tcW w:w="20" w:type="dxa"/>
            <w:vAlign w:val="bottom"/>
          </w:tcPr>
          <w:p>
            <w:pPr>
              <w:spacing w:after="0"/>
              <w:rPr>
                <w:sz w:val="9"/>
                <w:szCs w:val="9"/>
                <w:color w:val="auto"/>
              </w:rPr>
            </w:pPr>
          </w:p>
        </w:tc>
        <w:tc>
          <w:tcPr>
            <w:tcW w:w="92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16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shd w:val="clear" w:color="auto" w:fill="E7E7E2"/>
          </w:tcPr>
          <w:p>
            <w:pPr>
              <w:spacing w:after="0"/>
              <w:rPr>
                <w:sz w:val="9"/>
                <w:szCs w:val="9"/>
                <w:color w:val="auto"/>
              </w:rPr>
            </w:pPr>
          </w:p>
        </w:tc>
        <w:tc>
          <w:tcPr>
            <w:tcW w:w="40" w:type="dxa"/>
            <w:vAlign w:val="bottom"/>
          </w:tcPr>
          <w:p>
            <w:pPr>
              <w:spacing w:after="0"/>
              <w:rPr>
                <w:sz w:val="9"/>
                <w:szCs w:val="9"/>
                <w:color w:val="auto"/>
              </w:rPr>
            </w:pPr>
          </w:p>
        </w:tc>
        <w:tc>
          <w:tcPr>
            <w:tcW w:w="9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6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940" w:type="dxa"/>
            <w:vAlign w:val="bottom"/>
            <w:tcBorders>
              <w:right w:val="single" w:sz="8" w:color="auto"/>
            </w:tcBorders>
            <w:shd w:val="clear" w:color="auto" w:fill="E7E7E2"/>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0" w:type="dxa"/>
            <w:vAlign w:val="bottom"/>
            <w:tcBorders>
              <w:left w:val="single" w:sz="8" w:color="auto"/>
            </w:tcBorders>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ind w:left="20"/>
              <w:spacing w:after="0"/>
              <w:rPr>
                <w:sz w:val="20"/>
                <w:szCs w:val="20"/>
                <w:color w:val="auto"/>
              </w:rPr>
            </w:pPr>
            <w:r>
              <w:rPr>
                <w:rFonts w:ascii="Arial" w:cs="Arial" w:eastAsia="Arial" w:hAnsi="Arial"/>
                <w:sz w:val="16"/>
                <w:szCs w:val="16"/>
                <w:color w:val="auto"/>
              </w:rPr>
              <w:t>Policy</w:t>
            </w: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right w:val="single" w:sz="8" w:color="auto"/>
            </w:tcBorders>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0" w:type="dxa"/>
            <w:vAlign w:val="bottom"/>
            <w:tcBorders>
              <w:left w:val="single" w:sz="8" w:color="auto"/>
            </w:tcBorders>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20" w:type="dxa"/>
            <w:vAlign w:val="bottom"/>
            <w:gridSpan w:val="3"/>
          </w:tcPr>
          <w:p>
            <w:pPr>
              <w:jc w:val="right"/>
              <w:spacing w:after="0"/>
              <w:rPr>
                <w:sz w:val="20"/>
                <w:szCs w:val="20"/>
                <w:color w:val="auto"/>
              </w:rPr>
            </w:pPr>
            <w:r>
              <w:rPr>
                <w:rFonts w:ascii="Arial" w:cs="Arial" w:eastAsia="Arial" w:hAnsi="Arial"/>
                <w:sz w:val="16"/>
                <w:szCs w:val="16"/>
                <w:color w:val="auto"/>
              </w:rPr>
              <w:t>Total Offering Amounts:</w:t>
            </w: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$ 0.00</w:t>
            </w: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0" w:type="dxa"/>
            <w:vAlign w:val="bottom"/>
            <w:tcBorders>
              <w:left w:val="single" w:sz="8" w:color="auto"/>
            </w:tcBorders>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456,019,200.09</w:t>
            </w: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0" w:type="dxa"/>
            <w:vAlign w:val="bottom"/>
            <w:tcBorders>
              <w:lef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40" w:type="dxa"/>
            <w:vAlign w:val="bottom"/>
            <w:gridSpan w:val="5"/>
          </w:tcPr>
          <w:p>
            <w:pPr>
              <w:jc w:val="right"/>
              <w:spacing w:after="0"/>
              <w:rPr>
                <w:sz w:val="20"/>
                <w:szCs w:val="20"/>
                <w:color w:val="auto"/>
              </w:rPr>
            </w:pPr>
            <w:r>
              <w:rPr>
                <w:rFonts w:ascii="Arial" w:cs="Arial" w:eastAsia="Arial" w:hAnsi="Arial"/>
                <w:sz w:val="16"/>
                <w:szCs w:val="16"/>
                <w:color w:val="auto"/>
              </w:rPr>
              <w:t>Total Fees Previously Paid:</w:t>
            </w: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$ 0.00</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0" w:type="dxa"/>
            <w:vAlign w:val="bottom"/>
            <w:tcBorders>
              <w:lef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20" w:type="dxa"/>
            <w:vAlign w:val="bottom"/>
            <w:gridSpan w:val="3"/>
          </w:tcPr>
          <w:p>
            <w:pPr>
              <w:jc w:val="right"/>
              <w:spacing w:after="0"/>
              <w:rPr>
                <w:sz w:val="20"/>
                <w:szCs w:val="20"/>
                <w:color w:val="auto"/>
              </w:rPr>
            </w:pPr>
            <w:r>
              <w:rPr>
                <w:rFonts w:ascii="Arial" w:cs="Arial" w:eastAsia="Arial" w:hAnsi="Arial"/>
                <w:sz w:val="16"/>
                <w:szCs w:val="16"/>
                <w:color w:val="auto"/>
              </w:rPr>
              <w:t>Total Fee Offsets:</w:t>
            </w: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$ 0.00</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0" w:type="dxa"/>
            <w:vAlign w:val="bottom"/>
            <w:tcBorders>
              <w:left w:val="single" w:sz="8" w:color="auto"/>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Net Fee Due:</w:t>
            </w:r>
          </w:p>
        </w:tc>
        <w:tc>
          <w:tcPr>
            <w:tcW w:w="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$ 0.00</w:t>
            </w:r>
          </w:p>
        </w:tc>
        <w:tc>
          <w:tcPr>
            <w:tcW w:w="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Offering Note</w:t>
      </w:r>
    </w:p>
    <w:p>
      <w:pPr>
        <w:spacing w:after="0" w:line="114" w:lineRule="exact"/>
        <w:rPr>
          <w:sz w:val="20"/>
          <w:szCs w:val="20"/>
          <w:color w:val="auto"/>
        </w:rPr>
      </w:pPr>
    </w:p>
    <w:p>
      <w:pPr>
        <w:ind w:left="200" w:right="120" w:hanging="167"/>
        <w:spacing w:after="0"/>
        <w:tabs>
          <w:tab w:leader="none" w:pos="200" w:val="left"/>
        </w:tabs>
        <w:numPr>
          <w:ilvl w:val="0"/>
          <w:numId w:val="135"/>
        </w:numPr>
        <w:rPr>
          <w:rFonts w:ascii="Arial" w:cs="Arial" w:eastAsia="Arial" w:hAnsi="Arial"/>
          <w:sz w:val="21"/>
          <w:szCs w:val="21"/>
          <w:color w:val="auto"/>
          <w:vertAlign w:val="superscript"/>
        </w:rPr>
      </w:pPr>
      <w:r>
        <w:rPr>
          <w:rFonts w:ascii="Arial" w:cs="Arial" w:eastAsia="Arial" w:hAnsi="Arial"/>
          <w:sz w:val="16"/>
          <w:szCs w:val="16"/>
          <w:color w:val="auto"/>
        </w:rPr>
        <w:t>(1) The Amount Registered and the Proposed Maximum Offering Price Per Unit are not applicable because the securities are not issued in predetermined amounts or units. (2) Approximately $456,019,200.09 of unsold securities previously registered in the Registration Statement on Form S-3, File No. 333-268618 ("Prior Registration Statement"), are hereby carried forward to this Registration Statement on Form S-3. In accordance with Rule 415(a)(6), the offering of securities under the Prior Registration Statement will be deemed terminated as of the Effective Date of this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163195</wp:posOffset>
            </wp:positionV>
            <wp:extent cx="7151370"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3">
                      <a:extLst>
                        <a:ext uri="{28A0092B-C50C-407E-A947-70E740481C1C}"/>
                      </a:extLst>
                    </a:blip>
                    <a:srcRect/>
                    <a:stretch>
                      <a:fillRect/>
                    </a:stretch>
                  </pic:blipFill>
                  <pic:spPr bwMode="auto">
                    <a:xfrm>
                      <a:off x="0" y="0"/>
                      <a:ext cx="7151370" cy="38735"/>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40" w:type="dxa"/>
            <w:vAlign w:val="bottom"/>
            <w:tcBorders>
              <w:bottom w:val="single" w:sz="8" w:color="auto"/>
            </w:tcBorders>
          </w:tcPr>
          <w:p>
            <w:pPr>
              <w:spacing w:after="0"/>
              <w:rPr>
                <w:sz w:val="23"/>
                <w:szCs w:val="23"/>
                <w:color w:val="auto"/>
              </w:rPr>
            </w:pPr>
          </w:p>
        </w:tc>
        <w:tc>
          <w:tcPr>
            <w:tcW w:w="3360" w:type="dxa"/>
            <w:vAlign w:val="bottom"/>
            <w:tcBorders>
              <w:bottom w:val="single" w:sz="8" w:color="auto"/>
            </w:tcBorders>
            <w:gridSpan w:val="9"/>
          </w:tcPr>
          <w:p>
            <w:pPr>
              <w:spacing w:after="0"/>
              <w:rPr>
                <w:sz w:val="20"/>
                <w:szCs w:val="20"/>
                <w:color w:val="auto"/>
              </w:rPr>
            </w:pPr>
            <w:r>
              <w:rPr>
                <w:rFonts w:ascii="Arial" w:cs="Arial" w:eastAsia="Arial" w:hAnsi="Arial"/>
                <w:sz w:val="16"/>
                <w:szCs w:val="16"/>
                <w:b w:val="1"/>
                <w:bCs w:val="1"/>
                <w:color w:val="auto"/>
              </w:rPr>
              <w:t>Table 2: Fee Offset Claims and Sources</w:t>
            </w: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gridSpan w:val="6"/>
          </w:tcPr>
          <w:p>
            <w:pPr>
              <w:ind w:left="360"/>
              <w:spacing w:after="0" w:line="184" w:lineRule="exact"/>
              <w:rPr>
                <w:sz w:val="20"/>
                <w:szCs w:val="20"/>
                <w:color w:val="auto"/>
              </w:rPr>
            </w:pPr>
            <w:r>
              <w:rPr>
                <w:rFonts w:ascii="MS PGothic" w:cs="MS PGothic" w:eastAsia="MS PGothic" w:hAnsi="MS PGothic"/>
                <w:sz w:val="16"/>
                <w:szCs w:val="16"/>
                <w:color w:val="auto"/>
                <w:highlight w:val="black"/>
              </w:rPr>
              <w:t>☑</w:t>
            </w:r>
            <w:r>
              <w:rPr>
                <w:rFonts w:ascii="Arial" w:cs="Arial" w:eastAsia="Arial" w:hAnsi="Arial"/>
                <w:sz w:val="16"/>
                <w:szCs w:val="16"/>
                <w:b w:val="1"/>
                <w:bCs w:val="1"/>
                <w:color w:val="auto"/>
              </w:rPr>
              <w:t>Not Applicable</w:t>
            </w:r>
          </w:p>
        </w:tc>
        <w:tc>
          <w:tcPr>
            <w:tcW w:w="0" w:type="dxa"/>
            <w:vAlign w:val="bottom"/>
          </w:tcPr>
          <w:p>
            <w:pPr>
              <w:spacing w:after="0"/>
              <w:rPr>
                <w:sz w:val="1"/>
                <w:szCs w:val="1"/>
                <w:color w:val="auto"/>
              </w:rPr>
            </w:pPr>
          </w:p>
        </w:tc>
      </w:tr>
      <w:tr>
        <w:trPr>
          <w:trHeight w:val="190"/>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3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60" w:type="dxa"/>
            <w:vAlign w:val="bottom"/>
            <w:tcBorders>
              <w:right w:val="single" w:sz="8" w:color="9ADAF6"/>
            </w:tcBorders>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Unsold</w:t>
            </w:r>
          </w:p>
        </w:tc>
        <w:tc>
          <w:tcPr>
            <w:tcW w:w="2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3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60" w:type="dxa"/>
            <w:vAlign w:val="bottom"/>
            <w:tcBorders>
              <w:right w:val="single" w:sz="8" w:color="9ADAF6"/>
            </w:tcBorders>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Security</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Security</w:t>
            </w:r>
          </w:p>
        </w:tc>
        <w:tc>
          <w:tcPr>
            <w:tcW w:w="20" w:type="dxa"/>
            <w:vAlign w:val="bottom"/>
          </w:tcPr>
          <w:p>
            <w:pPr>
              <w:spacing w:after="0"/>
              <w:rPr>
                <w:sz w:val="16"/>
                <w:szCs w:val="16"/>
                <w:color w:val="auto"/>
              </w:rPr>
            </w:pPr>
          </w:p>
        </w:tc>
        <w:tc>
          <w:tcPr>
            <w:tcW w:w="90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Unsold</w:t>
            </w: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Aggregate</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Fee</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3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Form</w:t>
            </w: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60" w:type="dxa"/>
            <w:vAlign w:val="bottom"/>
            <w:tcBorders>
              <w:right w:val="single" w:sz="8" w:color="9ADAF6"/>
            </w:tcBorders>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6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Initial</w:t>
            </w:r>
          </w:p>
        </w:tc>
        <w:tc>
          <w:tcPr>
            <w:tcW w:w="20" w:type="dxa"/>
            <w:vAlign w:val="bottom"/>
          </w:tcPr>
          <w:p>
            <w:pPr>
              <w:spacing w:after="0"/>
              <w:rPr>
                <w:sz w:val="16"/>
                <w:szCs w:val="16"/>
                <w:color w:val="auto"/>
              </w:rPr>
            </w:pPr>
          </w:p>
        </w:tc>
        <w:tc>
          <w:tcPr>
            <w:tcW w:w="6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gridSpan w:val="3"/>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Fee</w:t>
            </w:r>
          </w:p>
        </w:tc>
        <w:tc>
          <w:tcPr>
            <w:tcW w:w="20" w:type="dxa"/>
            <w:vAlign w:val="bottom"/>
          </w:tcPr>
          <w:p>
            <w:pPr>
              <w:spacing w:after="0"/>
              <w:rPr>
                <w:sz w:val="16"/>
                <w:szCs w:val="16"/>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Type</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w w:val="97"/>
              </w:rPr>
              <w:t>Title</w:t>
            </w:r>
          </w:p>
        </w:tc>
        <w:tc>
          <w:tcPr>
            <w:tcW w:w="20" w:type="dxa"/>
            <w:vAlign w:val="bottom"/>
          </w:tcPr>
          <w:p>
            <w:pPr>
              <w:spacing w:after="0"/>
              <w:rPr>
                <w:sz w:val="16"/>
                <w:szCs w:val="16"/>
                <w:color w:val="auto"/>
              </w:rPr>
            </w:pPr>
          </w:p>
        </w:tc>
        <w:tc>
          <w:tcPr>
            <w:tcW w:w="90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Securities</w:t>
            </w: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Offering</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Paid</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gridSpan w:val="3"/>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Registrant or Filer</w:t>
            </w: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or</w:t>
            </w:r>
          </w:p>
        </w:tc>
        <w:tc>
          <w:tcPr>
            <w:tcW w:w="20" w:type="dxa"/>
            <w:vAlign w:val="bottom"/>
          </w:tcPr>
          <w:p>
            <w:pPr>
              <w:spacing w:after="0"/>
              <w:rPr>
                <w:sz w:val="8"/>
                <w:szCs w:val="8"/>
                <w:color w:val="auto"/>
              </w:rPr>
            </w:pP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File</w:t>
            </w:r>
          </w:p>
        </w:tc>
        <w:tc>
          <w:tcPr>
            <w:tcW w:w="60" w:type="dxa"/>
            <w:vAlign w:val="bottom"/>
            <w:tcBorders>
              <w:right w:val="single" w:sz="8" w:color="9ADAF6"/>
            </w:tcBorders>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Filing</w:t>
            </w:r>
          </w:p>
        </w:tc>
        <w:tc>
          <w:tcPr>
            <w:tcW w:w="20" w:type="dxa"/>
            <w:vAlign w:val="bottom"/>
          </w:tcPr>
          <w:p>
            <w:pPr>
              <w:spacing w:after="0"/>
              <w:rPr>
                <w:sz w:val="8"/>
                <w:szCs w:val="8"/>
                <w:color w:val="auto"/>
              </w:rPr>
            </w:pPr>
          </w:p>
        </w:tc>
        <w:tc>
          <w:tcPr>
            <w:tcW w:w="66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Associated</w:t>
            </w:r>
          </w:p>
        </w:tc>
        <w:tc>
          <w:tcPr>
            <w:tcW w:w="20" w:type="dxa"/>
            <w:vAlign w:val="bottom"/>
          </w:tcPr>
          <w:p>
            <w:pPr>
              <w:spacing w:after="0"/>
              <w:rPr>
                <w:sz w:val="8"/>
                <w:szCs w:val="8"/>
                <w:color w:val="auto"/>
              </w:rPr>
            </w:pPr>
          </w:p>
        </w:tc>
        <w:tc>
          <w:tcPr>
            <w:tcW w:w="920" w:type="dxa"/>
            <w:vAlign w:val="bottom"/>
            <w:gridSpan w:val="3"/>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Associated</w:t>
            </w:r>
          </w:p>
        </w:tc>
        <w:tc>
          <w:tcPr>
            <w:tcW w:w="20" w:type="dxa"/>
            <w:vAlign w:val="bottom"/>
          </w:tcPr>
          <w:p>
            <w:pPr>
              <w:spacing w:after="0"/>
              <w:rPr>
                <w:sz w:val="8"/>
                <w:szCs w:val="8"/>
                <w:color w:val="auto"/>
              </w:rPr>
            </w:pPr>
          </w:p>
        </w:tc>
        <w:tc>
          <w:tcPr>
            <w:tcW w:w="900" w:type="dxa"/>
            <w:vAlign w:val="bottom"/>
            <w:gridSpan w:val="3"/>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Associated</w:t>
            </w:r>
          </w:p>
        </w:tc>
        <w:tc>
          <w:tcPr>
            <w:tcW w:w="20" w:type="dxa"/>
            <w:vAlign w:val="bottom"/>
          </w:tcPr>
          <w:p>
            <w:pPr>
              <w:spacing w:after="0"/>
              <w:rPr>
                <w:sz w:val="8"/>
                <w:szCs w:val="8"/>
                <w:color w:val="auto"/>
              </w:rPr>
            </w:pPr>
          </w:p>
        </w:tc>
        <w:tc>
          <w:tcPr>
            <w:tcW w:w="960" w:type="dxa"/>
            <w:vAlign w:val="bottom"/>
            <w:gridSpan w:val="3"/>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Amount</w:t>
            </w:r>
          </w:p>
        </w:tc>
        <w:tc>
          <w:tcPr>
            <w:tcW w:w="20" w:type="dxa"/>
            <w:vAlign w:val="bottom"/>
          </w:tcPr>
          <w:p>
            <w:pPr>
              <w:spacing w:after="0"/>
              <w:rPr>
                <w:sz w:val="8"/>
                <w:szCs w:val="8"/>
                <w:color w:val="auto"/>
              </w:rPr>
            </w:pPr>
          </w:p>
        </w:tc>
        <w:tc>
          <w:tcPr>
            <w:tcW w:w="66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with</w:t>
            </w:r>
          </w:p>
        </w:tc>
        <w:tc>
          <w:tcPr>
            <w:tcW w:w="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5"/>
        </w:trPr>
        <w:tc>
          <w:tcPr>
            <w:tcW w:w="40" w:type="dxa"/>
            <w:vAlign w:val="bottom"/>
            <w:tcBorders>
              <w:left w:val="single" w:sz="8" w:color="auto"/>
            </w:tcBorders>
          </w:tcPr>
          <w:p>
            <w:pPr>
              <w:spacing w:after="0"/>
              <w:rPr>
                <w:sz w:val="14"/>
                <w:szCs w:val="14"/>
                <w:color w:val="auto"/>
              </w:rPr>
            </w:pPr>
          </w:p>
        </w:tc>
        <w:tc>
          <w:tcPr>
            <w:tcW w:w="440" w:type="dxa"/>
            <w:vAlign w:val="bottom"/>
            <w:shd w:val="clear" w:color="auto" w:fill="9ADAF6"/>
          </w:tcPr>
          <w:p>
            <w:pPr>
              <w:spacing w:after="0"/>
              <w:rPr>
                <w:sz w:val="14"/>
                <w:szCs w:val="14"/>
                <w:color w:val="auto"/>
              </w:rPr>
            </w:pPr>
          </w:p>
        </w:tc>
        <w:tc>
          <w:tcPr>
            <w:tcW w:w="20" w:type="dxa"/>
            <w:vAlign w:val="bottom"/>
            <w:shd w:val="clear" w:color="auto" w:fill="9ADAF6"/>
          </w:tcPr>
          <w:p>
            <w:pPr>
              <w:spacing w:after="0"/>
              <w:rPr>
                <w:sz w:val="14"/>
                <w:szCs w:val="14"/>
                <w:color w:val="auto"/>
              </w:rPr>
            </w:pPr>
          </w:p>
        </w:tc>
        <w:tc>
          <w:tcPr>
            <w:tcW w:w="54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58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vMerge w:val="continue"/>
            <w:shd w:val="clear" w:color="auto" w:fill="9ADAF6"/>
          </w:tcPr>
          <w:p>
            <w:pPr>
              <w:spacing w:after="0"/>
              <w:rPr>
                <w:sz w:val="14"/>
                <w:szCs w:val="14"/>
                <w:color w:val="auto"/>
              </w:rPr>
            </w:pPr>
          </w:p>
        </w:tc>
        <w:tc>
          <w:tcPr>
            <w:tcW w:w="60" w:type="dxa"/>
            <w:vAlign w:val="bottom"/>
            <w:tcBorders>
              <w:right w:val="single" w:sz="8" w:color="9ADAF6"/>
            </w:tcBorders>
          </w:tcPr>
          <w:p>
            <w:pPr>
              <w:spacing w:after="0"/>
              <w:rPr>
                <w:sz w:val="14"/>
                <w:szCs w:val="14"/>
                <w:color w:val="auto"/>
              </w:rPr>
            </w:pPr>
          </w:p>
        </w:tc>
        <w:tc>
          <w:tcPr>
            <w:tcW w:w="20" w:type="dxa"/>
            <w:vAlign w:val="bottom"/>
            <w:shd w:val="clear" w:color="auto" w:fill="9ADAF6"/>
          </w:tcPr>
          <w:p>
            <w:pPr>
              <w:spacing w:after="0"/>
              <w:rPr>
                <w:sz w:val="14"/>
                <w:szCs w:val="14"/>
                <w:color w:val="auto"/>
              </w:rPr>
            </w:pPr>
          </w:p>
        </w:tc>
        <w:tc>
          <w:tcPr>
            <w:tcW w:w="560" w:type="dxa"/>
            <w:vAlign w:val="bottom"/>
            <w:shd w:val="clear" w:color="auto" w:fill="9ADAF6"/>
          </w:tcPr>
          <w:p>
            <w:pPr>
              <w:jc w:val="center"/>
              <w:spacing w:after="0" w:line="165" w:lineRule="exact"/>
              <w:rPr>
                <w:sz w:val="20"/>
                <w:szCs w:val="20"/>
                <w:color w:val="auto"/>
              </w:rPr>
            </w:pPr>
            <w:r>
              <w:rPr>
                <w:rFonts w:ascii="Arial" w:cs="Arial" w:eastAsia="Arial" w:hAnsi="Arial"/>
                <w:sz w:val="16"/>
                <w:szCs w:val="16"/>
                <w:b w:val="1"/>
                <w:bCs w:val="1"/>
                <w:color w:val="auto"/>
                <w:w w:val="98"/>
              </w:rPr>
              <w:t>Filing</w:t>
            </w:r>
          </w:p>
        </w:tc>
        <w:tc>
          <w:tcPr>
            <w:tcW w:w="20" w:type="dxa"/>
            <w:vAlign w:val="bottom"/>
          </w:tcPr>
          <w:p>
            <w:pPr>
              <w:spacing w:after="0"/>
              <w:rPr>
                <w:sz w:val="14"/>
                <w:szCs w:val="14"/>
                <w:color w:val="auto"/>
              </w:rPr>
            </w:pPr>
          </w:p>
        </w:tc>
        <w:tc>
          <w:tcPr>
            <w:tcW w:w="6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gridSpan w:val="3"/>
            <w:shd w:val="clear" w:color="auto" w:fill="9ADAF6"/>
          </w:tcPr>
          <w:p>
            <w:pPr>
              <w:jc w:val="center"/>
              <w:spacing w:after="0" w:line="165" w:lineRule="exact"/>
              <w:rPr>
                <w:sz w:val="20"/>
                <w:szCs w:val="20"/>
                <w:color w:val="auto"/>
              </w:rPr>
            </w:pPr>
            <w:r>
              <w:rPr>
                <w:rFonts w:ascii="Arial" w:cs="Arial" w:eastAsia="Arial" w:hAnsi="Arial"/>
                <w:sz w:val="16"/>
                <w:szCs w:val="16"/>
                <w:b w:val="1"/>
                <w:bCs w:val="1"/>
                <w:color w:val="auto"/>
              </w:rPr>
              <w:t>Offset</w:t>
            </w:r>
          </w:p>
        </w:tc>
        <w:tc>
          <w:tcPr>
            <w:tcW w:w="20" w:type="dxa"/>
            <w:vAlign w:val="bottom"/>
          </w:tcPr>
          <w:p>
            <w:pPr>
              <w:spacing w:after="0"/>
              <w:rPr>
                <w:sz w:val="14"/>
                <w:szCs w:val="14"/>
                <w:color w:val="auto"/>
              </w:rPr>
            </w:pPr>
          </w:p>
        </w:tc>
        <w:tc>
          <w:tcPr>
            <w:tcW w:w="9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vMerge w:val="continue"/>
            <w:shd w:val="clear" w:color="auto" w:fill="9ADAF6"/>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320" w:type="dxa"/>
            <w:vAlign w:val="bottom"/>
            <w:shd w:val="clear" w:color="auto" w:fill="9ADAF6"/>
          </w:tcPr>
          <w:p>
            <w:pPr>
              <w:jc w:val="center"/>
              <w:ind w:right="178"/>
              <w:spacing w:after="0"/>
              <w:rPr>
                <w:sz w:val="20"/>
                <w:szCs w:val="20"/>
                <w:color w:val="auto"/>
              </w:rPr>
            </w:pPr>
            <w:r>
              <w:rPr>
                <w:rFonts w:ascii="Arial" w:cs="Arial" w:eastAsia="Arial" w:hAnsi="Arial"/>
                <w:sz w:val="16"/>
                <w:szCs w:val="16"/>
                <w:b w:val="1"/>
                <w:bCs w:val="1"/>
                <w:color w:val="auto"/>
              </w:rPr>
              <w:t>Name</w:t>
            </w: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Filing</w:t>
            </w:r>
          </w:p>
        </w:tc>
        <w:tc>
          <w:tcPr>
            <w:tcW w:w="20" w:type="dxa"/>
            <w:vAlign w:val="bottom"/>
          </w:tcPr>
          <w:p>
            <w:pPr>
              <w:spacing w:after="0"/>
              <w:rPr>
                <w:sz w:val="16"/>
                <w:szCs w:val="16"/>
                <w:color w:val="auto"/>
              </w:rPr>
            </w:pPr>
          </w:p>
        </w:tc>
        <w:tc>
          <w:tcPr>
            <w:tcW w:w="76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Number</w:t>
            </w:r>
          </w:p>
        </w:tc>
        <w:tc>
          <w:tcPr>
            <w:tcW w:w="60" w:type="dxa"/>
            <w:vAlign w:val="bottom"/>
            <w:tcBorders>
              <w:right w:val="single" w:sz="8" w:color="9ADAF6"/>
            </w:tcBorders>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6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7"/>
              </w:rPr>
              <w:t>Date</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Date</w:t>
            </w:r>
          </w:p>
        </w:tc>
        <w:tc>
          <w:tcPr>
            <w:tcW w:w="20" w:type="dxa"/>
            <w:vAlign w:val="bottom"/>
          </w:tcPr>
          <w:p>
            <w:pPr>
              <w:spacing w:after="0"/>
              <w:rPr>
                <w:sz w:val="16"/>
                <w:szCs w:val="16"/>
                <w:color w:val="auto"/>
              </w:rPr>
            </w:pPr>
          </w:p>
        </w:tc>
        <w:tc>
          <w:tcPr>
            <w:tcW w:w="66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Claimed</w:t>
            </w:r>
          </w:p>
        </w:tc>
        <w:tc>
          <w:tcPr>
            <w:tcW w:w="20" w:type="dxa"/>
            <w:vAlign w:val="bottom"/>
          </w:tcPr>
          <w:p>
            <w:pPr>
              <w:spacing w:after="0"/>
              <w:rPr>
                <w:sz w:val="16"/>
                <w:szCs w:val="16"/>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with Fee</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with Fee</w:t>
            </w:r>
          </w:p>
        </w:tc>
        <w:tc>
          <w:tcPr>
            <w:tcW w:w="20" w:type="dxa"/>
            <w:vAlign w:val="bottom"/>
          </w:tcPr>
          <w:p>
            <w:pPr>
              <w:spacing w:after="0"/>
              <w:rPr>
                <w:sz w:val="16"/>
                <w:szCs w:val="16"/>
                <w:color w:val="auto"/>
              </w:rPr>
            </w:pPr>
          </w:p>
        </w:tc>
        <w:tc>
          <w:tcPr>
            <w:tcW w:w="90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with Fee</w:t>
            </w: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Associated</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Fee</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3"/>
        </w:trPr>
        <w:tc>
          <w:tcPr>
            <w:tcW w:w="40" w:type="dxa"/>
            <w:vAlign w:val="bottom"/>
            <w:tcBorders>
              <w:left w:val="single" w:sz="8" w:color="auto"/>
            </w:tcBorders>
          </w:tcPr>
          <w:p>
            <w:pPr>
              <w:spacing w:after="0"/>
              <w:rPr>
                <w:sz w:val="9"/>
                <w:szCs w:val="9"/>
                <w:color w:val="auto"/>
              </w:rPr>
            </w:pPr>
          </w:p>
        </w:tc>
        <w:tc>
          <w:tcPr>
            <w:tcW w:w="440" w:type="dxa"/>
            <w:vAlign w:val="bottom"/>
            <w:shd w:val="clear" w:color="auto" w:fill="9ADAF6"/>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54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shd w:val="clear" w:color="auto" w:fill="9ADAF6"/>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13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shd w:val="clear" w:color="auto" w:fill="9ADAF6"/>
          </w:tcPr>
          <w:p>
            <w:pPr>
              <w:jc w:val="center"/>
              <w:spacing w:after="0" w:line="113" w:lineRule="exact"/>
              <w:rPr>
                <w:sz w:val="20"/>
                <w:szCs w:val="20"/>
                <w:color w:val="auto"/>
              </w:rPr>
            </w:pPr>
            <w:r>
              <w:rPr>
                <w:rFonts w:ascii="Arial" w:cs="Arial" w:eastAsia="Arial" w:hAnsi="Arial"/>
                <w:sz w:val="13"/>
                <w:szCs w:val="13"/>
                <w:b w:val="1"/>
                <w:bCs w:val="1"/>
                <w:color w:val="auto"/>
              </w:rPr>
              <w:t>Type</w:t>
            </w:r>
          </w:p>
        </w:tc>
        <w:tc>
          <w:tcPr>
            <w:tcW w:w="20" w:type="dxa"/>
            <w:vAlign w:val="bottom"/>
          </w:tcPr>
          <w:p>
            <w:pPr>
              <w:spacing w:after="0"/>
              <w:rPr>
                <w:sz w:val="9"/>
                <w:szCs w:val="9"/>
                <w:color w:val="auto"/>
              </w:rPr>
            </w:pPr>
          </w:p>
        </w:tc>
        <w:tc>
          <w:tcPr>
            <w:tcW w:w="760" w:type="dxa"/>
            <w:vAlign w:val="bottom"/>
            <w:shd w:val="clear" w:color="auto" w:fill="9ADAF6"/>
          </w:tcPr>
          <w:p>
            <w:pPr>
              <w:spacing w:after="0"/>
              <w:rPr>
                <w:sz w:val="9"/>
                <w:szCs w:val="9"/>
                <w:color w:val="auto"/>
              </w:rPr>
            </w:pPr>
          </w:p>
        </w:tc>
        <w:tc>
          <w:tcPr>
            <w:tcW w:w="60" w:type="dxa"/>
            <w:vAlign w:val="bottom"/>
            <w:tcBorders>
              <w:right w:val="single" w:sz="8" w:color="9ADAF6"/>
            </w:tcBorders>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56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shd w:val="clear" w:color="auto" w:fill="9ADAF6"/>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30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shd w:val="clear" w:color="auto" w:fill="9ADAF6"/>
          </w:tcPr>
          <w:p>
            <w:pPr>
              <w:jc w:val="center"/>
              <w:spacing w:after="0" w:line="113"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9"/>
                <w:szCs w:val="9"/>
                <w:color w:val="auto"/>
              </w:rPr>
            </w:pPr>
          </w:p>
        </w:tc>
        <w:tc>
          <w:tcPr>
            <w:tcW w:w="920" w:type="dxa"/>
            <w:vAlign w:val="bottom"/>
            <w:gridSpan w:val="3"/>
            <w:shd w:val="clear" w:color="auto" w:fill="9ADAF6"/>
          </w:tcPr>
          <w:p>
            <w:pPr>
              <w:jc w:val="center"/>
              <w:spacing w:after="0" w:line="113"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9"/>
                <w:szCs w:val="9"/>
                <w:color w:val="auto"/>
              </w:rPr>
            </w:pPr>
          </w:p>
        </w:tc>
        <w:tc>
          <w:tcPr>
            <w:tcW w:w="900" w:type="dxa"/>
            <w:vAlign w:val="bottom"/>
            <w:gridSpan w:val="3"/>
            <w:shd w:val="clear" w:color="auto" w:fill="9ADAF6"/>
          </w:tcPr>
          <w:p>
            <w:pPr>
              <w:jc w:val="center"/>
              <w:spacing w:after="0" w:line="113"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9"/>
                <w:szCs w:val="9"/>
                <w:color w:val="auto"/>
              </w:rPr>
            </w:pPr>
          </w:p>
        </w:tc>
        <w:tc>
          <w:tcPr>
            <w:tcW w:w="960" w:type="dxa"/>
            <w:vAlign w:val="bottom"/>
            <w:gridSpan w:val="3"/>
            <w:shd w:val="clear" w:color="auto" w:fill="9ADAF6"/>
          </w:tcPr>
          <w:p>
            <w:pPr>
              <w:jc w:val="center"/>
              <w:spacing w:after="0" w:line="113" w:lineRule="exact"/>
              <w:rPr>
                <w:sz w:val="20"/>
                <w:szCs w:val="20"/>
                <w:color w:val="auto"/>
              </w:rPr>
            </w:pPr>
            <w:r>
              <w:rPr>
                <w:rFonts w:ascii="Arial" w:cs="Arial" w:eastAsia="Arial" w:hAnsi="Arial"/>
                <w:sz w:val="13"/>
                <w:szCs w:val="13"/>
                <w:b w:val="1"/>
                <w:bCs w:val="1"/>
                <w:color w:val="auto"/>
              </w:rPr>
              <w:t>with Fee</w:t>
            </w:r>
          </w:p>
        </w:tc>
        <w:tc>
          <w:tcPr>
            <w:tcW w:w="20" w:type="dxa"/>
            <w:vAlign w:val="bottom"/>
          </w:tcPr>
          <w:p>
            <w:pPr>
              <w:spacing w:after="0"/>
              <w:rPr>
                <w:sz w:val="9"/>
                <w:szCs w:val="9"/>
                <w:color w:val="auto"/>
              </w:rPr>
            </w:pPr>
          </w:p>
        </w:tc>
        <w:tc>
          <w:tcPr>
            <w:tcW w:w="660" w:type="dxa"/>
            <w:vAlign w:val="bottom"/>
            <w:shd w:val="clear" w:color="auto" w:fill="9ADAF6"/>
          </w:tcPr>
          <w:p>
            <w:pPr>
              <w:jc w:val="center"/>
              <w:spacing w:after="0" w:line="113" w:lineRule="exact"/>
              <w:rPr>
                <w:sz w:val="20"/>
                <w:szCs w:val="20"/>
                <w:color w:val="auto"/>
              </w:rPr>
            </w:pPr>
            <w:r>
              <w:rPr>
                <w:rFonts w:ascii="Arial" w:cs="Arial" w:eastAsia="Arial" w:hAnsi="Arial"/>
                <w:sz w:val="13"/>
                <w:szCs w:val="13"/>
                <w:b w:val="1"/>
                <w:bCs w:val="1"/>
                <w:color w:val="auto"/>
              </w:rPr>
              <w:t>Offset</w:t>
            </w:r>
          </w:p>
        </w:tc>
        <w:tc>
          <w:tcPr>
            <w:tcW w:w="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3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60" w:type="dxa"/>
            <w:vAlign w:val="bottom"/>
            <w:tcBorders>
              <w:right w:val="single" w:sz="8" w:color="9ADAF6"/>
            </w:tcBorders>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Claimed</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Claimed</w:t>
            </w:r>
          </w:p>
        </w:tc>
        <w:tc>
          <w:tcPr>
            <w:tcW w:w="20" w:type="dxa"/>
            <w:vAlign w:val="bottom"/>
          </w:tcPr>
          <w:p>
            <w:pPr>
              <w:spacing w:after="0"/>
              <w:rPr>
                <w:sz w:val="16"/>
                <w:szCs w:val="16"/>
                <w:color w:val="auto"/>
              </w:rPr>
            </w:pPr>
          </w:p>
        </w:tc>
        <w:tc>
          <w:tcPr>
            <w:tcW w:w="90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Claimed</w:t>
            </w: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Offset</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Source</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 w:type="dxa"/>
            <w:vAlign w:val="bottom"/>
            <w:tcBorders>
              <w:left w:val="single" w:sz="8" w:color="auto"/>
            </w:tcBorders>
          </w:tcPr>
          <w:p>
            <w:pPr>
              <w:spacing w:after="0"/>
              <w:rPr>
                <w:sz w:val="18"/>
                <w:szCs w:val="18"/>
                <w:color w:val="auto"/>
              </w:rPr>
            </w:pPr>
          </w:p>
        </w:tc>
        <w:tc>
          <w:tcPr>
            <w:tcW w:w="44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5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13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9ADAF6"/>
          </w:tcPr>
          <w:p>
            <w:pPr>
              <w:spacing w:after="0"/>
              <w:rPr>
                <w:sz w:val="18"/>
                <w:szCs w:val="18"/>
                <w:color w:val="auto"/>
              </w:rPr>
            </w:pPr>
          </w:p>
        </w:tc>
        <w:tc>
          <w:tcPr>
            <w:tcW w:w="60" w:type="dxa"/>
            <w:vAlign w:val="bottom"/>
            <w:tcBorders>
              <w:right w:val="single" w:sz="8" w:color="9ADAF6"/>
            </w:tcBorders>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5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3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1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3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Claimed</w:t>
            </w:r>
          </w:p>
        </w:tc>
        <w:tc>
          <w:tcPr>
            <w:tcW w:w="20" w:type="dxa"/>
            <w:vAlign w:val="bottom"/>
          </w:tcPr>
          <w:p>
            <w:pPr>
              <w:spacing w:after="0"/>
              <w:rPr>
                <w:sz w:val="18"/>
                <w:szCs w:val="18"/>
                <w:color w:val="auto"/>
              </w:rPr>
            </w:pPr>
          </w:p>
        </w:tc>
        <w:tc>
          <w:tcPr>
            <w:tcW w:w="660" w:type="dxa"/>
            <w:vAlign w:val="bottom"/>
            <w:shd w:val="clear" w:color="auto" w:fill="9ADAF6"/>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40" w:type="dxa"/>
            <w:vAlign w:val="bottom"/>
            <w:tcBorders>
              <w:lef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40" w:type="dxa"/>
            <w:vAlign w:val="bottom"/>
            <w:gridSpan w:val="10"/>
          </w:tcPr>
          <w:p>
            <w:pPr>
              <w:ind w:left="540"/>
              <w:spacing w:after="0"/>
              <w:rPr>
                <w:sz w:val="20"/>
                <w:szCs w:val="20"/>
                <w:color w:val="auto"/>
              </w:rPr>
            </w:pPr>
            <w:r>
              <w:rPr>
                <w:rFonts w:ascii="Arial" w:cs="Arial" w:eastAsia="Arial" w:hAnsi="Arial"/>
                <w:sz w:val="16"/>
                <w:szCs w:val="16"/>
                <w:b w:val="1"/>
                <w:bCs w:val="1"/>
                <w:color w:val="auto"/>
              </w:rPr>
              <w:t>Rules 457(b) and 0-11(a)(2)</w:t>
            </w: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40" w:type="dxa"/>
            <w:vAlign w:val="bottom"/>
            <w:tcBorders>
              <w:left w:val="single" w:sz="8" w:color="auto"/>
            </w:tcBorders>
          </w:tcPr>
          <w:p>
            <w:pPr>
              <w:spacing w:after="0"/>
              <w:rPr>
                <w:sz w:val="16"/>
                <w:szCs w:val="16"/>
                <w:color w:val="auto"/>
              </w:rPr>
            </w:pPr>
          </w:p>
        </w:tc>
        <w:tc>
          <w:tcPr>
            <w:tcW w:w="1000" w:type="dxa"/>
            <w:vAlign w:val="bottom"/>
            <w:gridSpan w:val="3"/>
            <w:shd w:val="clear" w:color="auto" w:fill="E7E7E2"/>
          </w:tcPr>
          <w:p>
            <w:pPr>
              <w:spacing w:after="0"/>
              <w:rPr>
                <w:sz w:val="20"/>
                <w:szCs w:val="20"/>
                <w:color w:val="auto"/>
              </w:rPr>
            </w:pPr>
            <w:r>
              <w:rPr>
                <w:rFonts w:ascii="Arial" w:cs="Arial" w:eastAsia="Arial" w:hAnsi="Arial"/>
                <w:sz w:val="16"/>
                <w:szCs w:val="16"/>
                <w:color w:val="auto"/>
              </w:rPr>
              <w:t>Fee Offset</w:t>
            </w: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3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60" w:type="dxa"/>
            <w:vAlign w:val="bottom"/>
            <w:tcBorders>
              <w:right w:val="single" w:sz="8" w:color="E7E7E2"/>
            </w:tcBorders>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5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 w:type="dxa"/>
            <w:vAlign w:val="bottom"/>
            <w:tcBorders>
              <w:left w:val="single" w:sz="8" w:color="auto"/>
            </w:tcBorders>
          </w:tcPr>
          <w:p>
            <w:pPr>
              <w:spacing w:after="0"/>
              <w:rPr>
                <w:sz w:val="18"/>
                <w:szCs w:val="18"/>
                <w:color w:val="auto"/>
              </w:rPr>
            </w:pPr>
          </w:p>
        </w:tc>
        <w:tc>
          <w:tcPr>
            <w:tcW w:w="1000" w:type="dxa"/>
            <w:vAlign w:val="bottom"/>
            <w:gridSpan w:val="3"/>
            <w:shd w:val="clear" w:color="auto" w:fill="E7E7E2"/>
          </w:tcPr>
          <w:p>
            <w:pPr>
              <w:spacing w:after="0"/>
              <w:rPr>
                <w:sz w:val="20"/>
                <w:szCs w:val="20"/>
                <w:color w:val="auto"/>
              </w:rPr>
            </w:pPr>
            <w:r>
              <w:rPr>
                <w:rFonts w:ascii="Arial" w:cs="Arial" w:eastAsia="Arial" w:hAnsi="Arial"/>
                <w:sz w:val="16"/>
                <w:szCs w:val="16"/>
                <w:color w:val="auto"/>
              </w:rPr>
              <w:t>Claims</w:t>
            </w: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3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60" w:type="dxa"/>
            <w:vAlign w:val="bottom"/>
            <w:tcBorders>
              <w:right w:val="single" w:sz="8" w:color="E7E7E2"/>
            </w:tcBorders>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5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40" w:type="dxa"/>
            <w:vAlign w:val="bottom"/>
            <w:tcBorders>
              <w:left w:val="single" w:sz="8" w:color="auto"/>
            </w:tcBorders>
          </w:tcPr>
          <w:p>
            <w:pPr>
              <w:spacing w:after="0"/>
              <w:rPr>
                <w:sz w:val="15"/>
                <w:szCs w:val="15"/>
                <w:color w:val="auto"/>
              </w:rPr>
            </w:pPr>
          </w:p>
        </w:tc>
        <w:tc>
          <w:tcPr>
            <w:tcW w:w="1000" w:type="dxa"/>
            <w:vAlign w:val="bottom"/>
            <w:gridSpan w:val="3"/>
            <w:shd w:val="clear" w:color="auto" w:fill="E7E7E2"/>
          </w:tcPr>
          <w:p>
            <w:pPr>
              <w:spacing w:after="0" w:line="175" w:lineRule="exact"/>
              <w:rPr>
                <w:sz w:val="20"/>
                <w:szCs w:val="20"/>
                <w:color w:val="auto"/>
              </w:rPr>
            </w:pPr>
            <w:r>
              <w:rPr>
                <w:rFonts w:ascii="Arial" w:cs="Arial" w:eastAsia="Arial" w:hAnsi="Arial"/>
                <w:sz w:val="16"/>
                <w:szCs w:val="16"/>
                <w:color w:val="auto"/>
              </w:rPr>
              <w:t>Fee Offset</w:t>
            </w:r>
          </w:p>
        </w:tc>
        <w:tc>
          <w:tcPr>
            <w:tcW w:w="20" w:type="dxa"/>
            <w:vAlign w:val="bottom"/>
            <w:vMerge w:val="continue"/>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2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3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60" w:type="dxa"/>
            <w:vAlign w:val="bottom"/>
            <w:tcBorders>
              <w:right w:val="single" w:sz="8" w:color="E7E7E2"/>
            </w:tcBorders>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5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0" w:type="dxa"/>
            <w:vAlign w:val="bottom"/>
            <w:tcBorders>
              <w:left w:val="single" w:sz="8" w:color="auto"/>
            </w:tcBorders>
          </w:tcPr>
          <w:p>
            <w:pPr>
              <w:spacing w:after="0"/>
              <w:rPr>
                <w:sz w:val="18"/>
                <w:szCs w:val="18"/>
                <w:color w:val="auto"/>
              </w:rPr>
            </w:pPr>
          </w:p>
        </w:tc>
        <w:tc>
          <w:tcPr>
            <w:tcW w:w="1000" w:type="dxa"/>
            <w:vAlign w:val="bottom"/>
            <w:gridSpan w:val="3"/>
            <w:shd w:val="clear" w:color="auto" w:fill="E7E7E2"/>
          </w:tcPr>
          <w:p>
            <w:pPr>
              <w:spacing w:after="0"/>
              <w:rPr>
                <w:sz w:val="20"/>
                <w:szCs w:val="20"/>
                <w:color w:val="auto"/>
              </w:rPr>
            </w:pPr>
            <w:r>
              <w:rPr>
                <w:rFonts w:ascii="Arial" w:cs="Arial" w:eastAsia="Arial" w:hAnsi="Arial"/>
                <w:sz w:val="16"/>
                <w:szCs w:val="16"/>
                <w:color w:val="auto"/>
              </w:rPr>
              <w:t>Sources</w:t>
            </w: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3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60" w:type="dxa"/>
            <w:vAlign w:val="bottom"/>
            <w:tcBorders>
              <w:right w:val="single" w:sz="8" w:color="E7E7E2"/>
            </w:tcBorders>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5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40" w:type="dxa"/>
            <w:vAlign w:val="bottom"/>
            <w:tcBorders>
              <w:lef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gridSpan w:val="4"/>
          </w:tcPr>
          <w:p>
            <w:pPr>
              <w:ind w:left="300"/>
              <w:spacing w:after="0"/>
              <w:rPr>
                <w:sz w:val="20"/>
                <w:szCs w:val="20"/>
                <w:color w:val="auto"/>
              </w:rPr>
            </w:pPr>
            <w:r>
              <w:rPr>
                <w:rFonts w:ascii="Arial" w:cs="Arial" w:eastAsia="Arial" w:hAnsi="Arial"/>
                <w:sz w:val="16"/>
                <w:szCs w:val="16"/>
                <w:b w:val="1"/>
                <w:bCs w:val="1"/>
                <w:color w:val="auto"/>
              </w:rPr>
              <w:t>Rule 457(p)</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40" w:type="dxa"/>
            <w:vAlign w:val="bottom"/>
            <w:tcBorders>
              <w:left w:val="single" w:sz="8" w:color="auto"/>
            </w:tcBorders>
          </w:tcPr>
          <w:p>
            <w:pPr>
              <w:spacing w:after="0"/>
              <w:rPr>
                <w:sz w:val="16"/>
                <w:szCs w:val="16"/>
                <w:color w:val="auto"/>
              </w:rPr>
            </w:pPr>
          </w:p>
        </w:tc>
        <w:tc>
          <w:tcPr>
            <w:tcW w:w="1000" w:type="dxa"/>
            <w:vAlign w:val="bottom"/>
            <w:gridSpan w:val="3"/>
            <w:shd w:val="clear" w:color="auto" w:fill="E7E7E2"/>
          </w:tcPr>
          <w:p>
            <w:pPr>
              <w:spacing w:after="0"/>
              <w:rPr>
                <w:sz w:val="20"/>
                <w:szCs w:val="20"/>
                <w:color w:val="auto"/>
              </w:rPr>
            </w:pPr>
            <w:r>
              <w:rPr>
                <w:rFonts w:ascii="Arial" w:cs="Arial" w:eastAsia="Arial" w:hAnsi="Arial"/>
                <w:sz w:val="16"/>
                <w:szCs w:val="16"/>
                <w:color w:val="auto"/>
              </w:rPr>
              <w:t>Fee Offset</w:t>
            </w: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3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60" w:type="dxa"/>
            <w:vAlign w:val="bottom"/>
            <w:tcBorders>
              <w:right w:val="single" w:sz="8" w:color="E7E7E2"/>
            </w:tcBorders>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5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 w:type="dxa"/>
            <w:vAlign w:val="bottom"/>
            <w:tcBorders>
              <w:left w:val="single" w:sz="8" w:color="auto"/>
            </w:tcBorders>
          </w:tcPr>
          <w:p>
            <w:pPr>
              <w:spacing w:after="0"/>
              <w:rPr>
                <w:sz w:val="18"/>
                <w:szCs w:val="18"/>
                <w:color w:val="auto"/>
              </w:rPr>
            </w:pPr>
          </w:p>
        </w:tc>
        <w:tc>
          <w:tcPr>
            <w:tcW w:w="1000" w:type="dxa"/>
            <w:vAlign w:val="bottom"/>
            <w:gridSpan w:val="3"/>
            <w:shd w:val="clear" w:color="auto" w:fill="E7E7E2"/>
          </w:tcPr>
          <w:p>
            <w:pPr>
              <w:spacing w:after="0"/>
              <w:rPr>
                <w:sz w:val="20"/>
                <w:szCs w:val="20"/>
                <w:color w:val="auto"/>
              </w:rPr>
            </w:pPr>
            <w:r>
              <w:rPr>
                <w:rFonts w:ascii="Arial" w:cs="Arial" w:eastAsia="Arial" w:hAnsi="Arial"/>
                <w:sz w:val="16"/>
                <w:szCs w:val="16"/>
                <w:color w:val="auto"/>
              </w:rPr>
              <w:t>Claims</w:t>
            </w: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3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60" w:type="dxa"/>
            <w:vAlign w:val="bottom"/>
            <w:tcBorders>
              <w:right w:val="single" w:sz="8" w:color="E7E7E2"/>
            </w:tcBorders>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5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40" w:type="dxa"/>
            <w:vAlign w:val="bottom"/>
            <w:tcBorders>
              <w:left w:val="single" w:sz="8" w:color="auto"/>
            </w:tcBorders>
          </w:tcPr>
          <w:p>
            <w:pPr>
              <w:spacing w:after="0"/>
              <w:rPr>
                <w:sz w:val="15"/>
                <w:szCs w:val="15"/>
                <w:color w:val="auto"/>
              </w:rPr>
            </w:pPr>
          </w:p>
        </w:tc>
        <w:tc>
          <w:tcPr>
            <w:tcW w:w="1000" w:type="dxa"/>
            <w:vAlign w:val="bottom"/>
            <w:gridSpan w:val="3"/>
            <w:shd w:val="clear" w:color="auto" w:fill="E7E7E2"/>
          </w:tcPr>
          <w:p>
            <w:pPr>
              <w:spacing w:after="0" w:line="175" w:lineRule="exact"/>
              <w:rPr>
                <w:sz w:val="20"/>
                <w:szCs w:val="20"/>
                <w:color w:val="auto"/>
              </w:rPr>
            </w:pPr>
            <w:r>
              <w:rPr>
                <w:rFonts w:ascii="Arial" w:cs="Arial" w:eastAsia="Arial" w:hAnsi="Arial"/>
                <w:sz w:val="16"/>
                <w:szCs w:val="16"/>
                <w:color w:val="auto"/>
              </w:rPr>
              <w:t>Fee Offset</w:t>
            </w:r>
          </w:p>
        </w:tc>
        <w:tc>
          <w:tcPr>
            <w:tcW w:w="20" w:type="dxa"/>
            <w:vAlign w:val="bottom"/>
            <w:vMerge w:val="continue"/>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2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3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60" w:type="dxa"/>
            <w:vAlign w:val="bottom"/>
            <w:tcBorders>
              <w:right w:val="single" w:sz="8" w:color="E7E7E2"/>
            </w:tcBorders>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5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0" w:type="dxa"/>
            <w:vAlign w:val="bottom"/>
            <w:tcBorders>
              <w:left w:val="single" w:sz="8" w:color="auto"/>
            </w:tcBorders>
          </w:tcPr>
          <w:p>
            <w:pPr>
              <w:spacing w:after="0"/>
              <w:rPr>
                <w:sz w:val="18"/>
                <w:szCs w:val="18"/>
                <w:color w:val="auto"/>
              </w:rPr>
            </w:pPr>
          </w:p>
        </w:tc>
        <w:tc>
          <w:tcPr>
            <w:tcW w:w="1000" w:type="dxa"/>
            <w:vAlign w:val="bottom"/>
            <w:gridSpan w:val="3"/>
            <w:shd w:val="clear" w:color="auto" w:fill="E7E7E2"/>
          </w:tcPr>
          <w:p>
            <w:pPr>
              <w:spacing w:after="0"/>
              <w:rPr>
                <w:sz w:val="20"/>
                <w:szCs w:val="20"/>
                <w:color w:val="auto"/>
              </w:rPr>
            </w:pPr>
            <w:r>
              <w:rPr>
                <w:rFonts w:ascii="Arial" w:cs="Arial" w:eastAsia="Arial" w:hAnsi="Arial"/>
                <w:sz w:val="16"/>
                <w:szCs w:val="16"/>
                <w:color w:val="auto"/>
              </w:rPr>
              <w:t>Sources</w:t>
            </w: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3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60" w:type="dxa"/>
            <w:vAlign w:val="bottom"/>
            <w:tcBorders>
              <w:right w:val="single" w:sz="8" w:color="E7E7E2"/>
            </w:tcBorders>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5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9"/>
        </w:trPr>
        <w:tc>
          <w:tcPr>
            <w:tcW w:w="4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9"/>
          </w:tcPr>
          <w:p>
            <w:pPr>
              <w:spacing w:after="0"/>
              <w:rPr>
                <w:sz w:val="20"/>
                <w:szCs w:val="20"/>
                <w:color w:val="auto"/>
              </w:rPr>
            </w:pPr>
            <w:r>
              <w:rPr>
                <w:rFonts w:ascii="Arial" w:cs="Arial" w:eastAsia="Arial" w:hAnsi="Arial"/>
                <w:sz w:val="16"/>
                <w:szCs w:val="16"/>
                <w:b w:val="1"/>
                <w:bCs w:val="1"/>
                <w:color w:val="auto"/>
              </w:rPr>
              <w:t>Table 3: Combined Prospectuses</w:t>
            </w: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6"/>
          </w:tcPr>
          <w:p>
            <w:pPr>
              <w:ind w:left="360"/>
              <w:spacing w:after="0" w:line="184" w:lineRule="exact"/>
              <w:rPr>
                <w:sz w:val="20"/>
                <w:szCs w:val="20"/>
                <w:color w:val="auto"/>
              </w:rPr>
            </w:pPr>
            <w:r>
              <w:rPr>
                <w:rFonts w:ascii="MS PGothic" w:cs="MS PGothic" w:eastAsia="MS PGothic" w:hAnsi="MS PGothic"/>
                <w:sz w:val="16"/>
                <w:szCs w:val="16"/>
                <w:color w:val="auto"/>
                <w:highlight w:val="black"/>
              </w:rPr>
              <w:t>☑</w:t>
            </w:r>
            <w:r>
              <w:rPr>
                <w:rFonts w:ascii="Arial" w:cs="Arial" w:eastAsia="Arial" w:hAnsi="Arial"/>
                <w:sz w:val="16"/>
                <w:szCs w:val="16"/>
                <w:b w:val="1"/>
                <w:bCs w:val="1"/>
                <w:color w:val="auto"/>
              </w:rPr>
              <w:t>Not Applicable</w:t>
            </w:r>
          </w:p>
        </w:tc>
        <w:tc>
          <w:tcPr>
            <w:tcW w:w="0" w:type="dxa"/>
            <w:vAlign w:val="bottom"/>
          </w:tcPr>
          <w:p>
            <w:pPr>
              <w:spacing w:after="0"/>
              <w:rPr>
                <w:sz w:val="1"/>
                <w:szCs w:val="1"/>
                <w:color w:val="auto"/>
              </w:rPr>
            </w:pPr>
          </w:p>
        </w:tc>
      </w:tr>
      <w:tr>
        <w:trPr>
          <w:trHeight w:val="190"/>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60" w:type="dxa"/>
            <w:vAlign w:val="bottom"/>
            <w:tcBorders>
              <w:right w:val="single" w:sz="8" w:color="9ADAF6"/>
            </w:tcBorders>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gridSpan w:val="4"/>
            <w:shd w:val="clear" w:color="auto" w:fill="9ADAF6"/>
          </w:tcPr>
          <w:p>
            <w:pPr>
              <w:ind w:left="380"/>
              <w:spacing w:after="0"/>
              <w:rPr>
                <w:sz w:val="20"/>
                <w:szCs w:val="20"/>
                <w:color w:val="auto"/>
              </w:rPr>
            </w:pPr>
            <w:r>
              <w:rPr>
                <w:rFonts w:ascii="Arial" w:cs="Arial" w:eastAsia="Arial" w:hAnsi="Arial"/>
                <w:sz w:val="16"/>
                <w:szCs w:val="16"/>
                <w:b w:val="1"/>
                <w:bCs w:val="1"/>
                <w:color w:val="auto"/>
              </w:rPr>
              <w:t>Amount of</w:t>
            </w:r>
          </w:p>
        </w:tc>
        <w:tc>
          <w:tcPr>
            <w:tcW w:w="3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000" w:type="dxa"/>
            <w:vAlign w:val="bottom"/>
            <w:gridSpan w:val="5"/>
            <w:shd w:val="clear" w:color="auto" w:fill="9ADAF6"/>
          </w:tcPr>
          <w:p>
            <w:pPr>
              <w:jc w:val="center"/>
              <w:spacing w:after="0"/>
              <w:rPr>
                <w:sz w:val="20"/>
                <w:szCs w:val="20"/>
                <w:color w:val="auto"/>
              </w:rPr>
            </w:pPr>
            <w:r>
              <w:rPr>
                <w:rFonts w:ascii="Arial" w:cs="Arial" w:eastAsia="Arial" w:hAnsi="Arial"/>
                <w:sz w:val="16"/>
                <w:szCs w:val="16"/>
                <w:b w:val="1"/>
                <w:bCs w:val="1"/>
                <w:color w:val="auto"/>
              </w:rPr>
              <w:t>Maximum Aggregate</w:t>
            </w:r>
          </w:p>
        </w:tc>
        <w:tc>
          <w:tcPr>
            <w:tcW w:w="20" w:type="dxa"/>
            <w:vAlign w:val="bottom"/>
          </w:tcPr>
          <w:p>
            <w:pPr>
              <w:spacing w:after="0"/>
              <w:rPr>
                <w:sz w:val="16"/>
                <w:szCs w:val="16"/>
                <w:color w:val="auto"/>
              </w:rPr>
            </w:pPr>
          </w:p>
        </w:tc>
        <w:tc>
          <w:tcPr>
            <w:tcW w:w="1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660" w:type="dxa"/>
            <w:vAlign w:val="bottom"/>
            <w:vMerge w:val="restart"/>
            <w:shd w:val="clear" w:color="auto" w:fill="9ADAF6"/>
          </w:tcPr>
          <w:p>
            <w:pPr>
              <w:jc w:val="center"/>
              <w:ind w:right="140"/>
              <w:spacing w:after="0"/>
              <w:rPr>
                <w:sz w:val="20"/>
                <w:szCs w:val="20"/>
                <w:color w:val="auto"/>
              </w:rPr>
            </w:pPr>
            <w:r>
              <w:rPr>
                <w:rFonts w:ascii="Arial" w:cs="Arial" w:eastAsia="Arial" w:hAnsi="Arial"/>
                <w:sz w:val="16"/>
                <w:szCs w:val="16"/>
                <w:b w:val="1"/>
                <w:bCs w:val="1"/>
                <w:color w:val="auto"/>
              </w:rPr>
              <w:t>Initial</w:t>
            </w:r>
          </w:p>
        </w:tc>
        <w:tc>
          <w:tcPr>
            <w:tcW w:w="60" w:type="dxa"/>
            <w:vAlign w:val="bottom"/>
            <w:tcBorders>
              <w:left w:val="single" w:sz="8" w:color="9ADAF6"/>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3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60" w:type="dxa"/>
            <w:vAlign w:val="bottom"/>
            <w:shd w:val="clear" w:color="auto" w:fill="9ADAF6"/>
          </w:tcPr>
          <w:p>
            <w:pPr>
              <w:spacing w:after="0"/>
              <w:rPr>
                <w:sz w:val="8"/>
                <w:szCs w:val="8"/>
                <w:color w:val="auto"/>
              </w:rPr>
            </w:pPr>
          </w:p>
        </w:tc>
        <w:tc>
          <w:tcPr>
            <w:tcW w:w="60" w:type="dxa"/>
            <w:vAlign w:val="bottom"/>
            <w:tcBorders>
              <w:right w:val="single" w:sz="8" w:color="9ADAF6"/>
            </w:tcBorders>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gridSpan w:val="4"/>
            <w:vMerge w:val="restart"/>
            <w:shd w:val="clear" w:color="auto" w:fill="9ADAF6"/>
          </w:tcPr>
          <w:p>
            <w:pPr>
              <w:ind w:left="400"/>
              <w:spacing w:after="0"/>
              <w:rPr>
                <w:sz w:val="20"/>
                <w:szCs w:val="20"/>
                <w:color w:val="auto"/>
              </w:rPr>
            </w:pPr>
            <w:r>
              <w:rPr>
                <w:rFonts w:ascii="Arial" w:cs="Arial" w:eastAsia="Arial" w:hAnsi="Arial"/>
                <w:sz w:val="16"/>
                <w:szCs w:val="16"/>
                <w:b w:val="1"/>
                <w:bCs w:val="1"/>
                <w:color w:val="auto"/>
              </w:rPr>
              <w:t>Securities</w:t>
            </w: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680" w:type="dxa"/>
            <w:vAlign w:val="bottom"/>
            <w:gridSpan w:val="3"/>
            <w:vMerge w:val="restart"/>
            <w:shd w:val="clear" w:color="auto" w:fill="9ADAF6"/>
          </w:tcPr>
          <w:p>
            <w:pPr>
              <w:jc w:val="center"/>
              <w:ind w:right="240"/>
              <w:spacing w:after="0"/>
              <w:rPr>
                <w:sz w:val="20"/>
                <w:szCs w:val="20"/>
                <w:color w:val="auto"/>
              </w:rPr>
            </w:pPr>
            <w:r>
              <w:rPr>
                <w:rFonts w:ascii="Arial" w:cs="Arial" w:eastAsia="Arial" w:hAnsi="Arial"/>
                <w:sz w:val="16"/>
                <w:szCs w:val="16"/>
                <w:b w:val="1"/>
                <w:bCs w:val="1"/>
                <w:color w:val="auto"/>
              </w:rPr>
              <w:t>Offering Price of</w:t>
            </w:r>
          </w:p>
        </w:tc>
        <w:tc>
          <w:tcPr>
            <w:tcW w:w="20" w:type="dxa"/>
            <w:vAlign w:val="bottom"/>
          </w:tcPr>
          <w:p>
            <w:pPr>
              <w:spacing w:after="0"/>
              <w:rPr>
                <w:sz w:val="8"/>
                <w:szCs w:val="8"/>
                <w:color w:val="auto"/>
              </w:rPr>
            </w:pPr>
          </w:p>
        </w:tc>
        <w:tc>
          <w:tcPr>
            <w:tcW w:w="140" w:type="dxa"/>
            <w:vAlign w:val="bottom"/>
            <w:shd w:val="clear" w:color="auto" w:fill="9ADAF6"/>
          </w:tcPr>
          <w:p>
            <w:pPr>
              <w:spacing w:after="0"/>
              <w:rPr>
                <w:sz w:val="8"/>
                <w:szCs w:val="8"/>
                <w:color w:val="auto"/>
              </w:rPr>
            </w:pPr>
          </w:p>
        </w:tc>
        <w:tc>
          <w:tcPr>
            <w:tcW w:w="540" w:type="dxa"/>
            <w:vAlign w:val="bottom"/>
            <w:gridSpan w:val="2"/>
            <w:vMerge w:val="restart"/>
            <w:shd w:val="clear" w:color="auto" w:fill="9ADAF6"/>
          </w:tcPr>
          <w:p>
            <w:pPr>
              <w:spacing w:after="0"/>
              <w:rPr>
                <w:sz w:val="20"/>
                <w:szCs w:val="20"/>
                <w:color w:val="auto"/>
              </w:rPr>
            </w:pPr>
            <w:r>
              <w:rPr>
                <w:rFonts w:ascii="Arial" w:cs="Arial" w:eastAsia="Arial" w:hAnsi="Arial"/>
                <w:sz w:val="16"/>
                <w:szCs w:val="16"/>
                <w:b w:val="1"/>
                <w:bCs w:val="1"/>
                <w:color w:val="auto"/>
              </w:rPr>
              <w:t>Form</w:t>
            </w:r>
          </w:p>
        </w:tc>
        <w:tc>
          <w:tcPr>
            <w:tcW w:w="20" w:type="dxa"/>
            <w:vAlign w:val="bottom"/>
          </w:tcPr>
          <w:p>
            <w:pPr>
              <w:spacing w:after="0"/>
              <w:rPr>
                <w:sz w:val="8"/>
                <w:szCs w:val="8"/>
                <w:color w:val="auto"/>
              </w:rPr>
            </w:pPr>
          </w:p>
        </w:tc>
        <w:tc>
          <w:tcPr>
            <w:tcW w:w="3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60" w:type="dxa"/>
            <w:vAlign w:val="bottom"/>
            <w:vMerge w:val="continue"/>
            <w:shd w:val="clear" w:color="auto" w:fill="9ADAF6"/>
          </w:tcPr>
          <w:p>
            <w:pPr>
              <w:spacing w:after="0"/>
              <w:rPr>
                <w:sz w:val="8"/>
                <w:szCs w:val="8"/>
                <w:color w:val="auto"/>
              </w:rPr>
            </w:pPr>
          </w:p>
        </w:tc>
        <w:tc>
          <w:tcPr>
            <w:tcW w:w="60" w:type="dxa"/>
            <w:vAlign w:val="bottom"/>
            <w:tcBorders>
              <w:left w:val="single" w:sz="8" w:color="9ADAF6"/>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320" w:type="dxa"/>
            <w:vAlign w:val="bottom"/>
            <w:gridSpan w:val="4"/>
            <w:vMerge w:val="restart"/>
            <w:shd w:val="clear" w:color="auto" w:fill="9ADAF6"/>
          </w:tcPr>
          <w:p>
            <w:pPr>
              <w:ind w:left="240"/>
              <w:spacing w:after="0"/>
              <w:rPr>
                <w:sz w:val="20"/>
                <w:szCs w:val="20"/>
                <w:color w:val="auto"/>
              </w:rPr>
            </w:pPr>
            <w:r>
              <w:rPr>
                <w:rFonts w:ascii="Arial" w:cs="Arial" w:eastAsia="Arial" w:hAnsi="Arial"/>
                <w:sz w:val="16"/>
                <w:szCs w:val="16"/>
                <w:b w:val="1"/>
                <w:bCs w:val="1"/>
                <w:color w:val="auto"/>
              </w:rPr>
              <w:t>Security Type</w:t>
            </w:r>
          </w:p>
        </w:tc>
        <w:tc>
          <w:tcPr>
            <w:tcW w:w="2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740" w:type="dxa"/>
            <w:vAlign w:val="bottom"/>
            <w:gridSpan w:val="5"/>
            <w:vMerge w:val="restart"/>
            <w:shd w:val="clear" w:color="auto" w:fill="9ADAF6"/>
          </w:tcPr>
          <w:p>
            <w:pPr>
              <w:ind w:left="640"/>
              <w:spacing w:after="0"/>
              <w:rPr>
                <w:sz w:val="20"/>
                <w:szCs w:val="20"/>
                <w:color w:val="auto"/>
              </w:rPr>
            </w:pPr>
            <w:r>
              <w:rPr>
                <w:rFonts w:ascii="Arial" w:cs="Arial" w:eastAsia="Arial" w:hAnsi="Arial"/>
                <w:sz w:val="16"/>
                <w:szCs w:val="16"/>
                <w:b w:val="1"/>
                <w:bCs w:val="1"/>
                <w:color w:val="auto"/>
              </w:rPr>
              <w:t>Security Class Title</w:t>
            </w:r>
          </w:p>
        </w:tc>
        <w:tc>
          <w:tcPr>
            <w:tcW w:w="60" w:type="dxa"/>
            <w:vAlign w:val="bottom"/>
            <w:tcBorders>
              <w:right w:val="single" w:sz="8" w:color="9ADAF6"/>
            </w:tcBorders>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gridSpan w:val="4"/>
            <w:vMerge w:val="continue"/>
            <w:shd w:val="clear" w:color="auto" w:fill="9ADAF6"/>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68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shd w:val="clear" w:color="auto" w:fill="9ADAF6"/>
          </w:tcPr>
          <w:p>
            <w:pPr>
              <w:spacing w:after="0"/>
              <w:rPr>
                <w:sz w:val="8"/>
                <w:szCs w:val="8"/>
                <w:color w:val="auto"/>
              </w:rPr>
            </w:pPr>
          </w:p>
        </w:tc>
        <w:tc>
          <w:tcPr>
            <w:tcW w:w="540" w:type="dxa"/>
            <w:vAlign w:val="bottom"/>
            <w:gridSpan w:val="2"/>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00" w:type="dxa"/>
            <w:vAlign w:val="bottom"/>
            <w:gridSpan w:val="3"/>
            <w:vMerge w:val="restart"/>
            <w:shd w:val="clear" w:color="auto" w:fill="9ADAF6"/>
          </w:tcPr>
          <w:p>
            <w:pPr>
              <w:ind w:left="80"/>
              <w:spacing w:after="0"/>
              <w:rPr>
                <w:sz w:val="20"/>
                <w:szCs w:val="20"/>
                <w:color w:val="auto"/>
              </w:rPr>
            </w:pPr>
            <w:r>
              <w:rPr>
                <w:rFonts w:ascii="Arial" w:cs="Arial" w:eastAsia="Arial" w:hAnsi="Arial"/>
                <w:sz w:val="16"/>
                <w:szCs w:val="16"/>
                <w:b w:val="1"/>
                <w:bCs w:val="1"/>
                <w:color w:val="auto"/>
              </w:rPr>
              <w:t>File Number</w:t>
            </w:r>
          </w:p>
        </w:tc>
        <w:tc>
          <w:tcPr>
            <w:tcW w:w="20" w:type="dxa"/>
            <w:vAlign w:val="bottom"/>
          </w:tcPr>
          <w:p>
            <w:pPr>
              <w:spacing w:after="0"/>
              <w:rPr>
                <w:sz w:val="8"/>
                <w:szCs w:val="8"/>
                <w:color w:val="auto"/>
              </w:rPr>
            </w:pPr>
          </w:p>
        </w:tc>
        <w:tc>
          <w:tcPr>
            <w:tcW w:w="900" w:type="dxa"/>
            <w:vAlign w:val="bottom"/>
            <w:gridSpan w:val="3"/>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Effective</w:t>
            </w:r>
          </w:p>
        </w:tc>
        <w:tc>
          <w:tcPr>
            <w:tcW w:w="60" w:type="dxa"/>
            <w:vAlign w:val="bottom"/>
            <w:tcBorders>
              <w:left w:val="single" w:sz="8" w:color="9ADAF6"/>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320" w:type="dxa"/>
            <w:vAlign w:val="bottom"/>
            <w:gridSpan w:val="4"/>
            <w:vMerge w:val="continue"/>
            <w:shd w:val="clear" w:color="auto" w:fill="9ADAF6"/>
          </w:tcPr>
          <w:p>
            <w:pPr>
              <w:spacing w:after="0"/>
              <w:rPr>
                <w:sz w:val="8"/>
                <w:szCs w:val="8"/>
                <w:color w:val="auto"/>
              </w:rPr>
            </w:pPr>
          </w:p>
        </w:tc>
        <w:tc>
          <w:tcPr>
            <w:tcW w:w="2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740" w:type="dxa"/>
            <w:vAlign w:val="bottom"/>
            <w:gridSpan w:val="5"/>
            <w:vMerge w:val="continue"/>
            <w:shd w:val="clear" w:color="auto" w:fill="9ADAF6"/>
          </w:tcPr>
          <w:p>
            <w:pPr>
              <w:spacing w:after="0"/>
              <w:rPr>
                <w:sz w:val="8"/>
                <w:szCs w:val="8"/>
                <w:color w:val="auto"/>
              </w:rPr>
            </w:pPr>
          </w:p>
        </w:tc>
        <w:tc>
          <w:tcPr>
            <w:tcW w:w="60" w:type="dxa"/>
            <w:vAlign w:val="bottom"/>
            <w:tcBorders>
              <w:right w:val="single" w:sz="8" w:color="9ADAF6"/>
            </w:tcBorders>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gridSpan w:val="4"/>
            <w:vMerge w:val="restart"/>
            <w:shd w:val="clear" w:color="auto" w:fill="9ADAF6"/>
          </w:tcPr>
          <w:p>
            <w:pPr>
              <w:ind w:left="380"/>
              <w:spacing w:after="0"/>
              <w:rPr>
                <w:sz w:val="20"/>
                <w:szCs w:val="20"/>
                <w:color w:val="auto"/>
              </w:rPr>
            </w:pPr>
            <w:r>
              <w:rPr>
                <w:rFonts w:ascii="Arial" w:cs="Arial" w:eastAsia="Arial" w:hAnsi="Arial"/>
                <w:sz w:val="16"/>
                <w:szCs w:val="16"/>
                <w:b w:val="1"/>
                <w:bCs w:val="1"/>
                <w:color w:val="auto"/>
              </w:rPr>
              <w:t>Previously</w:t>
            </w: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00" w:type="dxa"/>
            <w:vAlign w:val="bottom"/>
            <w:gridSpan w:val="5"/>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Securities Previously</w:t>
            </w:r>
          </w:p>
        </w:tc>
        <w:tc>
          <w:tcPr>
            <w:tcW w:w="20" w:type="dxa"/>
            <w:vAlign w:val="bottom"/>
          </w:tcPr>
          <w:p>
            <w:pPr>
              <w:spacing w:after="0"/>
              <w:rPr>
                <w:sz w:val="8"/>
                <w:szCs w:val="8"/>
                <w:color w:val="auto"/>
              </w:rPr>
            </w:pPr>
          </w:p>
        </w:tc>
        <w:tc>
          <w:tcPr>
            <w:tcW w:w="1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20" w:type="dxa"/>
            <w:vAlign w:val="bottom"/>
            <w:vMerge w:val="restart"/>
            <w:shd w:val="clear" w:color="auto" w:fill="9ADAF6"/>
          </w:tcPr>
          <w:p>
            <w:pPr>
              <w:spacing w:after="0"/>
              <w:rPr>
                <w:sz w:val="20"/>
                <w:szCs w:val="20"/>
                <w:color w:val="auto"/>
              </w:rPr>
            </w:pPr>
            <w:r>
              <w:rPr>
                <w:rFonts w:ascii="Arial" w:cs="Arial" w:eastAsia="Arial" w:hAnsi="Arial"/>
                <w:sz w:val="16"/>
                <w:szCs w:val="16"/>
                <w:b w:val="1"/>
                <w:bCs w:val="1"/>
                <w:color w:val="auto"/>
              </w:rPr>
              <w:t>Type</w:t>
            </w:r>
          </w:p>
        </w:tc>
        <w:tc>
          <w:tcPr>
            <w:tcW w:w="20" w:type="dxa"/>
            <w:vAlign w:val="bottom"/>
          </w:tcPr>
          <w:p>
            <w:pPr>
              <w:spacing w:after="0"/>
              <w:rPr>
                <w:sz w:val="8"/>
                <w:szCs w:val="8"/>
                <w:color w:val="auto"/>
              </w:rPr>
            </w:pPr>
          </w:p>
        </w:tc>
        <w:tc>
          <w:tcPr>
            <w:tcW w:w="110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gridSpan w:val="3"/>
            <w:vMerge w:val="continue"/>
            <w:shd w:val="clear" w:color="auto" w:fill="9ADAF6"/>
          </w:tcPr>
          <w:p>
            <w:pPr>
              <w:spacing w:after="0"/>
              <w:rPr>
                <w:sz w:val="8"/>
                <w:szCs w:val="8"/>
                <w:color w:val="auto"/>
              </w:rPr>
            </w:pPr>
          </w:p>
        </w:tc>
        <w:tc>
          <w:tcPr>
            <w:tcW w:w="60" w:type="dxa"/>
            <w:vAlign w:val="bottom"/>
            <w:tcBorders>
              <w:left w:val="single" w:sz="8" w:color="9ADAF6"/>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3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60" w:type="dxa"/>
            <w:vAlign w:val="bottom"/>
            <w:shd w:val="clear" w:color="auto" w:fill="9ADAF6"/>
          </w:tcPr>
          <w:p>
            <w:pPr>
              <w:spacing w:after="0"/>
              <w:rPr>
                <w:sz w:val="8"/>
                <w:szCs w:val="8"/>
                <w:color w:val="auto"/>
              </w:rPr>
            </w:pPr>
          </w:p>
        </w:tc>
        <w:tc>
          <w:tcPr>
            <w:tcW w:w="60" w:type="dxa"/>
            <w:vAlign w:val="bottom"/>
            <w:tcBorders>
              <w:right w:val="single" w:sz="8" w:color="9ADAF6"/>
            </w:tcBorders>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gridSpan w:val="4"/>
            <w:vMerge w:val="continue"/>
            <w:shd w:val="clear" w:color="auto" w:fill="9ADAF6"/>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0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60" w:type="dxa"/>
            <w:vAlign w:val="bottom"/>
            <w:vMerge w:val="restart"/>
            <w:shd w:val="clear" w:color="auto" w:fill="9ADAF6"/>
          </w:tcPr>
          <w:p>
            <w:pPr>
              <w:jc w:val="center"/>
              <w:ind w:right="140"/>
              <w:spacing w:after="0"/>
              <w:rPr>
                <w:sz w:val="20"/>
                <w:szCs w:val="20"/>
                <w:color w:val="auto"/>
              </w:rPr>
            </w:pPr>
            <w:r>
              <w:rPr>
                <w:rFonts w:ascii="Arial" w:cs="Arial" w:eastAsia="Arial" w:hAnsi="Arial"/>
                <w:sz w:val="16"/>
                <w:szCs w:val="16"/>
                <w:b w:val="1"/>
                <w:bCs w:val="1"/>
                <w:color w:val="auto"/>
              </w:rPr>
              <w:t>Date</w:t>
            </w:r>
          </w:p>
        </w:tc>
        <w:tc>
          <w:tcPr>
            <w:tcW w:w="60" w:type="dxa"/>
            <w:vAlign w:val="bottom"/>
            <w:tcBorders>
              <w:left w:val="single" w:sz="8" w:color="9ADAF6"/>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40" w:type="dxa"/>
            <w:vAlign w:val="bottom"/>
            <w:tcBorders>
              <w:left w:val="single" w:sz="8" w:color="auto"/>
            </w:tcBorders>
          </w:tcPr>
          <w:p>
            <w:pPr>
              <w:spacing w:after="0"/>
              <w:rPr>
                <w:sz w:val="11"/>
                <w:szCs w:val="11"/>
                <w:color w:val="auto"/>
              </w:rPr>
            </w:pPr>
          </w:p>
        </w:tc>
        <w:tc>
          <w:tcPr>
            <w:tcW w:w="4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2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3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6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60" w:type="dxa"/>
            <w:vAlign w:val="bottom"/>
            <w:shd w:val="clear" w:color="auto" w:fill="9ADAF6"/>
          </w:tcPr>
          <w:p>
            <w:pPr>
              <w:spacing w:after="0"/>
              <w:rPr>
                <w:sz w:val="11"/>
                <w:szCs w:val="11"/>
                <w:color w:val="auto"/>
              </w:rPr>
            </w:pPr>
          </w:p>
        </w:tc>
        <w:tc>
          <w:tcPr>
            <w:tcW w:w="60" w:type="dxa"/>
            <w:vAlign w:val="bottom"/>
            <w:tcBorders>
              <w:right w:val="single" w:sz="8" w:color="9ADAF6"/>
            </w:tcBorders>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4"/>
            <w:vMerge w:val="restart"/>
            <w:shd w:val="clear" w:color="auto" w:fill="9ADAF6"/>
          </w:tcPr>
          <w:p>
            <w:pPr>
              <w:ind w:left="360"/>
              <w:spacing w:after="0"/>
              <w:rPr>
                <w:sz w:val="20"/>
                <w:szCs w:val="20"/>
                <w:color w:val="auto"/>
              </w:rPr>
            </w:pPr>
            <w:r>
              <w:rPr>
                <w:rFonts w:ascii="Arial" w:cs="Arial" w:eastAsia="Arial" w:hAnsi="Arial"/>
                <w:sz w:val="16"/>
                <w:szCs w:val="16"/>
                <w:b w:val="1"/>
                <w:bCs w:val="1"/>
                <w:color w:val="auto"/>
              </w:rPr>
              <w:t>Registered</w:t>
            </w:r>
          </w:p>
        </w:tc>
        <w:tc>
          <w:tcPr>
            <w:tcW w:w="3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680" w:type="dxa"/>
            <w:vAlign w:val="bottom"/>
            <w:gridSpan w:val="3"/>
            <w:vMerge w:val="restart"/>
            <w:shd w:val="clear" w:color="auto" w:fill="9ADAF6"/>
          </w:tcPr>
          <w:p>
            <w:pPr>
              <w:jc w:val="center"/>
              <w:ind w:right="240"/>
              <w:spacing w:after="0"/>
              <w:rPr>
                <w:sz w:val="20"/>
                <w:szCs w:val="20"/>
                <w:color w:val="auto"/>
              </w:rPr>
            </w:pPr>
            <w:r>
              <w:rPr>
                <w:rFonts w:ascii="Arial" w:cs="Arial" w:eastAsia="Arial" w:hAnsi="Arial"/>
                <w:sz w:val="16"/>
                <w:szCs w:val="16"/>
                <w:b w:val="1"/>
                <w:bCs w:val="1"/>
                <w:color w:val="auto"/>
              </w:rPr>
              <w:t>Registered</w:t>
            </w:r>
          </w:p>
        </w:tc>
        <w:tc>
          <w:tcPr>
            <w:tcW w:w="20" w:type="dxa"/>
            <w:vAlign w:val="bottom"/>
          </w:tcPr>
          <w:p>
            <w:pPr>
              <w:spacing w:after="0"/>
              <w:rPr>
                <w:sz w:val="11"/>
                <w:szCs w:val="11"/>
                <w:color w:val="auto"/>
              </w:rPr>
            </w:pPr>
          </w:p>
        </w:tc>
        <w:tc>
          <w:tcPr>
            <w:tcW w:w="1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5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660" w:type="dxa"/>
            <w:vAlign w:val="bottom"/>
            <w:vMerge w:val="continue"/>
            <w:shd w:val="clear" w:color="auto" w:fill="9ADAF6"/>
          </w:tcPr>
          <w:p>
            <w:pPr>
              <w:spacing w:after="0"/>
              <w:rPr>
                <w:sz w:val="11"/>
                <w:szCs w:val="11"/>
                <w:color w:val="auto"/>
              </w:rPr>
            </w:pPr>
          </w:p>
        </w:tc>
        <w:tc>
          <w:tcPr>
            <w:tcW w:w="60" w:type="dxa"/>
            <w:vAlign w:val="bottom"/>
            <w:tcBorders>
              <w:left w:val="single" w:sz="8" w:color="9ADAF6"/>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3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60" w:type="dxa"/>
            <w:vAlign w:val="bottom"/>
            <w:shd w:val="clear" w:color="auto" w:fill="9ADAF6"/>
          </w:tcPr>
          <w:p>
            <w:pPr>
              <w:spacing w:after="0"/>
              <w:rPr>
                <w:sz w:val="7"/>
                <w:szCs w:val="7"/>
                <w:color w:val="auto"/>
              </w:rPr>
            </w:pPr>
          </w:p>
        </w:tc>
        <w:tc>
          <w:tcPr>
            <w:tcW w:w="60" w:type="dxa"/>
            <w:vAlign w:val="bottom"/>
            <w:tcBorders>
              <w:right w:val="single" w:sz="8" w:color="9ADAF6"/>
            </w:tcBorders>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40" w:type="dxa"/>
            <w:vAlign w:val="bottom"/>
            <w:gridSpan w:val="4"/>
            <w:vMerge w:val="continue"/>
            <w:shd w:val="clear" w:color="auto" w:fill="9ADAF6"/>
          </w:tcPr>
          <w:p>
            <w:pPr>
              <w:spacing w:after="0"/>
              <w:rPr>
                <w:sz w:val="7"/>
                <w:szCs w:val="7"/>
                <w:color w:val="auto"/>
              </w:rPr>
            </w:pPr>
          </w:p>
        </w:tc>
        <w:tc>
          <w:tcPr>
            <w:tcW w:w="3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680" w:type="dxa"/>
            <w:vAlign w:val="bottom"/>
            <w:gridSpan w:val="3"/>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5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60" w:type="dxa"/>
            <w:vAlign w:val="bottom"/>
            <w:shd w:val="clear" w:color="auto" w:fill="9ADAF6"/>
          </w:tcPr>
          <w:p>
            <w:pPr>
              <w:spacing w:after="0"/>
              <w:rPr>
                <w:sz w:val="7"/>
                <w:szCs w:val="7"/>
                <w:color w:val="auto"/>
              </w:rPr>
            </w:pPr>
          </w:p>
        </w:tc>
        <w:tc>
          <w:tcPr>
            <w:tcW w:w="60" w:type="dxa"/>
            <w:vAlign w:val="bottom"/>
            <w:tcBorders>
              <w:left w:val="single" w:sz="8" w:color="9ADAF6"/>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2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60" w:type="dxa"/>
            <w:vAlign w:val="bottom"/>
            <w:tcBorders>
              <w:bottom w:val="single" w:sz="8" w:color="E7E7E2"/>
            </w:tcBorders>
          </w:tcPr>
          <w:p>
            <w:pPr>
              <w:spacing w:after="0" w:line="20" w:lineRule="exact"/>
              <w:rPr>
                <w:sz w:val="1"/>
                <w:szCs w:val="1"/>
                <w:color w:val="auto"/>
              </w:rPr>
            </w:pPr>
          </w:p>
        </w:tc>
        <w:tc>
          <w:tcPr>
            <w:tcW w:w="6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3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9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6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5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60" w:type="dxa"/>
            <w:vAlign w:val="bottom"/>
            <w:tcBorders>
              <w:bottom w:val="single" w:sz="8" w:color="E7E7E2"/>
            </w:tcBorders>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360"/>
      </w:cols>
      <w:pgMar w:left="300" w:top="14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DB70AE5"/>
    <w:multiLevelType w:val="hybridMultilevel"/>
    <w:lvl w:ilvl="0">
      <w:lvlJc w:val="left"/>
      <w:lvlText w:val="(%1)"/>
      <w:numFmt w:val="decimal"/>
      <w:start w:val="800"/>
    </w:lvl>
  </w:abstractNum>
  <w:abstractNum w:abstractNumId="1">
    <w:nsid w:val="100F8FCA"/>
    <w:multiLevelType w:val="hybridMultilevel"/>
    <w:lvl w:ilvl="0">
      <w:lvlJc w:val="left"/>
      <w:lvlText w:val="•"/>
      <w:numFmt w:val="bullet"/>
      <w:start w:val="1"/>
    </w:lvl>
  </w:abstractNum>
  <w:abstractNum w:abstractNumId="2">
    <w:nsid w:val="6590700B"/>
    <w:multiLevelType w:val="hybridMultilevel"/>
    <w:lvl w:ilvl="0">
      <w:lvlJc w:val="left"/>
      <w:lvlText w:val="1"/>
      <w:numFmt w:val="bullet"/>
      <w:start w:val="1"/>
    </w:lvl>
  </w:abstractNum>
  <w:abstractNum w:abstractNumId="3">
    <w:nsid w:val="15014ACB"/>
    <w:multiLevelType w:val="hybridMultilevel"/>
    <w:lvl w:ilvl="0">
      <w:lvlJc w:val="left"/>
      <w:lvlText w:val="1"/>
      <w:numFmt w:val="bullet"/>
      <w:start w:val="1"/>
    </w:lvl>
  </w:abstractNum>
  <w:abstractNum w:abstractNumId="4">
    <w:nsid w:val="5F5E7FD0"/>
    <w:multiLevelType w:val="hybridMultilevel"/>
    <w:lvl w:ilvl="0">
      <w:lvlJc w:val="left"/>
      <w:lvlText w:val="3"/>
      <w:numFmt w:val="bullet"/>
      <w:start w:val="1"/>
    </w:lvl>
  </w:abstractNum>
  <w:abstractNum w:abstractNumId="5">
    <w:nsid w:val="98A3148"/>
    <w:multiLevelType w:val="hybridMultilevel"/>
    <w:lvl w:ilvl="0">
      <w:lvlJc w:val="left"/>
      <w:lvlText w:val="7"/>
      <w:numFmt w:val="bullet"/>
      <w:start w:val="1"/>
    </w:lvl>
  </w:abstractNum>
  <w:abstractNum w:abstractNumId="6">
    <w:nsid w:val="799D0247"/>
    <w:multiLevelType w:val="hybridMultilevel"/>
    <w:lvl w:ilvl="0">
      <w:lvlJc w:val="left"/>
      <w:lvlText w:val="8"/>
      <w:numFmt w:val="bullet"/>
      <w:start w:val="1"/>
    </w:lvl>
  </w:abstractNum>
  <w:abstractNum w:abstractNumId="7">
    <w:nsid w:val="6B94764"/>
    <w:multiLevelType w:val="hybridMultilevel"/>
    <w:lvl w:ilvl="0">
      <w:lvlJc w:val="left"/>
      <w:lvlText w:val="9"/>
      <w:numFmt w:val="bullet"/>
      <w:start w:val="1"/>
    </w:lvl>
  </w:abstractNum>
  <w:abstractNum w:abstractNumId="8">
    <w:nsid w:val="42C296BD"/>
    <w:multiLevelType w:val="hybridMultilevel"/>
    <w:lvl w:ilvl="0">
      <w:lvlJc w:val="left"/>
      <w:lvlText w:val="•"/>
      <w:numFmt w:val="bullet"/>
      <w:start w:val="1"/>
    </w:lvl>
    <w:lvl w:ilvl="1">
      <w:lvlJc w:val="left"/>
      <w:lvlText w:val="•"/>
      <w:numFmt w:val="bullet"/>
      <w:start w:val="1"/>
    </w:lvl>
  </w:abstractNum>
  <w:abstractNum w:abstractNumId="9">
    <w:nsid w:val="168E121F"/>
    <w:multiLevelType w:val="hybridMultilevel"/>
    <w:lvl w:ilvl="0">
      <w:lvlJc w:val="left"/>
      <w:lvlText w:val="•"/>
      <w:numFmt w:val="bullet"/>
      <w:start w:val="1"/>
    </w:lvl>
  </w:abstractNum>
  <w:abstractNum w:abstractNumId="10">
    <w:nsid w:val="1EBA5D23"/>
    <w:multiLevelType w:val="hybridMultilevel"/>
    <w:lvl w:ilvl="0">
      <w:lvlJc w:val="left"/>
      <w:lvlText w:val="•"/>
      <w:numFmt w:val="bullet"/>
      <w:start w:val="1"/>
    </w:lvl>
  </w:abstractNum>
  <w:abstractNum w:abstractNumId="11">
    <w:nsid w:val="661E3F1E"/>
    <w:multiLevelType w:val="hybridMultilevel"/>
    <w:lvl w:ilvl="0">
      <w:lvlJc w:val="left"/>
      <w:lvlText w:val="(%1)"/>
      <w:numFmt w:val="lowerRoman"/>
      <w:start w:val="1"/>
    </w:lvl>
  </w:abstractNum>
  <w:abstractNum w:abstractNumId="12">
    <w:nsid w:val="5DC79EA8"/>
    <w:multiLevelType w:val="hybridMultilevel"/>
    <w:lvl w:ilvl="0">
      <w:lvlJc w:val="left"/>
      <w:lvlText w:val="(%1)"/>
      <w:numFmt w:val="lowerRoman"/>
      <w:start w:val="1"/>
    </w:lvl>
  </w:abstractNum>
  <w:abstractNum w:abstractNumId="13">
    <w:nsid w:val="540A471C"/>
    <w:multiLevelType w:val="hybridMultilevel"/>
    <w:lvl w:ilvl="0">
      <w:lvlJc w:val="left"/>
      <w:lvlText w:val="(%1)"/>
      <w:numFmt w:val="lowerRoman"/>
      <w:start w:val="1"/>
    </w:lvl>
  </w:abstractNum>
  <w:abstractNum w:abstractNumId="14">
    <w:nsid w:val="7BD3EE7B"/>
    <w:multiLevelType w:val="hybridMultilevel"/>
    <w:lvl w:ilvl="0">
      <w:lvlJc w:val="left"/>
      <w:lvlText w:val="(%1)"/>
      <w:numFmt w:val="lowerRoman"/>
      <w:start w:val="1"/>
    </w:lvl>
  </w:abstractNum>
  <w:abstractNum w:abstractNumId="15">
    <w:nsid w:val="51D9C564"/>
    <w:multiLevelType w:val="hybridMultilevel"/>
    <w:lvl w:ilvl="0">
      <w:lvlJc w:val="left"/>
      <w:lvlText w:val="(%1)"/>
      <w:numFmt w:val="lowerRoman"/>
      <w:start w:val="1"/>
    </w:lvl>
  </w:abstractNum>
  <w:abstractNum w:abstractNumId="16">
    <w:nsid w:val="613EFDC5"/>
    <w:multiLevelType w:val="hybridMultilevel"/>
    <w:lvl w:ilvl="0">
      <w:lvlJc w:val="left"/>
      <w:lvlText w:val="(%1)"/>
      <w:numFmt w:val="decimal"/>
      <w:start w:val="1"/>
    </w:lvl>
  </w:abstractNum>
  <w:abstractNum w:abstractNumId="17">
    <w:nsid w:val="BF72B14"/>
    <w:multiLevelType w:val="hybridMultilevel"/>
    <w:lvl w:ilvl="0">
      <w:lvlJc w:val="left"/>
      <w:lvlText w:val="(%1)"/>
      <w:numFmt w:val="decimal"/>
      <w:start w:val="2"/>
    </w:lvl>
    <w:lvl w:ilvl="1">
      <w:lvlJc w:val="left"/>
      <w:lvlText w:val="÷"/>
      <w:numFmt w:val="bullet"/>
      <w:start w:val="1"/>
    </w:lvl>
  </w:abstractNum>
  <w:abstractNum w:abstractNumId="18">
    <w:nsid w:val="11447B73"/>
    <w:multiLevelType w:val="hybridMultilevel"/>
    <w:lvl w:ilvl="0">
      <w:lvlJc w:val="left"/>
      <w:lvlText w:val="(%1)"/>
      <w:numFmt w:val="lowerRoman"/>
      <w:start w:val="1"/>
    </w:lvl>
  </w:abstractNum>
  <w:abstractNum w:abstractNumId="19">
    <w:nsid w:val="42963E5A"/>
    <w:multiLevelType w:val="hybridMultilevel"/>
    <w:lvl w:ilvl="0">
      <w:lvlJc w:val="left"/>
      <w:lvlText w:val="(%1)"/>
      <w:numFmt w:val="decimal"/>
      <w:start w:val="1"/>
    </w:lvl>
  </w:abstractNum>
  <w:abstractNum w:abstractNumId="20">
    <w:nsid w:val="A0382C5"/>
    <w:multiLevelType w:val="hybridMultilevel"/>
    <w:lvl w:ilvl="0">
      <w:lvlJc w:val="left"/>
      <w:lvlText w:val="(%1)"/>
      <w:numFmt w:val="decimal"/>
      <w:start w:val="2"/>
    </w:lvl>
    <w:lvl w:ilvl="1">
      <w:lvlJc w:val="left"/>
      <w:lvlText w:val="÷"/>
      <w:numFmt w:val="bullet"/>
      <w:start w:val="1"/>
    </w:lvl>
  </w:abstractNum>
  <w:abstractNum w:abstractNumId="21">
    <w:nsid w:val="8F2B15E"/>
    <w:multiLevelType w:val="hybridMultilevel"/>
    <w:lvl w:ilvl="0">
      <w:lvlJc w:val="left"/>
      <w:lvlText w:val="(%1)"/>
      <w:numFmt w:val="decimal"/>
      <w:start w:val="1"/>
    </w:lvl>
  </w:abstractNum>
  <w:abstractNum w:abstractNumId="22">
    <w:nsid w:val="1A32234B"/>
    <w:multiLevelType w:val="hybridMultilevel"/>
    <w:lvl w:ilvl="0">
      <w:lvlJc w:val="left"/>
      <w:lvlText w:val="(%1)"/>
      <w:numFmt w:val="decimal"/>
      <w:start w:val="2"/>
    </w:lvl>
    <w:lvl w:ilvl="1">
      <w:lvlJc w:val="left"/>
      <w:lvlText w:val="÷"/>
      <w:numFmt w:val="bullet"/>
      <w:start w:val="1"/>
    </w:lvl>
  </w:abstractNum>
  <w:abstractNum w:abstractNumId="23">
    <w:nsid w:val="3B0FD379"/>
    <w:multiLevelType w:val="hybridMultilevel"/>
    <w:lvl w:ilvl="0">
      <w:lvlJc w:val="left"/>
      <w:lvlText w:val="(%1)"/>
      <w:numFmt w:val="decimal"/>
      <w:start w:val="5"/>
    </w:lvl>
  </w:abstractNum>
  <w:abstractNum w:abstractNumId="24">
    <w:nsid w:val="68EB2F63"/>
    <w:multiLevelType w:val="hybridMultilevel"/>
    <w:lvl w:ilvl="0">
      <w:lvlJc w:val="left"/>
      <w:lvlText w:val="(%1)"/>
      <w:numFmt w:val="decimal"/>
      <w:start w:val="6"/>
    </w:lvl>
  </w:abstractNum>
  <w:abstractNum w:abstractNumId="25">
    <w:nsid w:val="4962813B"/>
    <w:multiLevelType w:val="hybridMultilevel"/>
    <w:lvl w:ilvl="0">
      <w:lvlJc w:val="left"/>
      <w:lvlText w:val="(%1)"/>
      <w:numFmt w:val="decimal"/>
      <w:start w:val="1"/>
    </w:lvl>
  </w:abstractNum>
  <w:abstractNum w:abstractNumId="26">
    <w:nsid w:val="60B6DF70"/>
    <w:multiLevelType w:val="hybridMultilevel"/>
    <w:lvl w:ilvl="0">
      <w:lvlJc w:val="left"/>
      <w:lvlText w:val="(%1)"/>
      <w:numFmt w:val="decimal"/>
      <w:start w:val="2"/>
    </w:lvl>
    <w:lvl w:ilvl="1">
      <w:lvlJc w:val="left"/>
      <w:lvlText w:val="÷"/>
      <w:numFmt w:val="bullet"/>
      <w:start w:val="1"/>
    </w:lvl>
  </w:abstractNum>
  <w:abstractNum w:abstractNumId="27">
    <w:nsid w:val="6A5EE64"/>
    <w:multiLevelType w:val="hybridMultilevel"/>
    <w:lvl w:ilvl="0">
      <w:lvlJc w:val="left"/>
      <w:lvlText w:val="(%1)"/>
      <w:numFmt w:val="decimal"/>
      <w:start w:val="2"/>
    </w:lvl>
  </w:abstractNum>
  <w:abstractNum w:abstractNumId="28">
    <w:nsid w:val="14330624"/>
    <w:multiLevelType w:val="hybridMultilevel"/>
    <w:lvl w:ilvl="0">
      <w:lvlJc w:val="left"/>
      <w:lvlText w:val="•"/>
      <w:numFmt w:val="bullet"/>
      <w:start w:val="1"/>
    </w:lvl>
  </w:abstractNum>
  <w:abstractNum w:abstractNumId="29">
    <w:nsid w:val="7FFFCA11"/>
    <w:multiLevelType w:val="hybridMultilevel"/>
    <w:lvl w:ilvl="0">
      <w:lvlJc w:val="left"/>
      <w:lvlText w:val="(%1)"/>
      <w:numFmt w:val="decimal"/>
      <w:start w:val="1"/>
    </w:lvl>
    <w:lvl w:ilvl="1">
      <w:lvlJc w:val="left"/>
      <w:lvlText w:val="+"/>
      <w:numFmt w:val="bullet"/>
      <w:start w:val="1"/>
    </w:lvl>
  </w:abstractNum>
  <w:abstractNum w:abstractNumId="30">
    <w:nsid w:val="1A27709E"/>
    <w:multiLevelType w:val="hybridMultilevel"/>
    <w:lvl w:ilvl="0">
      <w:lvlJc w:val="left"/>
      <w:lvlText w:val="(%1)"/>
      <w:numFmt w:val="decimal"/>
      <w:start w:val="3"/>
    </w:lvl>
  </w:abstractNum>
  <w:abstractNum w:abstractNumId="31">
    <w:nsid w:val="71EA1109"/>
    <w:multiLevelType w:val="hybridMultilevel"/>
    <w:lvl w:ilvl="0">
      <w:lvlJc w:val="left"/>
      <w:lvlText w:val="(%1)"/>
      <w:numFmt w:val="decimal"/>
      <w:start w:val="5"/>
    </w:lvl>
  </w:abstractNum>
  <w:abstractNum w:abstractNumId="32">
    <w:nsid w:val="100F59DC"/>
    <w:multiLevelType w:val="hybridMultilevel"/>
    <w:lvl w:ilvl="0">
      <w:lvlJc w:val="left"/>
      <w:lvlText w:val="+"/>
      <w:numFmt w:val="bullet"/>
      <w:start w:val="1"/>
    </w:lvl>
    <w:lvl w:ilvl="1">
      <w:lvlJc w:val="left"/>
      <w:lvlText w:val="+"/>
      <w:numFmt w:val="bullet"/>
      <w:start w:val="1"/>
    </w:lvl>
  </w:abstractNum>
  <w:abstractNum w:abstractNumId="33">
    <w:nsid w:val="7FB7E0AA"/>
    <w:multiLevelType w:val="hybridMultilevel"/>
    <w:lvl w:ilvl="0">
      <w:lvlJc w:val="left"/>
      <w:lvlText w:val="(%1)"/>
      <w:numFmt w:val="decimal"/>
      <w:start w:val="7"/>
    </w:lvl>
  </w:abstractNum>
  <w:abstractNum w:abstractNumId="34">
    <w:nsid w:val="6EB5BD4"/>
    <w:multiLevelType w:val="hybridMultilevel"/>
    <w:lvl w:ilvl="0">
      <w:lvlJc w:val="left"/>
      <w:lvlText w:val="\endash "/>
      <w:numFmt w:val="bullet"/>
      <w:start w:val="1"/>
    </w:lvl>
    <w:lvl w:ilvl="1">
      <w:lvlJc w:val="left"/>
      <w:lvlText w:val="+"/>
      <w:numFmt w:val="bullet"/>
      <w:start w:val="1"/>
    </w:lvl>
    <w:lvl w:ilvl="2">
      <w:lvlJc w:val="left"/>
      <w:lvlText w:val="+"/>
      <w:numFmt w:val="bullet"/>
      <w:start w:val="1"/>
    </w:lvl>
  </w:abstractNum>
  <w:abstractNum w:abstractNumId="35">
    <w:nsid w:val="6F6DD9AC"/>
    <w:multiLevelType w:val="hybridMultilevel"/>
    <w:lvl w:ilvl="0">
      <w:lvlJc w:val="left"/>
      <w:lvlText w:val="÷"/>
      <w:numFmt w:val="bullet"/>
      <w:start w:val="1"/>
    </w:lvl>
  </w:abstractNum>
  <w:abstractNum w:abstractNumId="36">
    <w:nsid w:val="94211F2"/>
    <w:multiLevelType w:val="hybridMultilevel"/>
    <w:lvl w:ilvl="0">
      <w:lvlJc w:val="left"/>
      <w:lvlText w:val="(%1)"/>
      <w:numFmt w:val="decimal"/>
      <w:start w:val="7"/>
    </w:lvl>
  </w:abstractNum>
  <w:abstractNum w:abstractNumId="37">
    <w:nsid w:val="885E1B"/>
    <w:multiLevelType w:val="hybridMultilevel"/>
    <w:lvl w:ilvl="0">
      <w:lvlJc w:val="left"/>
      <w:lvlText w:val="(%1)"/>
      <w:numFmt w:val="decimal"/>
      <w:start w:val="9"/>
    </w:lvl>
  </w:abstractNum>
  <w:abstractNum w:abstractNumId="38">
    <w:nsid w:val="76272110"/>
    <w:multiLevelType w:val="hybridMultilevel"/>
    <w:lvl w:ilvl="0">
      <w:lvlJc w:val="left"/>
      <w:lvlText w:val="(%1)"/>
      <w:numFmt w:val="decimal"/>
      <w:start w:val="9"/>
    </w:lvl>
    <w:lvl w:ilvl="1">
      <w:lvlJc w:val="left"/>
      <w:lvlText w:val="÷"/>
      <w:numFmt w:val="bullet"/>
      <w:start w:val="1"/>
    </w:lvl>
  </w:abstractNum>
  <w:abstractNum w:abstractNumId="39">
    <w:nsid w:val="4C04A8AF"/>
    <w:multiLevelType w:val="hybridMultilevel"/>
    <w:lvl w:ilvl="0">
      <w:lvlJc w:val="left"/>
      <w:lvlText w:val="(%1)"/>
      <w:numFmt w:val="decimal"/>
      <w:start w:val="12"/>
    </w:lvl>
  </w:abstractNum>
  <w:abstractNum w:abstractNumId="40">
    <w:nsid w:val="1716703B"/>
    <w:multiLevelType w:val="hybridMultilevel"/>
    <w:lvl w:ilvl="0">
      <w:lvlJc w:val="left"/>
      <w:lvlText w:val="(%1)"/>
      <w:numFmt w:val="decimal"/>
      <w:start w:val="1"/>
    </w:lvl>
  </w:abstractNum>
  <w:abstractNum w:abstractNumId="41">
    <w:nsid w:val="14E17E33"/>
    <w:multiLevelType w:val="hybridMultilevel"/>
    <w:lvl w:ilvl="0">
      <w:lvlJc w:val="left"/>
      <w:lvlText w:val="÷"/>
      <w:numFmt w:val="bullet"/>
      <w:start w:val="1"/>
    </w:lvl>
  </w:abstractNum>
  <w:abstractNum w:abstractNumId="42">
    <w:nsid w:val="3222E7CD"/>
    <w:multiLevelType w:val="hybridMultilevel"/>
    <w:lvl w:ilvl="0">
      <w:lvlJc w:val="left"/>
      <w:lvlText w:val="(%1)"/>
      <w:numFmt w:val="decimal"/>
      <w:start w:val="3"/>
    </w:lvl>
    <w:lvl w:ilvl="1">
      <w:lvlJc w:val="left"/>
      <w:lvlText w:val="÷"/>
      <w:numFmt w:val="bullet"/>
      <w:start w:val="1"/>
    </w:lvl>
  </w:abstractNum>
  <w:abstractNum w:abstractNumId="43">
    <w:nsid w:val="74DE0EE3"/>
    <w:multiLevelType w:val="hybridMultilevel"/>
    <w:lvl w:ilvl="0">
      <w:lvlJc w:val="left"/>
      <w:lvlText w:val="(%1)"/>
      <w:numFmt w:val="decimal"/>
      <w:start w:val="6"/>
    </w:lvl>
  </w:abstractNum>
  <w:abstractNum w:abstractNumId="44">
    <w:nsid w:val="68EBC550"/>
    <w:multiLevelType w:val="hybridMultilevel"/>
    <w:lvl w:ilvl="0">
      <w:lvlJc w:val="left"/>
      <w:lvlText w:val="(%1)"/>
      <w:numFmt w:val="decimal"/>
      <w:start w:val="7"/>
    </w:lvl>
  </w:abstractNum>
  <w:abstractNum w:abstractNumId="45">
    <w:nsid w:val="2DF6D648"/>
    <w:multiLevelType w:val="hybridMultilevel"/>
    <w:lvl w:ilvl="0">
      <w:lvlJc w:val="left"/>
      <w:lvlText w:val="(%1)"/>
      <w:numFmt w:val="decimal"/>
      <w:start w:val="9"/>
    </w:lvl>
    <w:lvl w:ilvl="1">
      <w:lvlJc w:val="left"/>
      <w:lvlText w:val="÷"/>
      <w:numFmt w:val="bullet"/>
      <w:start w:val="1"/>
    </w:lvl>
  </w:abstractNum>
  <w:abstractNum w:abstractNumId="46">
    <w:nsid w:val="46B7D447"/>
    <w:multiLevelType w:val="hybridMultilevel"/>
    <w:lvl w:ilvl="0">
      <w:lvlJc w:val="left"/>
      <w:lvlText w:val="(%1)"/>
      <w:numFmt w:val="decimal"/>
      <w:start w:val="10"/>
    </w:lvl>
    <w:lvl w:ilvl="1">
      <w:lvlJc w:val="left"/>
      <w:lvlText w:val="÷"/>
      <w:numFmt w:val="bullet"/>
      <w:start w:val="1"/>
    </w:lvl>
  </w:abstractNum>
  <w:abstractNum w:abstractNumId="47">
    <w:nsid w:val="4A2AC315"/>
    <w:multiLevelType w:val="hybridMultilevel"/>
    <w:lvl w:ilvl="0">
      <w:lvlJc w:val="left"/>
      <w:lvlText w:val="(%1)"/>
      <w:numFmt w:val="decimal"/>
      <w:start w:val="13"/>
    </w:lvl>
  </w:abstractNum>
  <w:abstractNum w:abstractNumId="48">
    <w:nsid w:val="39EE015C"/>
    <w:multiLevelType w:val="hybridMultilevel"/>
    <w:lvl w:ilvl="0">
      <w:lvlJc w:val="left"/>
      <w:lvlText w:val="(%1)"/>
      <w:numFmt w:val="decimal"/>
      <w:start w:val="14"/>
    </w:lvl>
  </w:abstractNum>
  <w:abstractNum w:abstractNumId="49">
    <w:nsid w:val="57FC4FBB"/>
    <w:multiLevelType w:val="hybridMultilevel"/>
    <w:lvl w:ilvl="0">
      <w:lvlJc w:val="left"/>
      <w:lvlText w:val="(%1)"/>
      <w:numFmt w:val="decimal"/>
      <w:start w:val="16"/>
    </w:lvl>
  </w:abstractNum>
  <w:abstractNum w:abstractNumId="50">
    <w:nsid w:val="CC1016F"/>
    <w:multiLevelType w:val="hybridMultilevel"/>
    <w:lvl w:ilvl="0">
      <w:lvlJc w:val="left"/>
      <w:lvlText w:val="(%1)"/>
      <w:numFmt w:val="decimal"/>
      <w:start w:val="16"/>
    </w:lvl>
    <w:lvl w:ilvl="1">
      <w:lvlJc w:val="left"/>
      <w:lvlText w:val="÷"/>
      <w:numFmt w:val="bullet"/>
      <w:start w:val="1"/>
    </w:lvl>
  </w:abstractNum>
  <w:abstractNum w:abstractNumId="51">
    <w:nsid w:val="43F18422"/>
    <w:multiLevelType w:val="hybridMultilevel"/>
    <w:lvl w:ilvl="0">
      <w:lvlJc w:val="left"/>
      <w:lvlText w:val="(%1)"/>
      <w:numFmt w:val="decimal"/>
      <w:start w:val="18"/>
    </w:lvl>
  </w:abstractNum>
  <w:abstractNum w:abstractNumId="52">
    <w:nsid w:val="60EF0119"/>
    <w:multiLevelType w:val="hybridMultilevel"/>
    <w:lvl w:ilvl="0">
      <w:lvlJc w:val="left"/>
      <w:lvlText w:val="(%1)"/>
      <w:numFmt w:val="decimal"/>
      <w:start w:val="19"/>
    </w:lvl>
  </w:abstractNum>
  <w:abstractNum w:abstractNumId="53">
    <w:nsid w:val="26F324BA"/>
    <w:multiLevelType w:val="hybridMultilevel"/>
    <w:lvl w:ilvl="0">
      <w:lvlJc w:val="left"/>
      <w:lvlText w:val="•"/>
      <w:numFmt w:val="bullet"/>
      <w:start w:val="1"/>
    </w:lvl>
  </w:abstractNum>
  <w:abstractNum w:abstractNumId="54">
    <w:nsid w:val="7F01579B"/>
    <w:multiLevelType w:val="hybridMultilevel"/>
    <w:lvl w:ilvl="0">
      <w:lvlJc w:val="left"/>
      <w:lvlText w:val="•"/>
      <w:numFmt w:val="bullet"/>
      <w:start w:val="1"/>
    </w:lvl>
  </w:abstractNum>
  <w:abstractNum w:abstractNumId="55">
    <w:nsid w:val="49DA307D"/>
    <w:multiLevelType w:val="hybridMultilevel"/>
    <w:lvl w:ilvl="0">
      <w:lvlJc w:val="left"/>
      <w:lvlText w:val="•"/>
      <w:numFmt w:val="bullet"/>
      <w:start w:val="1"/>
    </w:lvl>
  </w:abstractNum>
  <w:abstractNum w:abstractNumId="56">
    <w:nsid w:val="7055A5F5"/>
    <w:multiLevelType w:val="hybridMultilevel"/>
    <w:lvl w:ilvl="0">
      <w:lvlJc w:val="left"/>
      <w:lvlText w:val="•"/>
      <w:numFmt w:val="bullet"/>
      <w:start w:val="1"/>
    </w:lvl>
  </w:abstractNum>
  <w:abstractNum w:abstractNumId="57">
    <w:nsid w:val="5FB8370B"/>
    <w:multiLevelType w:val="hybridMultilevel"/>
    <w:lvl w:ilvl="0">
      <w:lvlJc w:val="left"/>
      <w:lvlText w:val="•"/>
      <w:numFmt w:val="bullet"/>
      <w:start w:val="1"/>
    </w:lvl>
  </w:abstractNum>
  <w:abstractNum w:abstractNumId="58">
    <w:nsid w:val="50801EE1"/>
    <w:multiLevelType w:val="hybridMultilevel"/>
    <w:lvl w:ilvl="0">
      <w:lvlJc w:val="left"/>
      <w:lvlText w:val="•"/>
      <w:numFmt w:val="bullet"/>
      <w:start w:val="1"/>
    </w:lvl>
  </w:abstractNum>
  <w:abstractNum w:abstractNumId="59">
    <w:nsid w:val="488AC1A"/>
    <w:multiLevelType w:val="hybridMultilevel"/>
    <w:lvl w:ilvl="0">
      <w:lvlJc w:val="left"/>
      <w:lvlText w:val="•"/>
      <w:numFmt w:val="bullet"/>
      <w:start w:val="1"/>
    </w:lvl>
  </w:abstractNum>
  <w:abstractNum w:abstractNumId="60">
    <w:nsid w:val="5FB8011C"/>
    <w:multiLevelType w:val="hybridMultilevel"/>
    <w:lvl w:ilvl="0">
      <w:lvlJc w:val="left"/>
      <w:lvlText w:val="•"/>
      <w:numFmt w:val="bullet"/>
      <w:start w:val="1"/>
    </w:lvl>
  </w:abstractNum>
  <w:abstractNum w:abstractNumId="61">
    <w:nsid w:val="6AA78F7F"/>
    <w:multiLevelType w:val="hybridMultilevel"/>
    <w:lvl w:ilvl="0">
      <w:lvlJc w:val="left"/>
      <w:lvlText w:val="•"/>
      <w:numFmt w:val="bullet"/>
      <w:start w:val="1"/>
    </w:lvl>
  </w:abstractNum>
  <w:abstractNum w:abstractNumId="62">
    <w:nsid w:val="7672BD23"/>
    <w:multiLevelType w:val="hybridMultilevel"/>
    <w:lvl w:ilvl="0">
      <w:lvlJc w:val="left"/>
      <w:lvlText w:val="•"/>
      <w:numFmt w:val="bullet"/>
      <w:start w:val="1"/>
    </w:lvl>
  </w:abstractNum>
  <w:abstractNum w:abstractNumId="63">
    <w:nsid w:val="6FC75AF8"/>
    <w:multiLevelType w:val="hybridMultilevel"/>
    <w:lvl w:ilvl="0">
      <w:lvlJc w:val="left"/>
      <w:lvlText w:val="(%1)"/>
      <w:numFmt w:val="decimal"/>
      <w:start w:val="1"/>
    </w:lvl>
  </w:abstractNum>
  <w:abstractNum w:abstractNumId="64">
    <w:nsid w:val="6A5F7029"/>
    <w:multiLevelType w:val="hybridMultilevel"/>
    <w:lvl w:ilvl="0">
      <w:lvlJc w:val="left"/>
      <w:lvlText w:val="(%1)"/>
      <w:numFmt w:val="decimal"/>
      <w:start w:val="5"/>
    </w:lvl>
  </w:abstractNum>
  <w:abstractNum w:abstractNumId="65">
    <w:nsid w:val="7D5E18F8"/>
    <w:multiLevelType w:val="hybridMultilevel"/>
    <w:lvl w:ilvl="0">
      <w:lvlJc w:val="left"/>
      <w:lvlText w:val="(%1)"/>
      <w:numFmt w:val="decimal"/>
      <w:start w:val="6"/>
    </w:lvl>
  </w:abstractNum>
  <w:abstractNum w:abstractNumId="66">
    <w:nsid w:val="5F3534A4"/>
    <w:multiLevelType w:val="hybridMultilevel"/>
    <w:lvl w:ilvl="0">
      <w:lvlJc w:val="left"/>
      <w:lvlText w:val="(%1)"/>
      <w:numFmt w:val="decimal"/>
      <w:start w:val="9"/>
    </w:lvl>
  </w:abstractNum>
  <w:abstractNum w:abstractNumId="67">
    <w:nsid w:val="73A1821B"/>
    <w:multiLevelType w:val="hybridMultilevel"/>
    <w:lvl w:ilvl="0">
      <w:lvlJc w:val="left"/>
      <w:lvlText w:val="(%1)"/>
      <w:numFmt w:val="decimal"/>
      <w:start w:val="31"/>
    </w:lvl>
  </w:abstractNum>
  <w:abstractNum w:abstractNumId="68">
    <w:nsid w:val="7DE67713"/>
    <w:multiLevelType w:val="hybridMultilevel"/>
    <w:lvl w:ilvl="0">
      <w:lvlJc w:val="left"/>
      <w:lvlText w:val="%1."/>
      <w:numFmt w:val="decimal"/>
      <w:start w:val="1"/>
    </w:lvl>
  </w:abstractNum>
  <w:abstractNum w:abstractNumId="69">
    <w:nsid w:val="555C55B5"/>
    <w:multiLevelType w:val="hybridMultilevel"/>
    <w:lvl w:ilvl="0">
      <w:lvlJc w:val="left"/>
      <w:lvlText w:val="%1."/>
      <w:numFmt w:val="decimal"/>
      <w:start w:val="1"/>
    </w:lvl>
  </w:abstractNum>
  <w:abstractNum w:abstractNumId="70">
    <w:nsid w:val="3FA62ACA"/>
    <w:multiLevelType w:val="hybridMultilevel"/>
    <w:lvl w:ilvl="0">
      <w:lvlJc w:val="left"/>
      <w:lvlText w:val="%1."/>
      <w:numFmt w:val="decimal"/>
      <w:start w:val="1"/>
    </w:lvl>
  </w:abstractNum>
  <w:abstractNum w:abstractNumId="71">
    <w:nsid w:val="14FCE74E"/>
    <w:multiLevelType w:val="hybridMultilevel"/>
    <w:lvl w:ilvl="0">
      <w:lvlJc w:val="left"/>
      <w:lvlText w:val="%1."/>
      <w:numFmt w:val="decimal"/>
      <w:start w:val="1"/>
    </w:lvl>
  </w:abstractNum>
  <w:abstractNum w:abstractNumId="72">
    <w:nsid w:val="6A3DD3E8"/>
    <w:multiLevelType w:val="hybridMultilevel"/>
    <w:lvl w:ilvl="0">
      <w:lvlJc w:val="left"/>
      <w:lvlText w:val="•"/>
      <w:numFmt w:val="bullet"/>
      <w:start w:val="1"/>
    </w:lvl>
  </w:abstractNum>
  <w:abstractNum w:abstractNumId="73">
    <w:nsid w:val="71C91298"/>
    <w:multiLevelType w:val="hybridMultilevel"/>
    <w:lvl w:ilvl="0">
      <w:lvlJc w:val="left"/>
      <w:lvlText w:val="•"/>
      <w:numFmt w:val="bullet"/>
      <w:start w:val="1"/>
    </w:lvl>
  </w:abstractNum>
  <w:abstractNum w:abstractNumId="74">
    <w:nsid w:val="9DAF632"/>
    <w:multiLevelType w:val="hybridMultilevel"/>
    <w:lvl w:ilvl="0">
      <w:lvlJc w:val="left"/>
      <w:lvlText w:val="%1."/>
      <w:numFmt w:val="decimal"/>
      <w:start w:val="1"/>
    </w:lvl>
  </w:abstractNum>
  <w:abstractNum w:abstractNumId="75">
    <w:nsid w:val="53299938"/>
    <w:multiLevelType w:val="hybridMultilevel"/>
    <w:lvl w:ilvl="0">
      <w:lvlJc w:val="left"/>
      <w:lvlText w:val="%1."/>
      <w:numFmt w:val="decimal"/>
      <w:start w:val="1"/>
    </w:lvl>
    <w:lvl w:ilvl="1">
      <w:lvlJc w:val="left"/>
      <w:lvlText w:val="%2."/>
      <w:numFmt w:val="lowerLetter"/>
      <w:start w:val="1"/>
    </w:lvl>
  </w:abstractNum>
  <w:abstractNum w:abstractNumId="76">
    <w:nsid w:val="1FBFE8E0"/>
    <w:multiLevelType w:val="hybridMultilevel"/>
    <w:lvl w:ilvl="0">
      <w:lvlJc w:val="left"/>
      <w:lvlText w:val="•"/>
      <w:numFmt w:val="bullet"/>
      <w:start w:val="1"/>
    </w:lvl>
  </w:abstractNum>
  <w:abstractNum w:abstractNumId="77">
    <w:nsid w:val="5092CA79"/>
    <w:multiLevelType w:val="hybridMultilevel"/>
    <w:lvl w:ilvl="0">
      <w:lvlJc w:val="left"/>
      <w:lvlText w:val="%1."/>
      <w:numFmt w:val="decimal"/>
      <w:start w:val="1"/>
    </w:lvl>
  </w:abstractNum>
  <w:abstractNum w:abstractNumId="78">
    <w:nsid w:val="1D545C4D"/>
    <w:multiLevelType w:val="hybridMultilevel"/>
    <w:lvl w:ilvl="0">
      <w:lvlJc w:val="left"/>
      <w:lvlText w:val="%1."/>
      <w:numFmt w:val="decimal"/>
      <w:start w:val="1"/>
    </w:lvl>
  </w:abstractNum>
  <w:abstractNum w:abstractNumId="79">
    <w:nsid w:val="59ADEA3D"/>
    <w:multiLevelType w:val="hybridMultilevel"/>
    <w:lvl w:ilvl="0">
      <w:lvlJc w:val="left"/>
      <w:lvlText w:val="•"/>
      <w:numFmt w:val="bullet"/>
      <w:start w:val="1"/>
    </w:lvl>
  </w:abstractNum>
  <w:abstractNum w:abstractNumId="80">
    <w:nsid w:val="288F1A34"/>
    <w:multiLevelType w:val="hybridMultilevel"/>
    <w:lvl w:ilvl="0">
      <w:lvlJc w:val="left"/>
      <w:lvlText w:val="•"/>
      <w:numFmt w:val="bullet"/>
      <w:start w:val="1"/>
    </w:lvl>
  </w:abstractNum>
  <w:abstractNum w:abstractNumId="81">
    <w:nsid w:val="2A155DBC"/>
    <w:multiLevelType w:val="hybridMultilevel"/>
    <w:lvl w:ilvl="0">
      <w:lvlJc w:val="left"/>
      <w:lvlText w:val="%1."/>
      <w:numFmt w:val="decimal"/>
      <w:start w:val="1"/>
    </w:lvl>
  </w:abstractNum>
  <w:abstractNum w:abstractNumId="82">
    <w:nsid w:val="1D9F6E5F"/>
    <w:multiLevelType w:val="hybridMultilevel"/>
    <w:lvl w:ilvl="0">
      <w:lvlJc w:val="left"/>
      <w:lvlText w:val="%1."/>
      <w:numFmt w:val="decimal"/>
      <w:start w:val="1"/>
    </w:lvl>
  </w:abstractNum>
  <w:abstractNum w:abstractNumId="83">
    <w:nsid w:val="97E1B4E"/>
    <w:multiLevelType w:val="hybridMultilevel"/>
    <w:lvl w:ilvl="0">
      <w:lvlJc w:val="left"/>
      <w:lvlText w:val="•"/>
      <w:numFmt w:val="bullet"/>
      <w:start w:val="1"/>
    </w:lvl>
  </w:abstractNum>
  <w:abstractNum w:abstractNumId="84">
    <w:nsid w:val="51088277"/>
    <w:multiLevelType w:val="hybridMultilevel"/>
    <w:lvl w:ilvl="0">
      <w:lvlJc w:val="left"/>
      <w:lvlText w:val="•"/>
      <w:numFmt w:val="bullet"/>
      <w:start w:val="1"/>
    </w:lvl>
  </w:abstractNum>
  <w:abstractNum w:abstractNumId="85">
    <w:nsid w:val="1CA0C5FA"/>
    <w:multiLevelType w:val="hybridMultilevel"/>
    <w:lvl w:ilvl="0">
      <w:lvlJc w:val="left"/>
      <w:lvlText w:val="(%1)"/>
      <w:numFmt w:val="decimal"/>
      <w:start w:val="1"/>
    </w:lvl>
  </w:abstractNum>
  <w:abstractNum w:abstractNumId="86">
    <w:nsid w:val="53584BCB"/>
    <w:multiLevelType w:val="hybridMultilevel"/>
    <w:lvl w:ilvl="0">
      <w:lvlJc w:val="left"/>
      <w:lvlText w:val="(%1)"/>
      <w:numFmt w:val="lowerLetter"/>
      <w:start w:val="1"/>
    </w:lvl>
  </w:abstractNum>
  <w:abstractNum w:abstractNumId="87">
    <w:nsid w:val="415E286C"/>
    <w:multiLevelType w:val="hybridMultilevel"/>
    <w:lvl w:ilvl="0">
      <w:lvlJc w:val="left"/>
      <w:lvlText w:val="(%1)"/>
      <w:numFmt w:val="lowerRoman"/>
      <w:start w:val="1"/>
    </w:lvl>
  </w:abstractNum>
  <w:abstractNum w:abstractNumId="88">
    <w:nsid w:val="7C58FD05"/>
    <w:multiLevelType w:val="hybridMultilevel"/>
    <w:lvl w:ilvl="0">
      <w:lvlJc w:val="left"/>
      <w:lvlText w:val="(%1)"/>
      <w:numFmt w:val="lowerRoman"/>
      <w:start w:val="1"/>
    </w:lvl>
  </w:abstractNum>
  <w:abstractNum w:abstractNumId="89">
    <w:nsid w:val="23D86AAC"/>
    <w:multiLevelType w:val="hybridMultilevel"/>
    <w:lvl w:ilvl="0">
      <w:lvlJc w:val="left"/>
      <w:lvlText w:val="(%1)"/>
      <w:numFmt w:val="decimal"/>
      <w:start w:val="1"/>
    </w:lvl>
  </w:abstractNum>
  <w:abstractNum w:abstractNumId="90">
    <w:nsid w:val="45E6D486"/>
    <w:multiLevelType w:val="hybridMultilevel"/>
    <w:lvl w:ilvl="0">
      <w:lvlJc w:val="left"/>
      <w:lvlText w:val="(%1)"/>
      <w:numFmt w:val="decimal"/>
      <w:start w:val="2"/>
    </w:lvl>
    <w:lvl w:ilvl="1">
      <w:lvlJc w:val="left"/>
      <w:lvlText w:val="÷"/>
      <w:numFmt w:val="bullet"/>
      <w:start w:val="1"/>
    </w:lvl>
  </w:abstractNum>
  <w:abstractNum w:abstractNumId="91">
    <w:nsid w:val="5C10FE21"/>
    <w:multiLevelType w:val="hybridMultilevel"/>
    <w:lvl w:ilvl="0">
      <w:lvlJc w:val="left"/>
      <w:lvlText w:val="•"/>
      <w:numFmt w:val="bullet"/>
      <w:start w:val="1"/>
    </w:lvl>
  </w:abstractNum>
  <w:abstractNum w:abstractNumId="92">
    <w:nsid w:val="E7FFA2B"/>
    <w:multiLevelType w:val="hybridMultilevel"/>
    <w:lvl w:ilvl="0">
      <w:lvlJc w:val="left"/>
      <w:lvlText w:val="•"/>
      <w:numFmt w:val="bullet"/>
      <w:start w:val="1"/>
    </w:lvl>
  </w:abstractNum>
  <w:abstractNum w:abstractNumId="93">
    <w:nsid w:val="3C5991AA"/>
    <w:multiLevelType w:val="hybridMultilevel"/>
    <w:lvl w:ilvl="0">
      <w:lvlJc w:val="left"/>
      <w:lvlText w:val="•"/>
      <w:numFmt w:val="bullet"/>
      <w:start w:val="1"/>
    </w:lvl>
  </w:abstractNum>
  <w:abstractNum w:abstractNumId="94">
    <w:nsid w:val="4BD8591A"/>
    <w:multiLevelType w:val="hybridMultilevel"/>
    <w:lvl w:ilvl="0">
      <w:lvlJc w:val="left"/>
      <w:lvlText w:val="%1."/>
      <w:numFmt w:val="decimal"/>
      <w:start w:val="20"/>
    </w:lvl>
  </w:abstractNum>
  <w:abstractNum w:abstractNumId="95">
    <w:nsid w:val="78DF6A55"/>
    <w:multiLevelType w:val="hybridMultilevel"/>
    <w:lvl w:ilvl="0">
      <w:lvlJc w:val="left"/>
      <w:lvlText w:val="%1."/>
      <w:numFmt w:val="decimal"/>
      <w:start w:val="1"/>
    </w:lvl>
  </w:abstractNum>
  <w:abstractNum w:abstractNumId="96">
    <w:nsid w:val="39B7AAA2"/>
    <w:multiLevelType w:val="hybridMultilevel"/>
    <w:lvl w:ilvl="0">
      <w:lvlJc w:val="left"/>
      <w:lvlText w:val="%1."/>
      <w:numFmt w:val="decimal"/>
      <w:start w:val="2"/>
    </w:lvl>
  </w:abstractNum>
  <w:abstractNum w:abstractNumId="97">
    <w:nsid w:val="2B0D8DBE"/>
    <w:multiLevelType w:val="hybridMultilevel"/>
    <w:lvl w:ilvl="0">
      <w:lvlJc w:val="left"/>
      <w:lvlText w:val="%1."/>
      <w:numFmt w:val="decimal"/>
      <w:start w:val="5"/>
    </w:lvl>
  </w:abstractNum>
  <w:abstractNum w:abstractNumId="98">
    <w:nsid w:val="6C80EC70"/>
    <w:multiLevelType w:val="hybridMultilevel"/>
    <w:lvl w:ilvl="0">
      <w:lvlJc w:val="left"/>
      <w:lvlText w:val="%1."/>
      <w:numFmt w:val="decimal"/>
      <w:start w:val="8"/>
    </w:lvl>
  </w:abstractNum>
  <w:abstractNum w:abstractNumId="99">
    <w:nsid w:val="379E21B5"/>
    <w:multiLevelType w:val="hybridMultilevel"/>
    <w:lvl w:ilvl="0">
      <w:lvlJc w:val="left"/>
      <w:lvlText w:val="%1."/>
      <w:numFmt w:val="decimal"/>
      <w:start w:val="15"/>
    </w:lvl>
  </w:abstractNum>
  <w:abstractNum w:abstractNumId="100">
    <w:nsid w:val="69E373"/>
    <w:multiLevelType w:val="hybridMultilevel"/>
    <w:lvl w:ilvl="0">
      <w:lvlJc w:val="left"/>
      <w:lvlText w:val="%1."/>
      <w:numFmt w:val="decimal"/>
      <w:start w:val="22"/>
    </w:lvl>
  </w:abstractNum>
  <w:abstractNum w:abstractNumId="101">
    <w:nsid w:val="2C27173B"/>
    <w:multiLevelType w:val="hybridMultilevel"/>
    <w:lvl w:ilvl="0">
      <w:lvlJc w:val="left"/>
      <w:lvlText w:val="%1."/>
      <w:numFmt w:val="decimal"/>
      <w:start w:val="25"/>
    </w:lvl>
  </w:abstractNum>
  <w:abstractNum w:abstractNumId="102">
    <w:nsid w:val="4C9B0904"/>
    <w:multiLevelType w:val="hybridMultilevel"/>
    <w:lvl w:ilvl="0">
      <w:lvlJc w:val="left"/>
      <w:lvlText w:val="%1."/>
      <w:numFmt w:val="decimal"/>
      <w:start w:val="96"/>
    </w:lvl>
  </w:abstractNum>
  <w:abstractNum w:abstractNumId="103">
    <w:nsid w:val="6AA7B75C"/>
    <w:multiLevelType w:val="hybridMultilevel"/>
    <w:lvl w:ilvl="0">
      <w:lvlJc w:val="left"/>
      <w:lvlText w:val="%1."/>
      <w:numFmt w:val="decimal"/>
      <w:start w:val="99"/>
    </w:lvl>
  </w:abstractNum>
  <w:abstractNum w:abstractNumId="104">
    <w:nsid w:val="1DF029D3"/>
    <w:multiLevelType w:val="hybridMultilevel"/>
    <w:lvl w:ilvl="0">
      <w:lvlJc w:val="left"/>
      <w:lvlText w:val="%1."/>
      <w:numFmt w:val="decimal"/>
      <w:start w:val="101"/>
    </w:lvl>
  </w:abstractNum>
  <w:abstractNum w:abstractNumId="105">
    <w:nsid w:val="5675FF36"/>
    <w:multiLevelType w:val="hybridMultilevel"/>
    <w:lvl w:ilvl="0">
      <w:lvlJc w:val="left"/>
      <w:lvlText w:val="%1."/>
      <w:numFmt w:val="decimal"/>
      <w:start w:val="107"/>
    </w:lvl>
  </w:abstractNum>
  <w:abstractNum w:abstractNumId="106">
    <w:nsid w:val="3DD15094"/>
    <w:multiLevelType w:val="hybridMultilevel"/>
    <w:lvl w:ilvl="0">
      <w:lvlJc w:val="left"/>
      <w:lvlText w:val="%1."/>
      <w:numFmt w:val="decimal"/>
      <w:start w:val="1"/>
    </w:lvl>
    <w:lvl w:ilvl="1">
      <w:lvlJc w:val="left"/>
      <w:lvlText w:val="%2."/>
      <w:numFmt w:val="lowerRoman"/>
      <w:start w:val="1"/>
    </w:lvl>
  </w:abstractNum>
  <w:abstractNum w:abstractNumId="107">
    <w:nsid w:val="3DB012B3"/>
    <w:multiLevelType w:val="hybridMultilevel"/>
    <w:lvl w:ilvl="0">
      <w:lvlJc w:val="left"/>
      <w:lvlText w:val="%1."/>
      <w:numFmt w:val="decimal"/>
      <w:start w:val="2"/>
    </w:lvl>
  </w:abstractNum>
  <w:abstractNum w:abstractNumId="108">
    <w:nsid w:val="2708C9AF"/>
    <w:multiLevelType w:val="hybridMultilevel"/>
    <w:lvl w:ilvl="0">
      <w:lvlJc w:val="left"/>
      <w:lvlText w:val="%1"/>
      <w:numFmt w:val="decimal"/>
      <w:start w:val="1"/>
    </w:lvl>
    <w:lvl w:ilvl="1">
      <w:lvlJc w:val="left"/>
      <w:lvlText w:val="%2."/>
      <w:numFmt w:val="lowerRoman"/>
      <w:start w:val="1"/>
    </w:lvl>
  </w:abstractNum>
  <w:abstractNum w:abstractNumId="109">
    <w:nsid w:val="5B25ACE2"/>
    <w:multiLevelType w:val="hybridMultilevel"/>
    <w:lvl w:ilvl="0">
      <w:lvlJc w:val="left"/>
      <w:lvlText w:val="%1."/>
      <w:numFmt w:val="decimal"/>
      <w:start w:val="6"/>
    </w:lvl>
    <w:lvl w:ilvl="1">
      <w:lvlJc w:val="left"/>
      <w:lvlText w:val="%2"/>
      <w:numFmt w:val="lowerRoman"/>
      <w:start w:val="1"/>
    </w:lvl>
  </w:abstractNum>
  <w:abstractNum w:abstractNumId="110">
    <w:nsid w:val="175DFCF0"/>
    <w:multiLevelType w:val="hybridMultilevel"/>
    <w:lvl w:ilvl="0">
      <w:lvlJc w:val="left"/>
      <w:lvlText w:val="*"/>
      <w:numFmt w:val="bullet"/>
      <w:start w:val="1"/>
    </w:lvl>
  </w:abstractNum>
  <w:abstractNum w:abstractNumId="111">
    <w:nsid w:val="4F97E3E4"/>
    <w:multiLevelType w:val="hybridMultilevel"/>
    <w:lvl w:ilvl="0">
      <w:lvlJc w:val="left"/>
      <w:lvlText w:val="%1."/>
      <w:numFmt w:val="decimal"/>
      <w:start w:val="24"/>
    </w:lvl>
  </w:abstractNum>
  <w:abstractNum w:abstractNumId="112">
    <w:nsid w:val="53B0A9E"/>
    <w:multiLevelType w:val="hybridMultilevel"/>
    <w:lvl w:ilvl="0">
      <w:lvlJc w:val="left"/>
      <w:lvlText w:val="%1."/>
      <w:numFmt w:val="decimal"/>
      <w:start w:val="107"/>
    </w:lvl>
  </w:abstractNum>
  <w:abstractNum w:abstractNumId="113">
    <w:nsid w:val="34FD6B4F"/>
    <w:multiLevelType w:val="hybridMultilevel"/>
    <w:lvl w:ilvl="0">
      <w:lvlJc w:val="left"/>
      <w:lvlText w:val="•"/>
      <w:numFmt w:val="bullet"/>
      <w:start w:val="1"/>
    </w:lvl>
  </w:abstractNum>
  <w:abstractNum w:abstractNumId="114">
    <w:nsid w:val="5915FF32"/>
    <w:multiLevelType w:val="hybridMultilevel"/>
    <w:lvl w:ilvl="0">
      <w:lvlJc w:val="left"/>
      <w:lvlText w:val="•"/>
      <w:numFmt w:val="bullet"/>
      <w:start w:val="1"/>
    </w:lvl>
  </w:abstractNum>
  <w:abstractNum w:abstractNumId="115">
    <w:nsid w:val="56438D15"/>
    <w:multiLevelType w:val="hybridMultilevel"/>
    <w:lvl w:ilvl="0">
      <w:lvlJc w:val="left"/>
      <w:lvlText w:val="•"/>
      <w:numFmt w:val="bullet"/>
      <w:start w:val="1"/>
    </w:lvl>
  </w:abstractNum>
  <w:abstractNum w:abstractNumId="116">
    <w:nsid w:val="519E3149"/>
    <w:multiLevelType w:val="hybridMultilevel"/>
    <w:lvl w:ilvl="0">
      <w:lvlJc w:val="left"/>
      <w:lvlText w:val="•"/>
      <w:numFmt w:val="bullet"/>
      <w:start w:val="1"/>
    </w:lvl>
  </w:abstractNum>
  <w:abstractNum w:abstractNumId="117">
    <w:nsid w:val="2C6E4AFD"/>
    <w:multiLevelType w:val="hybridMultilevel"/>
    <w:lvl w:ilvl="0">
      <w:lvlJc w:val="left"/>
      <w:lvlText w:val="•"/>
      <w:numFmt w:val="bullet"/>
      <w:start w:val="1"/>
    </w:lvl>
  </w:abstractNum>
  <w:abstractNum w:abstractNumId="118">
    <w:nsid w:val="17A1B582"/>
    <w:multiLevelType w:val="hybridMultilevel"/>
    <w:lvl w:ilvl="0">
      <w:lvlJc w:val="left"/>
      <w:lvlText w:val="•"/>
      <w:numFmt w:val="bullet"/>
      <w:start w:val="1"/>
    </w:lvl>
  </w:abstractNum>
  <w:abstractNum w:abstractNumId="119">
    <w:nsid w:val="4DF72E4E"/>
    <w:multiLevelType w:val="hybridMultilevel"/>
    <w:lvl w:ilvl="0">
      <w:lvlJc w:val="left"/>
      <w:lvlText w:val="•"/>
      <w:numFmt w:val="bullet"/>
      <w:start w:val="1"/>
    </w:lvl>
  </w:abstractNum>
  <w:abstractNum w:abstractNumId="120">
    <w:nsid w:val="5046B5A9"/>
    <w:multiLevelType w:val="hybridMultilevel"/>
    <w:lvl w:ilvl="0">
      <w:lvlJc w:val="left"/>
      <w:lvlText w:val="•"/>
      <w:numFmt w:val="bullet"/>
      <w:start w:val="1"/>
    </w:lvl>
  </w:abstractNum>
  <w:abstractNum w:abstractNumId="121">
    <w:nsid w:val="5D888A08"/>
    <w:multiLevelType w:val="hybridMultilevel"/>
    <w:lvl w:ilvl="0">
      <w:lvlJc w:val="left"/>
      <w:lvlText w:val="•"/>
      <w:numFmt w:val="bullet"/>
      <w:start w:val="1"/>
    </w:lvl>
  </w:abstractNum>
  <w:abstractNum w:abstractNumId="122">
    <w:nsid w:val="2A082C70"/>
    <w:multiLevelType w:val="hybridMultilevel"/>
    <w:lvl w:ilvl="0">
      <w:lvlJc w:val="left"/>
      <w:lvlText w:val="•"/>
      <w:numFmt w:val="bullet"/>
      <w:start w:val="1"/>
    </w:lvl>
  </w:abstractNum>
  <w:abstractNum w:abstractNumId="123">
    <w:nsid w:val="5EC6AFD4"/>
    <w:multiLevelType w:val="hybridMultilevel"/>
    <w:lvl w:ilvl="0">
      <w:lvlJc w:val="left"/>
      <w:lvlText w:val="•"/>
      <w:numFmt w:val="bullet"/>
      <w:start w:val="1"/>
    </w:lvl>
  </w:abstractNum>
  <w:abstractNum w:abstractNumId="124">
    <w:nsid w:val="19E21BB2"/>
    <w:multiLevelType w:val="hybridMultilevel"/>
    <w:lvl w:ilvl="0">
      <w:lvlJc w:val="left"/>
      <w:lvlText w:val="•"/>
      <w:numFmt w:val="bullet"/>
      <w:start w:val="1"/>
    </w:lvl>
  </w:abstractNum>
  <w:abstractNum w:abstractNumId="125">
    <w:nsid w:val="75E0858A"/>
    <w:multiLevelType w:val="hybridMultilevel"/>
    <w:lvl w:ilvl="0">
      <w:lvlJc w:val="left"/>
      <w:lvlText w:val="•"/>
      <w:numFmt w:val="bullet"/>
      <w:start w:val="1"/>
    </w:lvl>
  </w:abstractNum>
  <w:abstractNum w:abstractNumId="126">
    <w:nsid w:val="57A61A29"/>
    <w:multiLevelType w:val="hybridMultilevel"/>
    <w:lvl w:ilvl="0">
      <w:lvlJc w:val="left"/>
      <w:lvlText w:val="•"/>
      <w:numFmt w:val="bullet"/>
      <w:start w:val="1"/>
    </w:lvl>
  </w:abstractNum>
  <w:abstractNum w:abstractNumId="127">
    <w:nsid w:val="5399C654"/>
    <w:multiLevelType w:val="hybridMultilevel"/>
    <w:lvl w:ilvl="0">
      <w:lvlJc w:val="left"/>
      <w:lvlText w:val="•"/>
      <w:numFmt w:val="bullet"/>
      <w:start w:val="1"/>
    </w:lvl>
  </w:abstractNum>
  <w:abstractNum w:abstractNumId="128">
    <w:nsid w:val="20EE1348"/>
    <w:multiLevelType w:val="hybridMultilevel"/>
    <w:lvl w:ilvl="0">
      <w:lvlJc w:val="left"/>
      <w:lvlText w:val="•"/>
      <w:numFmt w:val="bullet"/>
      <w:start w:val="1"/>
    </w:lvl>
  </w:abstractNum>
  <w:abstractNum w:abstractNumId="129">
    <w:nsid w:val="4427069A"/>
    <w:multiLevelType w:val="hybridMultilevel"/>
    <w:lvl w:ilvl="0">
      <w:lvlJc w:val="left"/>
      <w:lvlText w:val="•"/>
      <w:numFmt w:val="bullet"/>
      <w:start w:val="1"/>
    </w:lvl>
  </w:abstractNum>
  <w:abstractNum w:abstractNumId="130">
    <w:nsid w:val="B37E80A"/>
    <w:multiLevelType w:val="hybridMultilevel"/>
    <w:lvl w:ilvl="0">
      <w:lvlJc w:val="left"/>
      <w:lvlText w:val="•"/>
      <w:numFmt w:val="bullet"/>
      <w:start w:val="1"/>
    </w:lvl>
  </w:abstractNum>
  <w:abstractNum w:abstractNumId="131">
    <w:nsid w:val="2157F6BC"/>
    <w:multiLevelType w:val="hybridMultilevel"/>
    <w:lvl w:ilvl="0">
      <w:lvlJc w:val="left"/>
      <w:lvlText w:val="•"/>
      <w:numFmt w:val="bullet"/>
      <w:start w:val="1"/>
    </w:lvl>
  </w:abstractNum>
  <w:abstractNum w:abstractNumId="132">
    <w:nsid w:val="704E1DD5"/>
    <w:multiLevelType w:val="hybridMultilevel"/>
    <w:lvl w:ilvl="0">
      <w:lvlJc w:val="left"/>
      <w:lvlText w:val="•"/>
      <w:numFmt w:val="bullet"/>
      <w:start w:val="1"/>
    </w:lvl>
  </w:abstractNum>
  <w:abstractNum w:abstractNumId="133">
    <w:nsid w:val="57D2F10E"/>
    <w:multiLevelType w:val="hybridMultilevel"/>
    <w:lvl w:ilvl="0">
      <w:lvlJc w:val="left"/>
      <w:lvlText w:val="•"/>
      <w:numFmt w:val="bullet"/>
      <w:start w:val="1"/>
    </w:lvl>
  </w:abstractNum>
  <w:abstractNum w:abstractNumId="134">
    <w:nsid w:val="BFFAE18"/>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8" Type="http://schemas.openxmlformats.org/officeDocument/2006/relationships/image" Target="media/image150.png"/><Relationship Id="rId159" Type="http://schemas.openxmlformats.org/officeDocument/2006/relationships/image" Target="media/image151.png"/><Relationship Id="rId160" Type="http://schemas.openxmlformats.org/officeDocument/2006/relationships/image" Target="media/image152.png"/><Relationship Id="rId161" Type="http://schemas.openxmlformats.org/officeDocument/2006/relationships/image" Target="media/image153.png"/><Relationship Id="rId162" Type="http://schemas.openxmlformats.org/officeDocument/2006/relationships/image" Target="media/image154.png"/><Relationship Id="rId163" Type="http://schemas.openxmlformats.org/officeDocument/2006/relationships/image" Target="media/image155.png"/><Relationship Id="rId164" Type="http://schemas.openxmlformats.org/officeDocument/2006/relationships/image" Target="media/image156.png"/><Relationship Id="rId165" Type="http://schemas.openxmlformats.org/officeDocument/2006/relationships/image" Target="media/image157.png"/><Relationship Id="rId166" Type="http://schemas.openxmlformats.org/officeDocument/2006/relationships/image" Target="media/image158.png"/><Relationship Id="rId167" Type="http://schemas.openxmlformats.org/officeDocument/2006/relationships/image" Target="media/image159.png"/><Relationship Id="rId168" Type="http://schemas.openxmlformats.org/officeDocument/2006/relationships/image" Target="media/image160.png"/><Relationship Id="rId169" Type="http://schemas.openxmlformats.org/officeDocument/2006/relationships/image" Target="media/image161.png"/><Relationship Id="rId170" Type="http://schemas.openxmlformats.org/officeDocument/2006/relationships/image" Target="media/image162.png"/><Relationship Id="rId171" Type="http://schemas.openxmlformats.org/officeDocument/2006/relationships/image" Target="media/image163.png"/><Relationship Id="rId172" Type="http://schemas.openxmlformats.org/officeDocument/2006/relationships/image" Target="media/image164.png"/><Relationship Id="rId173" Type="http://schemas.openxmlformats.org/officeDocument/2006/relationships/image" Target="media/image165.png"/><Relationship Id="rId174" Type="http://schemas.openxmlformats.org/officeDocument/2006/relationships/image" Target="media/image166.png"/><Relationship Id="rId175" Type="http://schemas.openxmlformats.org/officeDocument/2006/relationships/image" Target="media/image167.png"/><Relationship Id="rId176" Type="http://schemas.openxmlformats.org/officeDocument/2006/relationships/image" Target="media/image168.png"/><Relationship Id="rId177" Type="http://schemas.openxmlformats.org/officeDocument/2006/relationships/image" Target="media/image169.png"/><Relationship Id="rId178" Type="http://schemas.openxmlformats.org/officeDocument/2006/relationships/image" Target="media/image170.png"/><Relationship Id="rId179" Type="http://schemas.openxmlformats.org/officeDocument/2006/relationships/image" Target="media/image171.png"/><Relationship Id="rId180" Type="http://schemas.openxmlformats.org/officeDocument/2006/relationships/image" Target="media/image172.png"/><Relationship Id="rId181" Type="http://schemas.openxmlformats.org/officeDocument/2006/relationships/image" Target="media/image173.png"/><Relationship Id="rId182" Type="http://schemas.openxmlformats.org/officeDocument/2006/relationships/image" Target="media/image174.png"/><Relationship Id="rId183" Type="http://schemas.openxmlformats.org/officeDocument/2006/relationships/image" Target="media/image175.png"/><Relationship Id="rId184" Type="http://schemas.openxmlformats.org/officeDocument/2006/relationships/image" Target="media/image176.png"/><Relationship Id="rId185" Type="http://schemas.openxmlformats.org/officeDocument/2006/relationships/image" Target="media/image177.png"/><Relationship Id="rId186" Type="http://schemas.openxmlformats.org/officeDocument/2006/relationships/image" Target="media/image178.png"/><Relationship Id="rId187" Type="http://schemas.openxmlformats.org/officeDocument/2006/relationships/image" Target="media/image179.png"/><Relationship Id="rId188" Type="http://schemas.openxmlformats.org/officeDocument/2006/relationships/image" Target="media/image180.png"/><Relationship Id="rId189" Type="http://schemas.openxmlformats.org/officeDocument/2006/relationships/image" Target="media/image181.png"/><Relationship Id="rId190" Type="http://schemas.openxmlformats.org/officeDocument/2006/relationships/image" Target="media/image182.png"/><Relationship Id="rId191" Type="http://schemas.openxmlformats.org/officeDocument/2006/relationships/image" Target="media/image183.png"/><Relationship Id="rId192" Type="http://schemas.openxmlformats.org/officeDocument/2006/relationships/image" Target="media/image184.png"/><Relationship Id="rId193" Type="http://schemas.openxmlformats.org/officeDocument/2006/relationships/image" Target="media/image185.png"/><Relationship Id="rId194" Type="http://schemas.openxmlformats.org/officeDocument/2006/relationships/image" Target="media/image186.png"/><Relationship Id="rId195" Type="http://schemas.openxmlformats.org/officeDocument/2006/relationships/image" Target="media/image187.png"/><Relationship Id="rId196" Type="http://schemas.openxmlformats.org/officeDocument/2006/relationships/image" Target="media/image188.png"/><Relationship Id="rId197" Type="http://schemas.openxmlformats.org/officeDocument/2006/relationships/image" Target="media/image189.png"/><Relationship Id="rId198" Type="http://schemas.openxmlformats.org/officeDocument/2006/relationships/image" Target="media/image190.png"/><Relationship Id="rId199" Type="http://schemas.openxmlformats.org/officeDocument/2006/relationships/image" Target="media/image191.png"/><Relationship Id="rId200" Type="http://schemas.openxmlformats.org/officeDocument/2006/relationships/image" Target="media/image192.png"/><Relationship Id="rId201" Type="http://schemas.openxmlformats.org/officeDocument/2006/relationships/image" Target="media/image193.png"/><Relationship Id="rId202" Type="http://schemas.openxmlformats.org/officeDocument/2006/relationships/image" Target="media/image194.png"/><Relationship Id="rId203" Type="http://schemas.openxmlformats.org/officeDocument/2006/relationships/image" Target="media/image195.png"/><Relationship Id="rId204" Type="http://schemas.openxmlformats.org/officeDocument/2006/relationships/image" Target="media/image196.png"/><Relationship Id="rId205" Type="http://schemas.openxmlformats.org/officeDocument/2006/relationships/image" Target="media/image197.png"/><Relationship Id="rId206" Type="http://schemas.openxmlformats.org/officeDocument/2006/relationships/image" Target="media/image198.png"/><Relationship Id="rId207" Type="http://schemas.openxmlformats.org/officeDocument/2006/relationships/image" Target="media/image199.png"/><Relationship Id="rId208" Type="http://schemas.openxmlformats.org/officeDocument/2006/relationships/image" Target="media/image200.png"/><Relationship Id="rId209" Type="http://schemas.openxmlformats.org/officeDocument/2006/relationships/image" Target="media/image201.png"/><Relationship Id="rId210" Type="http://schemas.openxmlformats.org/officeDocument/2006/relationships/image" Target="media/image202.png"/><Relationship Id="rId211" Type="http://schemas.openxmlformats.org/officeDocument/2006/relationships/image" Target="media/image203.png"/><Relationship Id="rId212" Type="http://schemas.openxmlformats.org/officeDocument/2006/relationships/image" Target="media/image204.png"/><Relationship Id="rId213" Type="http://schemas.openxmlformats.org/officeDocument/2006/relationships/image" Target="media/image205.png"/><Relationship Id="rId214" Type="http://schemas.openxmlformats.org/officeDocument/2006/relationships/image" Target="media/image206.png"/><Relationship Id="rId215" Type="http://schemas.openxmlformats.org/officeDocument/2006/relationships/image" Target="media/image207.png"/><Relationship Id="rId222" Type="http://schemas.openxmlformats.org/officeDocument/2006/relationships/image" Target="media/image208.png"/><Relationship Id="rId223" Type="http://schemas.openxmlformats.org/officeDocument/2006/relationships/image" Target="media/image209.png"/><Relationship Id="rId224" Type="http://schemas.openxmlformats.org/officeDocument/2006/relationships/image" Target="media/image210.png"/><Relationship Id="rId225" Type="http://schemas.openxmlformats.org/officeDocument/2006/relationships/image" Target="media/image211.png"/><Relationship Id="rId226" Type="http://schemas.openxmlformats.org/officeDocument/2006/relationships/image" Target="media/image212.png"/><Relationship Id="rId227" Type="http://schemas.openxmlformats.org/officeDocument/2006/relationships/image" Target="media/image213.png"/><Relationship Id="rId228" Type="http://schemas.openxmlformats.org/officeDocument/2006/relationships/image" Target="media/image214.png"/><Relationship Id="rId229" Type="http://schemas.openxmlformats.org/officeDocument/2006/relationships/image" Target="media/image215.png"/><Relationship Id="rId230" Type="http://schemas.openxmlformats.org/officeDocument/2006/relationships/image" Target="media/image216.png"/><Relationship Id="rId231" Type="http://schemas.openxmlformats.org/officeDocument/2006/relationships/image" Target="media/image217.png"/><Relationship Id="rId232" Type="http://schemas.openxmlformats.org/officeDocument/2006/relationships/image" Target="media/image218.png"/><Relationship Id="rId233" Type="http://schemas.openxmlformats.org/officeDocument/2006/relationships/image" Target="media/image219.png"/><Relationship Id="rId234" Type="http://schemas.openxmlformats.org/officeDocument/2006/relationships/image" Target="media/image220.png"/><Relationship Id="rId235" Type="http://schemas.openxmlformats.org/officeDocument/2006/relationships/image" Target="media/image221.png"/><Relationship Id="rId236" Type="http://schemas.openxmlformats.org/officeDocument/2006/relationships/image" Target="media/image222.png"/><Relationship Id="rId237" Type="http://schemas.openxmlformats.org/officeDocument/2006/relationships/image" Target="media/image223.png"/><Relationship Id="rId238" Type="http://schemas.openxmlformats.org/officeDocument/2006/relationships/image" Target="media/image224.png"/><Relationship Id="rId239" Type="http://schemas.openxmlformats.org/officeDocument/2006/relationships/image" Target="media/image225.png"/><Relationship Id="rId240" Type="http://schemas.openxmlformats.org/officeDocument/2006/relationships/image" Target="media/image226.png"/><Relationship Id="rId241" Type="http://schemas.openxmlformats.org/officeDocument/2006/relationships/image" Target="media/image227.png"/><Relationship Id="rId242" Type="http://schemas.openxmlformats.org/officeDocument/2006/relationships/image" Target="media/image228.png"/><Relationship Id="rId243" Type="http://schemas.openxmlformats.org/officeDocument/2006/relationships/image" Target="media/image229.png"/><Relationship Id="rId244" Type="http://schemas.openxmlformats.org/officeDocument/2006/relationships/image" Target="media/image230.png"/><Relationship Id="rId245" Type="http://schemas.openxmlformats.org/officeDocument/2006/relationships/image" Target="media/image231.png"/><Relationship Id="rId246" Type="http://schemas.openxmlformats.org/officeDocument/2006/relationships/image" Target="media/image232.png"/><Relationship Id="rId247" Type="http://schemas.openxmlformats.org/officeDocument/2006/relationships/image" Target="media/image233.png"/><Relationship Id="rId248" Type="http://schemas.openxmlformats.org/officeDocument/2006/relationships/image" Target="media/image234.png"/><Relationship Id="rId249" Type="http://schemas.openxmlformats.org/officeDocument/2006/relationships/image" Target="media/image235.png"/><Relationship Id="rId250" Type="http://schemas.openxmlformats.org/officeDocument/2006/relationships/image" Target="media/image236.png"/><Relationship Id="rId251" Type="http://schemas.openxmlformats.org/officeDocument/2006/relationships/image" Target="media/image237.png"/><Relationship Id="rId252" Type="http://schemas.openxmlformats.org/officeDocument/2006/relationships/image" Target="media/image238.png"/><Relationship Id="rId253" Type="http://schemas.openxmlformats.org/officeDocument/2006/relationships/image" Target="media/image239.png"/><Relationship Id="rId254" Type="http://schemas.openxmlformats.org/officeDocument/2006/relationships/image" Target="media/image240.png"/><Relationship Id="rId255" Type="http://schemas.openxmlformats.org/officeDocument/2006/relationships/image" Target="media/image241.png"/><Relationship Id="rId256" Type="http://schemas.openxmlformats.org/officeDocument/2006/relationships/image" Target="media/image242.png"/><Relationship Id="rId257" Type="http://schemas.openxmlformats.org/officeDocument/2006/relationships/image" Target="media/image243.png"/><Relationship Id="rId258" Type="http://schemas.openxmlformats.org/officeDocument/2006/relationships/image" Target="media/image244.png"/><Relationship Id="rId259" Type="http://schemas.openxmlformats.org/officeDocument/2006/relationships/image" Target="media/image245.png"/><Relationship Id="rId260" Type="http://schemas.openxmlformats.org/officeDocument/2006/relationships/image" Target="media/image246.png"/><Relationship Id="rId261" Type="http://schemas.openxmlformats.org/officeDocument/2006/relationships/image" Target="media/image247.png"/><Relationship Id="rId262" Type="http://schemas.openxmlformats.org/officeDocument/2006/relationships/image" Target="media/image248.png"/><Relationship Id="rId263" Type="http://schemas.openxmlformats.org/officeDocument/2006/relationships/image" Target="media/image249.png"/><Relationship Id="rId264" Type="http://schemas.openxmlformats.org/officeDocument/2006/relationships/image" Target="media/image250.png"/><Relationship Id="rId265" Type="http://schemas.openxmlformats.org/officeDocument/2006/relationships/image" Target="media/image251.png"/><Relationship Id="rId266" Type="http://schemas.openxmlformats.org/officeDocument/2006/relationships/image" Target="media/image252.png"/><Relationship Id="rId267" Type="http://schemas.openxmlformats.org/officeDocument/2006/relationships/image" Target="media/image253.png"/><Relationship Id="rId268" Type="http://schemas.openxmlformats.org/officeDocument/2006/relationships/image" Target="media/image254.png"/><Relationship Id="rId269" Type="http://schemas.openxmlformats.org/officeDocument/2006/relationships/image" Target="media/image255.png"/><Relationship Id="rId270" Type="http://schemas.openxmlformats.org/officeDocument/2006/relationships/image" Target="media/image256.png"/><Relationship Id="rId271" Type="http://schemas.openxmlformats.org/officeDocument/2006/relationships/image" Target="media/image257.png"/><Relationship Id="rId272" Type="http://schemas.openxmlformats.org/officeDocument/2006/relationships/image" Target="media/image258.png"/><Relationship Id="rId273" Type="http://schemas.openxmlformats.org/officeDocument/2006/relationships/image" Target="media/image259.png"/><Relationship Id="rId157" Type="http://schemas.openxmlformats.org/officeDocument/2006/relationships/hyperlink" Target="https://www.sec.gov/ix?doc=/Archives/edgar/data/733076/000073307623000003/bhl-20221231.htm" TargetMode="External"/><Relationship Id="rId216" Type="http://schemas.openxmlformats.org/officeDocument/2006/relationships/hyperlink" Target="https://www.sec.gov/Archives/edgar/data/733076/000119312517143328/d366683dex1a.htm" TargetMode="External"/><Relationship Id="rId217" Type="http://schemas.openxmlformats.org/officeDocument/2006/relationships/hyperlink" Target="https://www.sec.gov/Archives/edgar/data/733076/000119312517225966/d382009dex1b.htm" TargetMode="External"/><Relationship Id="rId218" Type="http://schemas.openxmlformats.org/officeDocument/2006/relationships/hyperlink" Target="https://www.sec.gov/Archives/edgar/data/733076/000119312523100963/d464514dex991c.htm" TargetMode="External"/><Relationship Id="rId219" Type="http://schemas.openxmlformats.org/officeDocument/2006/relationships/hyperlink" Target="https://www.sec.gov/Archives/edgar/data/733076/000119312522295531/d392765dex994a1.htm" TargetMode="External"/><Relationship Id="rId220" Type="http://schemas.openxmlformats.org/officeDocument/2006/relationships/hyperlink" Target="https://www.sec.gov/Archives/edgar/data/733076/000119312522295531/d392765dex994a2.htm" TargetMode="External"/><Relationship Id="rId221" Type="http://schemas.openxmlformats.org/officeDocument/2006/relationships/hyperlink" Target="https://www.sec.gov/Archives/edgar/data/733076/000119312522295531/d392765dex994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2026-06-29T09:26:05Z</dcterms:created>
  <dcterms:modified xsi:type="dcterms:W3CDTF">2026-06-29T09:26:05Z</dcterms:modified>
</cp:coreProperties>
</file>