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440690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280670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10-Q</w:t>
      </w:r>
    </w:p>
    <w:p>
      <w:pPr>
        <w:spacing w:after="0" w:line="346" w:lineRule="exact"/>
        <w:rPr>
          <w:sz w:val="24"/>
          <w:szCs w:val="24"/>
          <w:color w:val="auto"/>
        </w:rPr>
      </w:pPr>
    </w:p>
    <w:p>
      <w:pPr>
        <w:ind w:left="4480" w:right="3400" w:hanging="4087"/>
        <w:spacing w:after="0" w:line="563" w:lineRule="auto"/>
        <w:tabs>
          <w:tab w:leader="none" w:pos="705"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2018</w:t>
      </w:r>
    </w:p>
    <w:p>
      <w:pPr>
        <w:ind w:left="56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71" w:lineRule="exact"/>
        <w:rPr>
          <w:rFonts w:ascii="MS PGothic" w:cs="MS PGothic" w:eastAsia="MS PGothic" w:hAnsi="MS PGothic"/>
          <w:sz w:val="14"/>
          <w:szCs w:val="14"/>
          <w:color w:val="auto"/>
        </w:rPr>
      </w:pPr>
    </w:p>
    <w:p>
      <w:pPr>
        <w:ind w:left="820" w:hanging="326"/>
        <w:spacing w:after="0"/>
        <w:tabs>
          <w:tab w:leader="none" w:pos="820"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3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461010</wp:posOffset>
            </wp:positionV>
            <wp:extent cx="221234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Brighthouse Financial, Inc.</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182"/>
        </w:trPr>
        <w:tc>
          <w:tcPr>
            <w:tcW w:w="6640" w:type="dxa"/>
            <w:vAlign w:val="bottom"/>
          </w:tcPr>
          <w:p>
            <w:pPr>
              <w:jc w:val="right"/>
              <w:ind w:right="169"/>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300" w:type="dxa"/>
            <w:vAlign w:val="bottom"/>
          </w:tcPr>
          <w:p>
            <w:pPr>
              <w:spacing w:after="0"/>
              <w:rPr>
                <w:sz w:val="15"/>
                <w:szCs w:val="15"/>
                <w:color w:val="auto"/>
              </w:rPr>
            </w:pPr>
          </w:p>
        </w:tc>
      </w:tr>
      <w:tr>
        <w:trPr>
          <w:trHeight w:val="351"/>
        </w:trPr>
        <w:tc>
          <w:tcPr>
            <w:tcW w:w="6640" w:type="dxa"/>
            <w:vAlign w:val="bottom"/>
          </w:tcPr>
          <w:p>
            <w:pPr>
              <w:jc w:val="center"/>
              <w:ind w:right="2589"/>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jc w:val="right"/>
              <w:ind w:right="608"/>
              <w:spacing w:after="0"/>
              <w:rPr>
                <w:sz w:val="20"/>
                <w:szCs w:val="20"/>
                <w:color w:val="auto"/>
              </w:rPr>
            </w:pPr>
            <w:r>
              <w:rPr>
                <w:rFonts w:ascii="Arial" w:cs="Arial" w:eastAsia="Arial" w:hAnsi="Arial"/>
                <w:sz w:val="14"/>
                <w:szCs w:val="14"/>
                <w:b w:val="1"/>
                <w:bCs w:val="1"/>
                <w:color w:val="auto"/>
              </w:rPr>
              <w:t>81-3846992</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5"/>
              </w:rPr>
              <w:t>(State of incorporation)</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6640" w:type="dxa"/>
            <w:vAlign w:val="bottom"/>
          </w:tcPr>
          <w:p>
            <w:pPr>
              <w:jc w:val="center"/>
              <w:ind w:right="2569"/>
              <w:spacing w:after="0"/>
              <w:rPr>
                <w:sz w:val="20"/>
                <w:szCs w:val="20"/>
                <w:color w:val="auto"/>
              </w:rPr>
            </w:pPr>
            <w:r>
              <w:rPr>
                <w:rFonts w:ascii="Arial" w:cs="Arial" w:eastAsia="Arial" w:hAnsi="Arial"/>
                <w:sz w:val="14"/>
                <w:szCs w:val="14"/>
                <w:b w:val="1"/>
                <w:bCs w:val="1"/>
                <w:color w:val="auto"/>
                <w:w w:val="95"/>
              </w:rPr>
              <w:t>11225 North Community House Road, Charlotte, North Carolina</w:t>
            </w:r>
          </w:p>
        </w:tc>
        <w:tc>
          <w:tcPr>
            <w:tcW w:w="2300" w:type="dxa"/>
            <w:vAlign w:val="bottom"/>
          </w:tcPr>
          <w:p>
            <w:pPr>
              <w:jc w:val="right"/>
              <w:ind w:right="768"/>
              <w:spacing w:after="0"/>
              <w:rPr>
                <w:sz w:val="20"/>
                <w:szCs w:val="20"/>
                <w:color w:val="auto"/>
              </w:rPr>
            </w:pPr>
            <w:r>
              <w:rPr>
                <w:rFonts w:ascii="Arial" w:cs="Arial" w:eastAsia="Arial" w:hAnsi="Arial"/>
                <w:sz w:val="14"/>
                <w:szCs w:val="14"/>
                <w:b w:val="1"/>
                <w:bCs w:val="1"/>
                <w:color w:val="auto"/>
              </w:rPr>
              <w:t>28277</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3"/>
              </w:rPr>
              <w:t>(Zip Code)</w:t>
            </w:r>
          </w:p>
        </w:tc>
      </w:tr>
      <w:tr>
        <w:trPr>
          <w:trHeight w:val="284"/>
        </w:trPr>
        <w:tc>
          <w:tcPr>
            <w:tcW w:w="6640" w:type="dxa"/>
            <w:vAlign w:val="bottom"/>
          </w:tcPr>
          <w:p>
            <w:pPr>
              <w:jc w:val="right"/>
              <w:ind w:right="1069"/>
              <w:spacing w:after="0"/>
              <w:rPr>
                <w:sz w:val="20"/>
                <w:szCs w:val="20"/>
                <w:color w:val="auto"/>
              </w:rPr>
            </w:pPr>
            <w:r>
              <w:rPr>
                <w:rFonts w:ascii="Arial" w:cs="Arial" w:eastAsia="Arial" w:hAnsi="Arial"/>
                <w:sz w:val="14"/>
                <w:szCs w:val="14"/>
                <w:b w:val="1"/>
                <w:bCs w:val="1"/>
                <w:color w:val="auto"/>
              </w:rPr>
              <w:t>(980) 365-7100</w:t>
            </w:r>
          </w:p>
        </w:tc>
        <w:tc>
          <w:tcPr>
            <w:tcW w:w="2300" w:type="dxa"/>
            <w:vAlign w:val="bottom"/>
          </w:tcPr>
          <w:p>
            <w:pPr>
              <w:spacing w:after="0"/>
              <w:rPr>
                <w:sz w:val="24"/>
                <w:szCs w:val="24"/>
                <w:color w:val="auto"/>
              </w:rPr>
            </w:pPr>
          </w:p>
        </w:tc>
      </w:tr>
      <w:tr>
        <w:trPr>
          <w:trHeight w:val="307"/>
        </w:trPr>
        <w:tc>
          <w:tcPr>
            <w:tcW w:w="6640" w:type="dxa"/>
            <w:vAlign w:val="bottom"/>
          </w:tcPr>
          <w:p>
            <w:pPr>
              <w:jc w:val="right"/>
              <w:ind w:right="169"/>
              <w:spacing w:after="0"/>
              <w:rPr>
                <w:sz w:val="20"/>
                <w:szCs w:val="20"/>
                <w:color w:val="auto"/>
              </w:rPr>
            </w:pPr>
            <w:r>
              <w:rPr>
                <w:rFonts w:ascii="Arial" w:cs="Arial" w:eastAsia="Arial" w:hAnsi="Arial"/>
                <w:sz w:val="13"/>
                <w:szCs w:val="13"/>
                <w:i w:val="1"/>
                <w:iCs w:val="1"/>
                <w:color w:val="auto"/>
              </w:rPr>
              <w:t>(Registrant’s telephone number, including area code)</w:t>
            </w:r>
          </w:p>
        </w:tc>
        <w:tc>
          <w:tcPr>
            <w:tcW w:w="2300" w:type="dxa"/>
            <w:vAlign w:val="bottom"/>
          </w:tcPr>
          <w:p>
            <w:pPr>
              <w:spacing w:after="0"/>
              <w:rPr>
                <w:sz w:val="24"/>
                <w:szCs w:val="24"/>
                <w:color w:val="auto"/>
              </w:rPr>
            </w:pPr>
          </w:p>
        </w:tc>
      </w:tr>
    </w:tbl>
    <w:p>
      <w:pPr>
        <w:spacing w:after="0" w:line="204"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56" w:right="239" w:bottom="1440" w:gutter="0" w:footer="0" w:header="0"/>
        </w:sectPr>
      </w:pPr>
    </w:p>
    <w:p>
      <w:pPr>
        <w:spacing w:after="0" w:line="371" w:lineRule="exact"/>
        <w:rPr>
          <w:sz w:val="24"/>
          <w:szCs w:val="24"/>
          <w:color w:val="auto"/>
        </w:rPr>
      </w:pPr>
    </w:p>
    <w:p>
      <w:pPr>
        <w:ind w:left="4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160" w:space="60"/>
            <w:col w:w="6760" w:space="720"/>
            <w:col w:w="840" w:space="60"/>
            <w:col w:w="1820"/>
          </w:cols>
          <w:pgMar w:left="240" w:top="756" w:right="23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180" w:lineRule="exact"/>
        <w:rPr>
          <w:sz w:val="24"/>
          <w:szCs w:val="24"/>
          <w:color w:val="auto"/>
        </w:rPr>
      </w:pPr>
    </w:p>
    <w:p>
      <w:pPr>
        <w:sectPr>
          <w:pgSz w:w="11900" w:h="16838" w:orient="portrait"/>
          <w:cols w:equalWidth="0" w:num="5">
            <w:col w:w="1100" w:space="120"/>
            <w:col w:w="120" w:space="60"/>
            <w:col w:w="6580" w:space="720"/>
            <w:col w:w="1380" w:space="60"/>
            <w:col w:w="1280"/>
          </w:cols>
          <w:pgMar w:left="240" w:top="756" w:right="23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6"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At August 7, 2018, 119,782,668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Table of Contents</w:t>
      </w:r>
    </w:p>
    <w:p>
      <w:pPr>
        <w:spacing w:after="0" w:line="333" w:lineRule="exact"/>
        <w:rPr>
          <w:sz w:val="20"/>
          <w:szCs w:val="20"/>
          <w:color w:val="auto"/>
        </w:rPr>
      </w:pPr>
    </w:p>
    <w:p>
      <w:pPr>
        <w:ind w:left="10860"/>
        <w:spacing w:after="0"/>
        <w:rPr>
          <w:sz w:val="20"/>
          <w:szCs w:val="20"/>
          <w:color w:val="auto"/>
        </w:rPr>
      </w:pPr>
      <w:r>
        <w:rPr>
          <w:rFonts w:ascii="Arial" w:cs="Arial" w:eastAsia="Arial" w:hAnsi="Arial"/>
          <w:sz w:val="18"/>
          <w:szCs w:val="18"/>
          <w:b w:val="1"/>
          <w:bCs w:val="1"/>
          <w:u w:val="single" w:color="auto"/>
          <w:color w:val="auto"/>
        </w:rPr>
        <w:t>Page</w:t>
      </w:r>
    </w:p>
    <w:p>
      <w:pPr>
        <w:spacing w:after="0" w:line="6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63" w:lineRule="exact"/>
        <w:rPr>
          <w:sz w:val="20"/>
          <w:szCs w:val="20"/>
          <w:color w:val="auto"/>
        </w:rPr>
      </w:pPr>
    </w:p>
    <w:p>
      <w:pPr>
        <w:ind w:left="1040" w:right="880" w:hanging="1066"/>
        <w:spacing w:after="0" w:line="277" w:lineRule="auto"/>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Consolidated and Combined Financial Statements (at June 30, 2018 (Unaudited) and December 31, 2017 and for the Three Months and Six Months Ended June 30, 2018 and 2017 (Unaudited)):</w:t>
      </w:r>
    </w:p>
    <w:tbl>
      <w:tblPr>
        <w:tblLayout w:type="fixed"/>
        <w:tblInd w:w="1240" w:type="dxa"/>
        <w:tblCellMar>
          <w:top w:w="0" w:type="dxa"/>
          <w:left w:w="0" w:type="dxa"/>
          <w:bottom w:w="0" w:type="dxa"/>
          <w:right w:w="0" w:type="dxa"/>
        </w:tblCellMar>
      </w:tblPr>
      <w:tr>
        <w:trPr>
          <w:trHeight w:val="202"/>
        </w:trPr>
        <w:tc>
          <w:tcPr>
            <w:tcW w:w="3520" w:type="dxa"/>
            <w:vAlign w:val="bottom"/>
            <w:tcBorders>
              <w:bottom w:val="single" w:sz="8" w:color="0000EE"/>
            </w:tcBorders>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Interim Condensed Consolidated Balance Sheets</w:t>
              </w:r>
            </w:hyperlink>
          </w:p>
        </w:tc>
        <w:tc>
          <w:tcPr>
            <w:tcW w:w="5040" w:type="dxa"/>
            <w:vAlign w:val="bottom"/>
            <w:gridSpan w:val="5"/>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44"/>
        </w:trPr>
        <w:tc>
          <w:tcPr>
            <w:tcW w:w="8560" w:type="dxa"/>
            <w:vAlign w:val="bottom"/>
            <w:tcBorders>
              <w:bottom w:val="single" w:sz="8" w:color="0000EE"/>
            </w:tcBorders>
            <w:gridSpan w:val="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Interim Condensed Consolidated and Combined Statements of Operations and Comprehensive Income (Loss)</w:t>
              </w:r>
            </w:hyperlink>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7"/>
        </w:trPr>
        <w:tc>
          <w:tcPr>
            <w:tcW w:w="856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Condensed Consolidated and Combined Statements of Equity</w:t>
              </w:r>
            </w:hyperlink>
          </w:p>
        </w:tc>
        <w:tc>
          <w:tcPr>
            <w:tcW w:w="156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0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54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Condensed Consolidated and Combined Statements of Cash Flows</w:t>
              </w:r>
            </w:hyperlink>
          </w:p>
        </w:tc>
        <w:tc>
          <w:tcPr>
            <w:tcW w:w="3160" w:type="dxa"/>
            <w:vAlign w:val="bottom"/>
            <w:gridSpan w:val="3"/>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856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Interim Condensed Consolidated and Combined Financial Statements:</w:t>
              </w:r>
            </w:hyperlink>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5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16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 1 — Business, Basis of Presentation and Summary of Significant Accounting Policies</w:t>
              </w:r>
            </w:hyperlink>
          </w:p>
        </w:tc>
        <w:tc>
          <w:tcPr>
            <w:tcW w:w="184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580" w:type="dxa"/>
            <w:vAlign w:val="bottom"/>
            <w:tcBorders>
              <w:top w:val="single" w:sz="8" w:color="0000FF"/>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2 — Segment Information</w:t>
              </w:r>
            </w:hyperlink>
          </w:p>
        </w:tc>
        <w:tc>
          <w:tcPr>
            <w:tcW w:w="1580" w:type="dxa"/>
            <w:vAlign w:val="bottom"/>
          </w:tcPr>
          <w:p>
            <w:pPr>
              <w:spacing w:after="0"/>
              <w:rPr>
                <w:sz w:val="21"/>
                <w:szCs w:val="21"/>
                <w:color w:val="auto"/>
              </w:rPr>
            </w:pPr>
          </w:p>
        </w:tc>
        <w:tc>
          <w:tcPr>
            <w:tcW w:w="174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6"/>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Note 3 — Insurance</w:t>
              </w:r>
            </w:hyperlink>
          </w:p>
        </w:tc>
        <w:tc>
          <w:tcPr>
            <w:tcW w:w="760" w:type="dxa"/>
            <w:vAlign w:val="bottom"/>
            <w:gridSpan w:val="5"/>
          </w:tcPr>
          <w:p>
            <w:pPr>
              <w:spacing w:after="0"/>
              <w:rPr>
                <w:sz w:val="21"/>
                <w:szCs w:val="21"/>
                <w:color w:val="auto"/>
              </w:rPr>
            </w:pPr>
          </w:p>
        </w:tc>
        <w:tc>
          <w:tcPr>
            <w:tcW w:w="5940" w:type="dxa"/>
            <w:vAlign w:val="bottom"/>
            <w:gridSpan w:val="8"/>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Note 4 — Investments</w:t>
              </w:r>
            </w:hyperlink>
          </w:p>
        </w:tc>
        <w:tc>
          <w:tcPr>
            <w:tcW w:w="184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14</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Note 5 — Derivatives</w:t>
              </w:r>
            </w:hyperlink>
          </w:p>
        </w:tc>
        <w:tc>
          <w:tcPr>
            <w:tcW w:w="6580" w:type="dxa"/>
            <w:vAlign w:val="bottom"/>
            <w:gridSpan w:val="11"/>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7"/>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Note 6 — Fair Value</w:t>
              </w:r>
            </w:hyperlink>
          </w:p>
        </w:tc>
        <w:tc>
          <w:tcPr>
            <w:tcW w:w="80" w:type="dxa"/>
            <w:vAlign w:val="bottom"/>
          </w:tcPr>
          <w:p>
            <w:pPr>
              <w:spacing w:after="0"/>
              <w:rPr>
                <w:sz w:val="21"/>
                <w:szCs w:val="21"/>
                <w:color w:val="auto"/>
              </w:rPr>
            </w:pPr>
          </w:p>
        </w:tc>
        <w:tc>
          <w:tcPr>
            <w:tcW w:w="6580" w:type="dxa"/>
            <w:vAlign w:val="bottom"/>
            <w:gridSpan w:val="11"/>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gridSpan w:val="9"/>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Note 7 — Long-term Debt</w:t>
              </w:r>
            </w:hyperlink>
          </w:p>
        </w:tc>
        <w:tc>
          <w:tcPr>
            <w:tcW w:w="6240" w:type="dxa"/>
            <w:vAlign w:val="bottom"/>
            <w:gridSpan w:val="10"/>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Note 8 — Equity</w:t>
              </w:r>
            </w:hyperlink>
          </w:p>
        </w:tc>
        <w:tc>
          <w:tcPr>
            <w:tcW w:w="680" w:type="dxa"/>
            <w:vAlign w:val="bottom"/>
            <w:gridSpan w:val="4"/>
          </w:tcPr>
          <w:p>
            <w:pPr>
              <w:spacing w:after="0"/>
              <w:rPr>
                <w:sz w:val="21"/>
                <w:szCs w:val="21"/>
                <w:color w:val="auto"/>
              </w:rPr>
            </w:pPr>
          </w:p>
        </w:tc>
        <w:tc>
          <w:tcPr>
            <w:tcW w:w="6240" w:type="dxa"/>
            <w:vAlign w:val="bottom"/>
            <w:gridSpan w:val="10"/>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3"/>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Note 9 — Other Revenues and Other Expenses</w:t>
              </w:r>
            </w:hyperlink>
          </w:p>
        </w:tc>
        <w:tc>
          <w:tcPr>
            <w:tcW w:w="4760" w:type="dxa"/>
            <w:vAlign w:val="bottom"/>
            <w:gridSpan w:val="6"/>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Note 10 — Earnings Per Share</w:t>
              </w:r>
            </w:hyperlink>
          </w:p>
        </w:tc>
        <w:tc>
          <w:tcPr>
            <w:tcW w:w="4760" w:type="dxa"/>
            <w:vAlign w:val="bottom"/>
            <w:gridSpan w:val="6"/>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40" w:type="dxa"/>
            <w:vAlign w:val="bottom"/>
            <w:gridSpan w:val="14"/>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Note 11 — Contingencies, Commitments and Guarantees</w:t>
              </w:r>
            </w:hyperlink>
          </w:p>
        </w:tc>
        <w:tc>
          <w:tcPr>
            <w:tcW w:w="4020" w:type="dxa"/>
            <w:vAlign w:val="bottom"/>
            <w:gridSpan w:val="5"/>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Note 12 — Related Party Transactions</w:t>
              </w:r>
            </w:hyperlink>
          </w:p>
        </w:tc>
        <w:tc>
          <w:tcPr>
            <w:tcW w:w="1360" w:type="dxa"/>
            <w:vAlign w:val="bottom"/>
            <w:gridSpan w:val="2"/>
          </w:tcPr>
          <w:p>
            <w:pPr>
              <w:spacing w:after="0"/>
              <w:rPr>
                <w:sz w:val="21"/>
                <w:szCs w:val="21"/>
                <w:color w:val="auto"/>
              </w:rPr>
            </w:pPr>
          </w:p>
        </w:tc>
        <w:tc>
          <w:tcPr>
            <w:tcW w:w="4020" w:type="dxa"/>
            <w:vAlign w:val="bottom"/>
            <w:gridSpan w:val="5"/>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gridSpan w:val="10"/>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Note 13 — Subsequent Event</w:t>
              </w:r>
            </w:hyperlink>
          </w:p>
        </w:tc>
        <w:tc>
          <w:tcPr>
            <w:tcW w:w="640" w:type="dxa"/>
            <w:vAlign w:val="bottom"/>
            <w:gridSpan w:val="2"/>
          </w:tcPr>
          <w:p>
            <w:pPr>
              <w:spacing w:after="0"/>
              <w:rPr>
                <w:sz w:val="21"/>
                <w:szCs w:val="21"/>
                <w:color w:val="auto"/>
              </w:rPr>
            </w:pPr>
          </w:p>
        </w:tc>
        <w:tc>
          <w:tcPr>
            <w:tcW w:w="5380" w:type="dxa"/>
            <w:vAlign w:val="bottom"/>
            <w:gridSpan w:val="7"/>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8480" w:type="dxa"/>
            <w:vAlign w:val="bottom"/>
            <w:gridSpan w:val="20"/>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Management’s Discussion and Analysis of Financial Condition and Results of Operations</w:t>
              </w:r>
            </w:hyperlink>
          </w:p>
        </w:tc>
        <w:tc>
          <w:tcPr>
            <w:tcW w:w="1840" w:type="dxa"/>
            <w:vAlign w:val="bottom"/>
            <w:gridSpan w:val="4"/>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Quantitative and Qualitative Disclosures About Market Risk</w:t>
              </w:r>
            </w:hyperlink>
          </w:p>
        </w:tc>
        <w:tc>
          <w:tcPr>
            <w:tcW w:w="1660" w:type="dxa"/>
            <w:vAlign w:val="bottom"/>
            <w:gridSpan w:val="2"/>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112</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Controls and Procedures</w:t>
              </w:r>
            </w:hyperlink>
          </w:p>
        </w:tc>
        <w:tc>
          <w:tcPr>
            <w:tcW w:w="3820" w:type="dxa"/>
            <w:vAlign w:val="bottom"/>
            <w:gridSpan w:val="3"/>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24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115">
              <w:r>
                <w:rPr>
                  <w:rFonts w:ascii="Arial" w:cs="Arial" w:eastAsia="Arial" w:hAnsi="Arial"/>
                  <w:sz w:val="18"/>
                  <w:szCs w:val="18"/>
                  <w:b w:val="1"/>
                  <w:bCs w:val="1"/>
                  <w:color w:val="0000EE"/>
                  <w:w w:val="96"/>
                </w:rPr>
                <w:t>Part II — Other Information</w:t>
              </w:r>
            </w:hyperlink>
          </w:p>
        </w:tc>
        <w:tc>
          <w:tcPr>
            <w:tcW w:w="7280" w:type="dxa"/>
            <w:vAlign w:val="bottom"/>
            <w:gridSpan w:val="16"/>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5"/>
          </w:tcPr>
          <w:p>
            <w:pPr>
              <w:spacing w:after="0"/>
              <w:rPr>
                <w:rFonts w:ascii="Arial" w:cs="Arial" w:eastAsia="Arial" w:hAnsi="Arial"/>
                <w:sz w:val="18"/>
                <w:szCs w:val="18"/>
                <w:b w:val="1"/>
                <w:bCs w:val="1"/>
                <w:color w:val="0000EE"/>
                <w:w w:val="86"/>
              </w:rPr>
            </w:pPr>
            <w:hyperlink w:anchor="page115">
              <w:r>
                <w:rPr>
                  <w:rFonts w:ascii="Arial" w:cs="Arial" w:eastAsia="Arial" w:hAnsi="Arial"/>
                  <w:sz w:val="18"/>
                  <w:szCs w:val="18"/>
                  <w:b w:val="1"/>
                  <w:bCs w:val="1"/>
                  <w:color w:val="0000EE"/>
                  <w:w w:val="86"/>
                </w:rPr>
                <w:t>Legal Proceedings</w:t>
              </w:r>
            </w:hyperlink>
          </w:p>
        </w:tc>
        <w:tc>
          <w:tcPr>
            <w:tcW w:w="7080" w:type="dxa"/>
            <w:vAlign w:val="bottom"/>
            <w:gridSpan w:val="15"/>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113</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1A.</w:t>
            </w:r>
          </w:p>
        </w:tc>
        <w:tc>
          <w:tcPr>
            <w:tcW w:w="8480" w:type="dxa"/>
            <w:vAlign w:val="bottom"/>
            <w:gridSpan w:val="20"/>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Risk Factors</w:t>
              </w:r>
            </w:hyperlink>
          </w:p>
        </w:tc>
        <w:tc>
          <w:tcPr>
            <w:tcW w:w="1840" w:type="dxa"/>
            <w:vAlign w:val="bottom"/>
            <w:gridSpan w:val="4"/>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113</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8480" w:type="dxa"/>
            <w:vAlign w:val="bottom"/>
            <w:gridSpan w:val="20"/>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Unregistered Sales of Equity Securities and Use of Proceeds</w:t>
              </w:r>
            </w:hyperlink>
          </w:p>
        </w:tc>
        <w:tc>
          <w:tcPr>
            <w:tcW w:w="1840" w:type="dxa"/>
            <w:vAlign w:val="bottom"/>
            <w:gridSpan w:val="4"/>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114</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9"/>
              </w:rPr>
            </w:pPr>
            <w:hyperlink w:anchor="page116">
              <w:r>
                <w:rPr>
                  <w:rFonts w:ascii="Arial" w:cs="Arial" w:eastAsia="Arial" w:hAnsi="Arial"/>
                  <w:sz w:val="18"/>
                  <w:szCs w:val="18"/>
                  <w:b w:val="1"/>
                  <w:bCs w:val="1"/>
                  <w:color w:val="0000EE"/>
                  <w:w w:val="89"/>
                </w:rPr>
                <w:t>Mine Safety Disclosures</w:t>
              </w:r>
            </w:hyperlink>
          </w:p>
        </w:tc>
        <w:tc>
          <w:tcPr>
            <w:tcW w:w="2660" w:type="dxa"/>
            <w:vAlign w:val="bottom"/>
            <w:tcBorders>
              <w:top w:val="single" w:sz="8" w:color="0000EE"/>
            </w:tcBorders>
            <w:gridSpan w:val="7"/>
          </w:tcPr>
          <w:p>
            <w:pPr>
              <w:spacing w:after="0"/>
              <w:rPr>
                <w:sz w:val="21"/>
                <w:szCs w:val="21"/>
                <w:color w:val="auto"/>
              </w:rPr>
            </w:pPr>
          </w:p>
        </w:tc>
        <w:tc>
          <w:tcPr>
            <w:tcW w:w="3920" w:type="dxa"/>
            <w:vAlign w:val="bottom"/>
            <w:gridSpan w:val="4"/>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114</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17">
              <w:r>
                <w:rPr>
                  <w:rFonts w:ascii="Arial" w:cs="Arial" w:eastAsia="Arial" w:hAnsi="Arial"/>
                  <w:sz w:val="18"/>
                  <w:szCs w:val="18"/>
                  <w:b w:val="1"/>
                  <w:bCs w:val="1"/>
                  <w:color w:val="0000EE"/>
                  <w:w w:val="88"/>
                </w:rPr>
                <w:t>Exhibits</w:t>
              </w:r>
            </w:hyperlink>
          </w:p>
        </w:tc>
        <w:tc>
          <w:tcPr>
            <w:tcW w:w="7840" w:type="dxa"/>
            <w:vAlign w:val="bottom"/>
            <w:gridSpan w:val="18"/>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115</w:t>
              </w:r>
            </w:hyperlink>
          </w:p>
        </w:tc>
      </w:tr>
      <w:tr>
        <w:trPr>
          <w:trHeight w:val="372"/>
        </w:trPr>
        <w:tc>
          <w:tcPr>
            <w:tcW w:w="820" w:type="dxa"/>
            <w:vAlign w:val="bottom"/>
            <w:tcBorders>
              <w:bottom w:val="single" w:sz="8" w:color="0000EE"/>
            </w:tcBorders>
          </w:tcPr>
          <w:p>
            <w:pPr>
              <w:spacing w:after="0"/>
              <w:rPr>
                <w:rFonts w:ascii="Arial" w:cs="Arial" w:eastAsia="Arial" w:hAnsi="Arial"/>
                <w:sz w:val="18"/>
                <w:szCs w:val="18"/>
                <w:b w:val="1"/>
                <w:bCs w:val="1"/>
                <w:color w:val="0000EE"/>
                <w:w w:val="85"/>
              </w:rPr>
            </w:pPr>
            <w:hyperlink w:anchor="page119">
              <w:r>
                <w:rPr>
                  <w:rFonts w:ascii="Arial" w:cs="Arial" w:eastAsia="Arial" w:hAnsi="Arial"/>
                  <w:sz w:val="18"/>
                  <w:szCs w:val="18"/>
                  <w:b w:val="1"/>
                  <w:bCs w:val="1"/>
                  <w:color w:val="0000EE"/>
                  <w:w w:val="85"/>
                </w:rPr>
                <w:t>Signatures</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r>
    </w:tbl>
    <w:p>
      <w:pPr>
        <w:sectPr>
          <w:pgSz w:w="11900" w:h="16838" w:orient="portrait"/>
          <w:cols w:equalWidth="0" w:num="1">
            <w:col w:w="11360"/>
          </w:cols>
          <w:pgMar w:left="280" w:top="526"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Item 1. Financial Statements</w:t>
      </w:r>
    </w:p>
    <w:p>
      <w:pPr>
        <w:spacing w:after="0" w:line="16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June 30, 2018 (Unaudited) and December 31, 2017</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3"/>
                <w:szCs w:val="13"/>
                <w:b w:val="1"/>
                <w:bCs w:val="1"/>
                <w:color w:val="auto"/>
                <w:w w:val="88"/>
              </w:rPr>
              <w:t>December 31, 2017</w:t>
            </w:r>
          </w:p>
        </w:tc>
        <w:tc>
          <w:tcPr>
            <w:tcW w:w="0" w:type="dxa"/>
            <w:vAlign w:val="bottom"/>
          </w:tcPr>
          <w:p>
            <w:pPr>
              <w:spacing w:after="0"/>
              <w:rPr>
                <w:sz w:val="1"/>
                <w:szCs w:val="1"/>
                <w:color w:val="auto"/>
              </w:rPr>
            </w:pPr>
          </w:p>
        </w:tc>
      </w:tr>
      <w:tr>
        <w:trPr>
          <w:trHeight w:val="17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available-for-sale, at estimated fair value (amortized cost: $60,081 and $60,173, respectively)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Equity securities, at estimated fair value (cost: $140 and $142, respectively)</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valuation allowances of $51 and $47, respectively; includes $96 and $115, respectively, at estimated fair value,</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relating to variable interest entities)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10,742</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joint ventures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80,928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82,338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 principally at estimated fair value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 (includes $0 and $1, respectively, relating to variable interest entities)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13,593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13,525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111,587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216,212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224,192</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Future policy benefits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35,816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37,783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policy-related balances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Long-term debt (includes $5 and $11, respectively, at estimated fair value, relating to variable interest entities)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3,612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liability</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5,405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5,263</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liabilities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111,587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202,712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209,612</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Contingencies, Commitments and Guarantees (Note 11)</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Brighthouse Financial, Inc.’s stockholders’ equity:</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Common stock par value $0.01 per share; 1,000,000,000 shares authorized; 119,773,106 shares issued and outstanding</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Brighthouse Financial, Inc.’s stockholders’ equity</w:t>
            </w:r>
          </w:p>
        </w:tc>
        <w:tc>
          <w:tcPr>
            <w:tcW w:w="24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13,435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and equity</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216,212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224,192</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ectPr>
          <w:pgSz w:w="11900" w:h="16838" w:orient="portrait"/>
          <w:cols w:equalWidth="0" w:num="1">
            <w:col w:w="11420"/>
          </w:cols>
          <w:pgMar w:left="240" w:top="126" w:right="239" w:bottom="1029"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6" w:right="239" w:bottom="1029"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Interim Condensed Consolidated and Combined Statements of Operations and Comprehensive Income (Loss)</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For the Three Months and Six Months Ended June 30, 2018 and 2017 (Unaudited)</w:t>
      </w:r>
    </w:p>
    <w:p>
      <w:pPr>
        <w:spacing w:after="0" w:line="15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7"/>
                <w:szCs w:val="17"/>
                <w:color w:val="auto"/>
              </w:rPr>
            </w:pPr>
          </w:p>
        </w:tc>
        <w:tc>
          <w:tcPr>
            <w:tcW w:w="15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Ended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15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(1,043)</w:t>
            </w:r>
          </w:p>
        </w:tc>
        <w:tc>
          <w:tcPr>
            <w:tcW w:w="0" w:type="dxa"/>
            <w:vAlign w:val="bottom"/>
          </w:tcPr>
          <w:p>
            <w:pPr>
              <w:spacing w:after="0"/>
              <w:rPr>
                <w:sz w:val="1"/>
                <w:szCs w:val="1"/>
                <w:color w:val="auto"/>
              </w:rPr>
            </w:pPr>
          </w:p>
        </w:tc>
      </w:tr>
      <w:tr>
        <w:trPr>
          <w:trHeight w:val="217"/>
        </w:trPr>
        <w:tc>
          <w:tcPr>
            <w:tcW w:w="790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Condensed Consolidated and Combined Statements of Equity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Six Months Ended June 30, 2018 and 2017 (Unaudited)</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Brighthouse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Shareholder’s Net</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14,580</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Cumulative effect of change in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8"/>
              </w:rPr>
              <w:t>accounting principle and other, net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of income tax (Note 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14,511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of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12,444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13,435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13,500</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55"/>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Brighthouse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Shareholder’s Net</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Change in net investment</w:t>
            </w:r>
          </w:p>
        </w:tc>
        <w:tc>
          <w:tcPr>
            <w:tcW w:w="20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1,027</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of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Balance at June 30, 2017</w:t>
            </w: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14,521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16,415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16,465</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Interim Condensed Consolidated and Combined Statements of Cash Flows</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 the Six Months Ended June 30, 2018 and 2017 (Unaudited)</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Six Months</w:t>
      </w:r>
    </w:p>
    <w:p>
      <w:pPr>
        <w:ind w:left="968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85"/>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7,601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6,909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(7,394)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(1,570)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policy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other invested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Withdrawals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issued</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Long-term debt repaid</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Collateral financing arrangements repaid</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received from MetLife, Inc. in connection with shareholder's net investment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to MetLife, Inc. in connection with shareholder's net investment</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4,443</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paid (received) for:</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Income tax</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Non-cash transactions: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 of fixed maturity securities to former affiliates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ectPr>
          <w:pgSz w:w="11900" w:h="16838" w:orient="portrait"/>
          <w:cols w:equalWidth="0" w:num="1">
            <w:col w:w="11420"/>
          </w:cols>
          <w:pgMar w:left="240" w:top="126" w:right="239" w:bottom="395"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395" w:gutter="0" w:footer="0" w:header="0"/>
          <w:type w:val="continuous"/>
        </w:sectPr>
      </w:pPr>
    </w:p>
    <w:bookmarkStart w:id="6" w:name="page7"/>
    <w:bookmarkEnd w:id="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and the “Company” refer to Brighthouse Financial, Inc. and its subsidiaries. Brighthouse Financial, Inc. is a holding company formed to own the legal entities that historically operated a substantial portion of the former Retail segment of MetLife, Inc. (together with its subsidiaries and affiliates, “MetLife”). Brighthouse Financial, Inc. was incorporated in Delaware on August 1, 2016 in preparation for MetLife, Inc.’s separation of a substantial portion of its former Retail segment, as well as certain portions of its Corporate Benefit Funding segment (the “Separation”), which was completed on August 4, 2017.</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Separation, 80.8% of MetLife, Inc.’s interest in Brighthouse Financial, Inc. was distributed to holders of MetLife, Inc.’s common stock and MetLife, Inc. retained the remaining 19.2%. On June 14, 2018, MetLife, Inc. divested its remaining shares of Brighthouse Financial, Inc. common stock (the “MetLife Divestiture”). As a result, MetLife, Inc. and its subsidiaries and affiliates are no longer considered related parties subsequent to the MetLife Divestiture.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offers a range of individual annuities and individual life insurance products. The Company reports results through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Annuities, Life and Run-off. In addition, the Company reports certain of its results in Corporate &amp; Other.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and combined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financial statements presented in this quarterly report for periods on or after the Separation are presented on a consolidated basis and include the financial position, results of operations and cash flows of the Company. The accompanying interim condensed consolidated financial statements include the accounts of Brighthouse Financial, Inc. and its subsidiaries, as well as partnerships and joint ventures in which the Company has control, and variable interest entities (“VIEs”) for which the Company is the primary beneficiary. Intercompany accounts and transactions have been eliminated.</w:t>
      </w:r>
    </w:p>
    <w:p>
      <w:pPr>
        <w:spacing w:after="0" w:line="46"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the equity method of accounting for equity securities when it has significant influence or at least 20% interest and for real estate joint ventures and other limited partnership interests (“investee”)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Combination</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financial statements for the periods prior to the Separation are presented on a combined basis and reflect the historical combined results of operations and cash flows for the periods presented. The combined statement of operations reflects certain corporate expenses allocated to the Company by MetLife for certain corporate functions and for shared services provided by MetLife. These expenses have been allocated to the Company based on direct usage or benefit where specifically identifiable, with the remainder allocated based upon other reasonable allocation measures. The Company considers the expense methodology and results to be reasonable for all periods presented. See Note 12 for further information on expenses allocated by MetLife.</w:t>
      </w:r>
    </w:p>
    <w:p>
      <w:pPr>
        <w:spacing w:after="0" w:line="5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previously recorded affiliated transactions with certain MetLife subsidiaries which were not included in the combined financial statements of the Company.</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income tax amounts in these combined financial statements have been calculated based on a modified separate return methodology, with benefits for losses, and presented as if each company was a separate taxpayer in its respective jurisdiction.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left="180" w:right="20" w:firstLine="324"/>
        <w:spacing w:after="0" w:line="279" w:lineRule="auto"/>
        <w:rPr>
          <w:sz w:val="20"/>
          <w:szCs w:val="20"/>
          <w:color w:val="auto"/>
        </w:rPr>
      </w:pPr>
      <w:r>
        <w:rPr>
          <w:rFonts w:ascii="Arial" w:cs="Arial" w:eastAsia="Arial" w:hAnsi="Arial"/>
          <w:sz w:val="17"/>
          <w:szCs w:val="17"/>
          <w:color w:val="auto"/>
        </w:rPr>
        <w:t>The historical financial results in the combined financial statements presented may not be indicative of the results that would have been achieved by the Company had it operated as a separate, stand-alone entity during the periods presented. The combined financial statements presented do not reflect any changes that may occur in the Company’s financing and operations in connection with or as a result of the Separation. Management believes that the combined financial statements include all adjustments necessary for a fair presentation of the business.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right="20" w:firstLine="324"/>
        <w:spacing w:after="0" w:line="276" w:lineRule="auto"/>
        <w:rPr>
          <w:sz w:val="20"/>
          <w:szCs w:val="20"/>
          <w:color w:val="auto"/>
        </w:rPr>
      </w:pPr>
      <w:r>
        <w:rPr>
          <w:rFonts w:ascii="Arial" w:cs="Arial" w:eastAsia="Arial" w:hAnsi="Arial"/>
          <w:sz w:val="17"/>
          <w:szCs w:val="17"/>
          <w:color w:val="auto"/>
        </w:rPr>
        <w:t>Certain amounts in the prior year periods’ interim condensed consolidated and combined financial statements and related footnotes thereto have been reclassified to conform to the 2018 presentation as discussed throughout the Notes to the Interim Condensed Consolidated and Combined Financial Statements. Additionally, effective January 1, 2018 the Company recorded an increase to other liabilities of $46 million, a decrease to deferred tax liabilities of $22 million, a decrease to accumulated other comprehensive income (“AOCI”) of $64 million, and an increase to retained earnings of $40 million, to reflect an adjustment, net of tax, to prior year accretion of certain investments in redeemable preferred stock.</w:t>
      </w:r>
    </w:p>
    <w:p>
      <w:pPr>
        <w:spacing w:after="0" w:line="64" w:lineRule="exact"/>
        <w:rPr>
          <w:sz w:val="20"/>
          <w:szCs w:val="20"/>
          <w:color w:val="auto"/>
        </w:rPr>
      </w:pPr>
    </w:p>
    <w:p>
      <w:pPr>
        <w:jc w:val="both"/>
        <w:ind w:left="180" w:right="20" w:firstLine="324"/>
        <w:spacing w:after="0" w:line="255" w:lineRule="auto"/>
        <w:rPr>
          <w:sz w:val="20"/>
          <w:szCs w:val="20"/>
          <w:color w:val="auto"/>
        </w:rPr>
      </w:pPr>
      <w:r>
        <w:rPr>
          <w:rFonts w:ascii="Arial" w:cs="Arial" w:eastAsia="Arial" w:hAnsi="Arial"/>
          <w:sz w:val="18"/>
          <w:szCs w:val="18"/>
          <w:color w:val="auto"/>
        </w:rPr>
        <w:t>The accompanying interim condensed consolidated and combined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2017 consolidated balance sheet data was derived from audited consolidated financial statements included in Brighthouse Financial, Inc.’s Annual Report on Form 10-K for the year ended December 31, 2017 (the “2017 Annual Report”), which include all disclosures required by GAAP. Therefore, these interim condensed consolidated and combined financial statements should be read in conjunction with the consolidated and combined financial statements of the Company included in the 2017 Annual Report.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The following table provides a description of new ASUs issued by the FASB and the expected impact of the adoption on the Company’s financial statements.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ASUs adopted as of June 30, 2018 are summarized in the table below.</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3120" w:type="dxa"/>
            <w:vAlign w:val="bottom"/>
            <w:tcBorders>
              <w:top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34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2016-01, Financial</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1"/>
              </w:rPr>
              <w:t>The new guidance changes the current accounting guidance related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1) reclassified net unrealized</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Overall:</w:t>
            </w:r>
          </w:p>
        </w:tc>
        <w:tc>
          <w:tcPr>
            <w:tcW w:w="3120" w:type="dxa"/>
            <w:vAlign w:val="bottom"/>
          </w:tcPr>
          <w:p>
            <w:pPr>
              <w:ind w:left="20"/>
              <w:spacing w:after="0"/>
              <w:rPr>
                <w:sz w:val="20"/>
                <w:szCs w:val="20"/>
                <w:color w:val="auto"/>
              </w:rPr>
            </w:pPr>
            <w:r>
              <w:rPr>
                <w:rFonts w:ascii="Arial" w:cs="Arial" w:eastAsia="Arial" w:hAnsi="Arial"/>
                <w:sz w:val="16"/>
                <w:szCs w:val="16"/>
                <w:color w:val="auto"/>
                <w:w w:val="99"/>
              </w:rPr>
              <w:t>to  (i)  the  classification  and  measurement</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of  certain  equity</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gains related to equity securities previously</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Recognition and Measurement</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investments, (ii) the presentation of changes in the fair value of</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classified as available-for-sale (“AFS”) from</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Financial Assets and</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financial liabilities measured under the fair value option (“FVO”)</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AOCI to retained earnings and 2) increased</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Financial Liabilities</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that are due to instrument-specific credit risk, and (iii) certain</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carrying value of equity investments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disclosures associated with the fair value of financial instruments.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previously accounted for under the cost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Additionally, there will no longer be a requirement to assess equity</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 to estimated fair value. The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securities for impairment since such securities will be measured at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cumulative effect of the adoption is a net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fair value through net income.</w:t>
            </w: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increase to retained earnings of $38 million</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a net decrease of $15 million to AOCI,</w:t>
            </w: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after taxes.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2014-09, Revenue from</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For those contracts that are impacted, the guidance will require an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adoption did not have an impact on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Contracts with Customers</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entity to recognize revenue upon the transfer of promised goods 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Company’s financial statements other than</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606)</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4"/>
              </w:rPr>
              <w:t>services to customers in an amount that reflects the consideration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expanded disclosures in Note 9.</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to which the entity expects to be entitled, in exchange for those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goods or services.</w:t>
            </w: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34" w:right="2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ind w:left="340" w:right="4200" w:hanging="332"/>
        <w:spacing w:after="0" w:line="726" w:lineRule="auto"/>
        <w:tabs>
          <w:tab w:leader="none" w:pos="196"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Basis of Presentation and Summary of Significant Accounting Policies (continued) </w:t>
      </w:r>
      <w:r>
        <w:rPr>
          <w:rFonts w:ascii="Arial" w:cs="Arial" w:eastAsia="Arial" w:hAnsi="Arial"/>
          <w:sz w:val="15"/>
          <w:szCs w:val="15"/>
          <w:color w:val="auto"/>
        </w:rPr>
        <w:t>ASUs issued but not yet adopted as of June 30, 2018 are summarized in the table below.</w:t>
      </w:r>
    </w:p>
    <w:tbl>
      <w:tblPr>
        <w:tblLayout w:type="fixed"/>
        <w:tblInd w:w="10" w:type="dxa"/>
        <w:tblCellMar>
          <w:top w:w="0" w:type="dxa"/>
          <w:left w:w="0" w:type="dxa"/>
          <w:bottom w:w="0" w:type="dxa"/>
          <w:right w:w="0" w:type="dxa"/>
        </w:tblCellMar>
      </w:tblPr>
      <w:tr>
        <w:trPr>
          <w:trHeight w:val="218"/>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ASU 2017-12, Derivatives and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The amendments to Topic 815 (i) refine and expand the criteria for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does not expect a material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Hedging (Topic 815): Targeted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achieving hedge accounting on certain hedging strategies, (ii)</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modified retrospective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on  its  financial  statements  from</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Improvements to Accounting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require the earnings effect of the hedging instrument be presented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 (with early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of the new guidance.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for Hedging Activities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 the same line item in which the earnings effect of the hedged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item is reported, and (iii) eliminate the requirement to separately</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measure and report hedge ineffectiveness.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Credit Losses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statements, with the most significant impact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to be earlier recognition of credit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guidance also requires that an other-than- temporary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beginning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losses on mortgage loan investments.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(“OTTI”) on a debt security will be recognized as an allowance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going forward, such that improvements in expected future cash</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flows  after  an  impairment  will  no  longer  be  reflected  as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prospective yield adjustment through net investment income, but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rather  a  reversal  of  the  previous  impairment and  recognized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through realized investment gains and losses.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2016-02, Leases -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new guidance will require a lessee to recognize assets and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842</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liabilities for leases with lease terms of more than 12 months.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Leases would be classified as finance or operating leases and both</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statements, with the most significant impact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types of leases will be recognized on the balance sheet. Lessor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to be a gross-up of certain lease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accounting will remain largely unchanged from current guidance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assets and liabilities on the balance sheet.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except for certain targeted changes. The amendments also require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qualitative and quantitative disclosures.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4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whole, universal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right="2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 term care and workers compensation business reinsured through 100% quota share reinsurance agreements, and term life insurance sold direct to consumers, which is no longer being offered for new sales.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234" w:right="219" w:bottom="1440" w:gutter="0" w:footer="0" w:header="0"/>
        </w:sectPr>
      </w:pPr>
    </w:p>
    <w:bookmarkStart w:id="9" w:name="page10"/>
    <w:bookmarkEnd w:id="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Brighthouse Financial, Inc.’s common shareholders, and excludes net income (loss) attributable to noncontrolling interests.</w:t>
      </w:r>
    </w:p>
    <w:p>
      <w:pPr>
        <w:spacing w:after="0" w:line="8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Adjusted earnings, which may be positive or negative, focuses on the Company’s primary businesses principally by excluding the impact of market volatility, which could distort trends, as well as businesses that have been or will be sold or exited by the Company, referred to as divested businesses.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deferred policy acquisition cost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are calculated net of the U.S. statutory tax rate, which could differ from the Company’s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Set forth in the tables below is certain financial information with respect to the Company’s segments, as well as Corporate &amp; Other, for the three months and six months ended June 30, 2018 and 2017 and at June 30, 2018 and December 31, 2017. The segment accounting policies are the same as those used to prepare the Company’s condensed consolidated and combined financial statements, except for the adjustments to calculate adjusted earnings described above. In addition, segment accounting policies include the methods of capital allocation described below.</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the first quarter of 2018, the Company changed the methodology for how capital is allocated to segments and, in some cases, products (the “Portfolio Realignment”). Segment investment and capitalization targets are now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discussed in the 2017 Annual Report.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Previously, invested assets held in the segments were based on net GAAP liabilities. Excess capital was retained in Corporate &amp; Other and allocated to segments based on an internally developed statistics based capital model intended to capture the material risks to which the Company was exposed (referred to as “allocated equity”). Surplus assets in excess of the combined allocations to the segments were held in Corporate &amp; Other with net investment income being credited back to the segments at a predetermined rate. Any excess or shortfall in net investment income from surplus assets was recognized in Corporate &amp; 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4" w:right="239" w:bottom="1440" w:gutter="0" w:footer="0" w:header="0"/>
        </w:sectPr>
      </w:pPr>
    </w:p>
    <w:bookmarkStart w:id="10" w:name="page11"/>
    <w:bookmarkEnd w:id="1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Portfolio Realignment had no effect on the Company’s consolidated net income (loss) or adjusted earnings, but it did impact segment results for the six months ended June 30, 2018. It was not practicable to determine the impact of the Portfolio Realignment to adjusted earnings in prior periods; however, the Company estimates that pre-tax adjusted earnings in the Life segment for the six months ended June 30, 2018 increased between $60 million and $70 million as a result of the change, with most of the offsetting impact in the Run-off segment. Impacts to the Annuities segment and Corporate &amp; Other would not have been significantly different under the previous allocation method.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total assets recognized in the segments changed as a result of the Portfolio Realignment. Total assets (on a book value basis) in the Annuities and Life segments increased approximately $2 billion and approximately $5 billion, respectively, under the new allocation method. The Run-off segment and Corporate &amp; Other experienced decreases in total assets of approximately $3 billion and approximately $4 billion, respectively, as a result of the Portfolio Realignment.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Operating Results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Annuities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ind w:left="40"/>
              <w:spacing w:after="0"/>
              <w:rPr>
                <w:sz w:val="20"/>
                <w:szCs w:val="20"/>
                <w:color w:val="auto"/>
              </w:rPr>
            </w:pPr>
            <w:r>
              <w:rPr>
                <w:rFonts w:ascii="Arial" w:cs="Arial" w:eastAsia="Arial" w:hAnsi="Arial"/>
                <w:sz w:val="16"/>
                <w:szCs w:val="16"/>
                <w:color w:val="auto"/>
              </w:rPr>
              <w:t>Adjustments for:</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Net derivative gains (losses)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Operating Results</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Run-off</w:t>
            </w: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Adjustments for:</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Net derivative gains (losses)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5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34" w:right="239" w:bottom="1440" w:gutter="0" w:footer="0" w:header="0"/>
          <w:type w:val="continuous"/>
        </w:sectPr>
      </w:pPr>
    </w:p>
    <w:bookmarkStart w:id="11" w:name="page12"/>
    <w:bookmarkEnd w:id="1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Operating Results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Operating Results</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33"/>
        </w:trPr>
        <w:tc>
          <w:tcPr>
            <w:tcW w:w="5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4" w:right="2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left="383"/>
              <w:spacing w:after="0"/>
              <w:rPr>
                <w:sz w:val="20"/>
                <w:szCs w:val="20"/>
                <w:color w:val="auto"/>
              </w:rPr>
            </w:pPr>
            <w:r>
              <w:rPr>
                <w:rFonts w:ascii="Arial" w:cs="Arial" w:eastAsia="Arial" w:hAnsi="Arial"/>
                <w:sz w:val="14"/>
                <w:szCs w:val="14"/>
                <w:b w:val="1"/>
                <w:bCs w:val="1"/>
                <w:color w:val="auto"/>
                <w:w w:val="93"/>
              </w:rPr>
              <w:t>Six Months</w:t>
            </w:r>
          </w:p>
        </w:tc>
        <w:tc>
          <w:tcPr>
            <w:tcW w:w="840" w:type="dxa"/>
            <w:vAlign w:val="bottom"/>
          </w:tcPr>
          <w:p>
            <w:pPr>
              <w:spacing w:after="0"/>
              <w:rPr>
                <w:sz w:val="14"/>
                <w:szCs w:val="14"/>
                <w:color w:val="auto"/>
              </w:rPr>
            </w:pPr>
          </w:p>
        </w:tc>
      </w:tr>
      <w:tr>
        <w:trPr>
          <w:trHeight w:val="149"/>
        </w:trPr>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right"/>
              <w:ind w:right="219"/>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left="363"/>
              <w:spacing w:after="0" w:line="14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tcPr>
          <w:p>
            <w:pPr>
              <w:spacing w:after="0"/>
              <w:rPr>
                <w:sz w:val="12"/>
                <w:szCs w:val="12"/>
                <w:color w:val="auto"/>
              </w:rPr>
            </w:pPr>
          </w:p>
        </w:tc>
      </w:t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0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Life</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595</w:t>
            </w:r>
          </w:p>
        </w:tc>
      </w:tr>
      <w:tr>
        <w:trPr>
          <w:trHeight w:val="33"/>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1,084</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171</w:t>
            </w:r>
          </w:p>
        </w:tc>
      </w:tr>
      <w:tr>
        <w:trPr>
          <w:trHeight w:val="33"/>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17"/>
        </w:trPr>
        <w:tc>
          <w:tcPr>
            <w:tcW w:w="6080" w:type="dxa"/>
            <w:vAlign w:val="bottom"/>
          </w:tcPr>
          <w:p>
            <w:pPr>
              <w:ind w:left="20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3,517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2,990</w:t>
            </w:r>
          </w:p>
        </w:tc>
      </w:tr>
      <w:tr>
        <w:trPr>
          <w:trHeight w:val="33"/>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with respect to the Company’s segments, as well as Corporate &amp; Other,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0"/>
              </w:rPr>
              <w:t>December 31, 2017</w:t>
            </w:r>
          </w:p>
        </w:tc>
      </w:tr>
      <w:tr>
        <w:trPr>
          <w:trHeight w:val="196"/>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151,856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154,667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30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19,790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18,049</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36,824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12,094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14,652</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216,212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224,192</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3 of the Notes to the Consolidated and Combined Financial Statements included in the 2017 Annual Report, the Company issues variable annuity products with guaranteed minimum benefits. Guaranteed minimum accumulation benefits (“GMABs”), the non-life 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issues universal and variable life contracts where the Company contractually guarantees to the contract holder a secondary guarantee.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10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Pr>
          <w:p>
            <w:pPr>
              <w:spacing w:after="0"/>
              <w:rPr>
                <w:sz w:val="16"/>
                <w:szCs w:val="16"/>
                <w:color w:val="auto"/>
              </w:rPr>
            </w:pPr>
          </w:p>
        </w:tc>
      </w:tr>
      <w:tr>
        <w:trPr>
          <w:trHeight w:val="152"/>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4"/>
              </w:rPr>
              <w:t>Annuitization</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Annuitization</w:t>
            </w:r>
          </w:p>
        </w:tc>
        <w:tc>
          <w:tcPr>
            <w:tcW w:w="3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109,725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63,534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115,147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67,110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104,555</w:t>
            </w:r>
          </w:p>
        </w:tc>
        <w:tc>
          <w:tcPr>
            <w:tcW w:w="3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62,264</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109,792</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65,782</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6,534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2,604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5,261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2,642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contract 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34" w:right="239" w:bottom="1440" w:gutter="0" w:footer="0" w:header="0"/>
        </w:sectPr>
      </w:pPr>
    </w:p>
    <w:bookmarkStart w:id="13" w:name="page14"/>
    <w:bookmarkEnd w:id="1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June 30, 2018</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gridSpan w:val="3"/>
          </w:tcPr>
          <w:p>
            <w:pPr>
              <w:jc w:val="right"/>
              <w:ind w:right="1260"/>
              <w:spacing w:after="0"/>
              <w:rPr>
                <w:sz w:val="20"/>
                <w:szCs w:val="20"/>
                <w:color w:val="auto"/>
              </w:rPr>
            </w:pPr>
            <w:r>
              <w:rPr>
                <w:rFonts w:ascii="Arial" w:cs="Arial" w:eastAsia="Arial" w:hAnsi="Arial"/>
                <w:sz w:val="14"/>
                <w:szCs w:val="14"/>
                <w:b w:val="1"/>
                <w:bCs w:val="1"/>
                <w:color w:val="auto"/>
              </w:rPr>
              <w:t>Secondary Guarantees</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3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6,154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6,244</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74,152</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75,304</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320" w:type="dxa"/>
            <w:vAlign w:val="bottom"/>
          </w:tcPr>
          <w:p>
            <w:pPr>
              <w:spacing w:after="0"/>
              <w:rPr>
                <w:sz w:val="20"/>
                <w:szCs w:val="20"/>
                <w:color w:val="auto"/>
              </w:rPr>
            </w:pP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65 years</w:t>
            </w:r>
          </w:p>
        </w:tc>
        <w:tc>
          <w:tcPr>
            <w:tcW w:w="380" w:type="dxa"/>
            <w:vAlign w:val="bottom"/>
          </w:tcPr>
          <w:p>
            <w:pPr>
              <w:spacing w:after="0"/>
              <w:rPr>
                <w:sz w:val="20"/>
                <w:szCs w:val="20"/>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64 years</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3,393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3,379</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23,691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24,546</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 years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 years</w:t>
            </w: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and Combined Financial Statements included in the 2017 Annual Report for a discussion of guaranteed minimum benefits which have been reinsured.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8"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about the fair value hierarchy for investments and the related valuation methodologies.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fixed maturity securities AFS by sector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2017</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22,965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23,504</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21,190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1,859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11,243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12,458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16,292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7,784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7,859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7,749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6,972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6,964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3,648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4,077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4,023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1,810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60,081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3,402</w:t>
            </w:r>
          </w:p>
        </w:tc>
        <w:tc>
          <w:tcPr>
            <w:tcW w:w="12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62,343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60,173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5,180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Noncredit OTTI losses included in AOCI in an unrealized gain position are due to increases in estimated fair value subsequent to initial recognition of noncredit losses on such securities. See also “— Net Unrealized Investment Gains (Losses).”</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Redeemable preferred stock is reported within U.S. corporate and foreign corporate fixed maturity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$6 million and $4 million with unrealized gains (losses) of $2 million and ($2) million at June 30,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and estimated fair value of fixed maturity securities, by contractual maturity date, were as follows at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Due in One</w:t>
            </w:r>
          </w:p>
        </w:tc>
        <w:tc>
          <w:tcPr>
            <w:tcW w:w="260" w:type="dxa"/>
            <w:vAlign w:val="bottom"/>
          </w:tcPr>
          <w:p>
            <w:pPr>
              <w:spacing w:after="0"/>
              <w:rPr>
                <w:sz w:val="14"/>
                <w:szCs w:val="14"/>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Due After One</w:t>
            </w:r>
          </w:p>
        </w:tc>
        <w:tc>
          <w:tcPr>
            <w:tcW w:w="24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6"/>
              </w:rPr>
              <w:t>Due After Five</w:t>
            </w:r>
          </w:p>
        </w:tc>
        <w:tc>
          <w:tcPr>
            <w:tcW w:w="20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240" w:type="dxa"/>
            <w:vAlign w:val="bottom"/>
          </w:tcPr>
          <w:p>
            <w:pPr>
              <w:spacing w:after="0"/>
              <w:rPr>
                <w:sz w:val="12"/>
                <w:szCs w:val="12"/>
                <w:color w:val="auto"/>
              </w:rPr>
            </w:pPr>
          </w:p>
        </w:tc>
        <w:tc>
          <w:tcPr>
            <w:tcW w:w="1160" w:type="dxa"/>
            <w:vAlign w:val="bottom"/>
          </w:tcPr>
          <w:p>
            <w:pPr>
              <w:jc w:val="right"/>
              <w:ind w:right="424"/>
              <w:spacing w:after="0" w:line="149"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7"/>
              </w:rPr>
              <w:t>Year or Less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Five Years</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Through Ten Years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Securities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8,553</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11,677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24,135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13,957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60,081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8,641</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11,570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26,401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13,965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62,343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4"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AFS by Sector</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w w:val="90"/>
              </w:rPr>
              <w:t>Equal to or Greater than 12 Months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Equal to or Greater than 12 Months</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900" w:type="dxa"/>
            <w:vAlign w:val="bottom"/>
          </w:tcPr>
          <w:p>
            <w:pPr>
              <w:jc w:val="center"/>
              <w:ind w:right="51"/>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6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2"/>
                <w:szCs w:val="12"/>
                <w:color w:val="auto"/>
              </w:rPr>
            </w:pPr>
          </w:p>
        </w:tc>
        <w:tc>
          <w:tcPr>
            <w:tcW w:w="880" w:type="dxa"/>
            <w:vAlign w:val="bottom"/>
          </w:tcPr>
          <w:p>
            <w:pPr>
              <w:jc w:val="center"/>
              <w:ind w:right="3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90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2"/>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4"/>
          </w:tcPr>
          <w:p>
            <w:pPr>
              <w:jc w:val="right"/>
              <w:ind w:right="431"/>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9,676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1,264</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1,783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color w:val="auto"/>
              </w:rPr>
              <w:t>1,451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1,318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3,279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1,140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2,986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2,955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344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620" w:type="dxa"/>
            <w:vAlign w:val="bottom"/>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23,532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4,750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10,863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5,543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16"/>
        </w:trPr>
        <w:tc>
          <w:tcPr>
            <w:tcW w:w="262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Total number of securities in an unrealized</w:t>
            </w: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2,799</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592</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638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position</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85" w:lineRule="auto"/>
        <w:rPr>
          <w:sz w:val="20"/>
          <w:szCs w:val="20"/>
          <w:color w:val="auto"/>
        </w:rPr>
      </w:pPr>
      <w:r>
        <w:rPr>
          <w:rFonts w:ascii="Arial" w:cs="Arial" w:eastAsia="Arial" w:hAnsi="Arial"/>
          <w:sz w:val="16"/>
          <w:szCs w:val="16"/>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2" w:lineRule="exact"/>
        <w:rPr>
          <w:sz w:val="20"/>
          <w:szCs w:val="20"/>
          <w:color w:val="auto"/>
        </w:rPr>
      </w:pPr>
    </w:p>
    <w:p>
      <w:pPr>
        <w:jc w:val="both"/>
        <w:ind w:left="340" w:hanging="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June 30, 2018.</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increased $778 million during the six months ended June 30, 2018 to $1.1 billion. The increase in gross unrealized losses for the six months ended June 30, 2018 was primarily attributable to increasing longer-term interest rates and widening credit spreads.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At June 30, 2018, $2 million of the total $1.1 billion of gross unrealized losses were from seven fixed maturity securities with an unrealized loss position of 20% or more of amortized cost for six months or greater.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6"/>
              </w:rPr>
              <w:t>June 30, 2018</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center"/>
              <w:ind w:right="740"/>
              <w:spacing w:after="0" w:line="153" w:lineRule="exact"/>
              <w:rPr>
                <w:sz w:val="20"/>
                <w:szCs w:val="20"/>
                <w:color w:val="auto"/>
              </w:rPr>
            </w:pPr>
            <w:r>
              <w:rPr>
                <w:rFonts w:ascii="Arial" w:cs="Arial" w:eastAsia="Arial" w:hAnsi="Arial"/>
                <w:sz w:val="14"/>
                <w:szCs w:val="14"/>
                <w:b w:val="1"/>
                <w:bCs w:val="1"/>
                <w:color w:val="auto"/>
              </w:rPr>
              <w:t>Carrying</w:t>
            </w: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22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8,085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65.5 %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7,260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12,292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10,674</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Valuation allowances (2)</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mortgage loans, net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12,241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10,627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 mortgage loans held by CSEs — FVO</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$518 million and $604 million for the three months and six months ended June 30, 2018, respectively, and $147 million and $307 million for the three months and six months ended June 30, 2017, respectively, and were primarily comprised of residential mortgage loans.</w:t>
      </w:r>
    </w:p>
    <w:p>
      <w:pPr>
        <w:spacing w:after="0" w:line="73" w:lineRule="exact"/>
        <w:rPr>
          <w:rFonts w:ascii="Arial" w:cs="Arial" w:eastAsia="Arial" w:hAnsi="Arial"/>
          <w:sz w:val="18"/>
          <w:szCs w:val="18"/>
          <w:color w:val="auto"/>
        </w:rPr>
      </w:pPr>
    </w:p>
    <w:p>
      <w:pPr>
        <w:ind w:left="500" w:right="3920" w:hanging="492"/>
        <w:spacing w:after="0" w:line="42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valuation allowances were primarily from collective evaluation (non-specific loan related). See “— Variable Interest Entities” for discussion of consolidated securitization entities (“CSEs”).</w:t>
      </w:r>
    </w:p>
    <w:p>
      <w:pPr>
        <w:spacing w:after="0" w:line="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Information on commercial, agricultural and residential mortgage loans is presented in the tables below. Information on commercial mortgage loans held by CSEs — FVO is presented in Note 6. The Company elects the FVO for certain commercial mortgage loans and related long-term debt that are managed on a total return basis.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Allowance Methodology</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2" w:lineRule="exact"/>
        <w:rPr>
          <w:sz w:val="20"/>
          <w:szCs w:val="20"/>
          <w:color w:val="auto"/>
        </w:rPr>
      </w:pPr>
    </w:p>
    <w:p>
      <w:pPr>
        <w:jc w:val="both"/>
        <w:ind w:left="180" w:hanging="10"/>
        <w:spacing w:after="0" w:line="290" w:lineRule="auto"/>
        <w:tabs>
          <w:tab w:leader="none" w:pos="50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commercial mortgage loans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1"/>
              <w:spacing w:after="0"/>
              <w:rPr>
                <w:sz w:val="20"/>
                <w:szCs w:val="20"/>
                <w:color w:val="auto"/>
              </w:rPr>
            </w:pPr>
            <w:r>
              <w:rPr>
                <w:rFonts w:ascii="Arial" w:cs="Arial" w:eastAsia="Arial" w:hAnsi="Arial"/>
                <w:sz w:val="14"/>
                <w:szCs w:val="14"/>
                <w:b w:val="1"/>
                <w:bCs w:val="1"/>
                <w:color w:val="auto"/>
                <w:w w:val="91"/>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840" w:type="dxa"/>
            <w:vAlign w:val="bottom"/>
            <w:vMerge w:val="restart"/>
          </w:tcPr>
          <w:p>
            <w:pPr>
              <w:jc w:val="right"/>
              <w:ind w:right="181"/>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7,270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8,085</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8,117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7,260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7,419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June 30, 2018</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jc w:val="center"/>
              <w:ind w:right="800"/>
              <w:spacing w:after="0" w:line="153" w:lineRule="exact"/>
              <w:rPr>
                <w:sz w:val="20"/>
                <w:szCs w:val="20"/>
                <w:color w:val="auto"/>
              </w:rPr>
            </w:pPr>
            <w:r>
              <w:rPr>
                <w:rFonts w:ascii="Arial" w:cs="Arial" w:eastAsia="Arial" w:hAnsi="Arial"/>
                <w:sz w:val="14"/>
                <w:szCs w:val="14"/>
                <w:b w:val="1"/>
                <w:bCs w:val="1"/>
                <w:color w:val="auto"/>
                <w:w w:val="92"/>
              </w:rPr>
              <w:t>Recorded</w:t>
            </w: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7.2</w:t>
            </w:r>
          </w:p>
        </w:tc>
      </w:tr>
      <w:tr>
        <w:trPr>
          <w:trHeight w:val="217"/>
        </w:trPr>
        <w:tc>
          <w:tcPr>
            <w:tcW w:w="558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estimated fair value of agricultural mortgage loans was $2.6 billion and $2.3 billion at June 30, 2018 and December 31, 2017,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residential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June 30, 2018</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jc w:val="center"/>
              <w:ind w:right="800"/>
              <w:spacing w:after="0" w:line="153" w:lineRule="exact"/>
              <w:rPr>
                <w:sz w:val="20"/>
                <w:szCs w:val="20"/>
                <w:color w:val="auto"/>
              </w:rPr>
            </w:pPr>
            <w:r>
              <w:rPr>
                <w:rFonts w:ascii="Arial" w:cs="Arial" w:eastAsia="Arial" w:hAnsi="Arial"/>
                <w:sz w:val="14"/>
                <w:szCs w:val="14"/>
                <w:b w:val="1"/>
                <w:bCs w:val="1"/>
                <w:color w:val="auto"/>
                <w:w w:val="92"/>
              </w:rPr>
              <w:t>Recorded</w:t>
            </w: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w:t>
            </w:r>
          </w:p>
        </w:tc>
      </w:tr>
      <w:tr>
        <w:trPr>
          <w:trHeight w:val="217"/>
        </w:trPr>
        <w:tc>
          <w:tcPr>
            <w:tcW w:w="558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680" w:firstLine="324"/>
        <w:spacing w:after="0" w:line="375" w:lineRule="auto"/>
        <w:rPr>
          <w:sz w:val="20"/>
          <w:szCs w:val="20"/>
          <w:color w:val="auto"/>
        </w:rPr>
      </w:pPr>
      <w:r>
        <w:rPr>
          <w:rFonts w:ascii="Arial" w:cs="Arial" w:eastAsia="Arial" w:hAnsi="Arial"/>
          <w:sz w:val="18"/>
          <w:szCs w:val="18"/>
          <w:color w:val="auto"/>
        </w:rPr>
        <w:t xml:space="preserve">The estimated fair value of residential mortgage loans was $1.6 billion and $1.2 billion at June 30, 2018 and December 31, 2017, respectively. </w:t>
      </w:r>
      <w:r>
        <w:rPr>
          <w:rFonts w:ascii="Arial" w:cs="Arial" w:eastAsia="Arial" w:hAnsi="Arial"/>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has a high quality, well performing mortgage loan portfolio, with over 99% of all mortgage loans classified as performing at both June 30, 2018 and December 31, 2017. The Company defines delinquency consistent with industry practice, when mortgage loans are past due as follows: commercial and residential mortgage loans — 60 days and agricultural mortgage loans — 90 days. The Company had no commercial or agricultural mortgage loans past due and no commercial or agricultural mortgage loans in nonaccrual status at either June 30, 2018 or December 31, 2017. The recorded investment of residential mortgage loans past due and in nonaccrual status was $29 million and $32 million at June 30, 2018 and December 31, 2017, respectively. During the three months and six months ended June 30, 2018 and 2017, the Company did not have a significant amount of mortgage loans modified in a troubled debt restructuring.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of cash equivalents, which includes securities and other investments with an original or remaining maturity of three months or less at the time of purchase, was $1.3 billion and $1.4 billion at June 30,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Unrealized investment gains (losses) on fixed maturity and equity securities and the effect on DAC, VOBA, deferred sales inducements (“DSI”) and future policy benefits, that would result from the realization of the unrealized gains (losses), are included in net unrealized investment gains (losses) in AOCI.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with noncredit OTTI losses included in AOCI</w:t>
            </w:r>
          </w:p>
        </w:tc>
        <w:tc>
          <w:tcPr>
            <w:tcW w:w="240" w:type="dxa"/>
            <w:vAlign w:val="bottom"/>
          </w:tcPr>
          <w:p>
            <w:pPr>
              <w:spacing w:after="0"/>
              <w:rPr>
                <w:sz w:val="20"/>
                <w:szCs w:val="20"/>
                <w:color w:val="auto"/>
              </w:rPr>
            </w:pP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5,078</w:t>
            </w: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Amounts allocated from:</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4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right="42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change due to cumulative effect, net of income tax (1)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2018</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on which noncredit OTTI losses have been recognized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Change in net unrealized investment gains (losses)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1 for more information related to the cumulative effect of change in accounting principle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June 30, 2018 and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14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40" w:type="dxa"/>
            <w:vAlign w:val="bottom"/>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3,304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3,085</w:t>
            </w:r>
          </w:p>
        </w:tc>
      </w:tr>
      <w:tr>
        <w:trPr>
          <w:trHeight w:val="33"/>
        </w:trPr>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1440" w:type="dxa"/>
            <w:vAlign w:val="bottom"/>
            <w:tcBorders>
              <w:bottom w:val="single" w:sz="8" w:color="CCEEFF"/>
            </w:tcBorders>
            <w:shd w:val="clear" w:color="auto" w:fill="CCEEFF"/>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3,798</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1440" w:type="dxa"/>
            <w:vAlign w:val="bottom"/>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3,834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3,791</w:t>
            </w:r>
          </w:p>
        </w:tc>
      </w:tr>
      <w:tr>
        <w:trPr>
          <w:trHeight w:val="33"/>
        </w:trPr>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1440" w:type="dxa"/>
            <w:vAlign w:val="bottom"/>
            <w:tcBorders>
              <w:bottom w:val="single" w:sz="8" w:color="CCEEFF"/>
            </w:tcBorders>
            <w:shd w:val="clear" w:color="auto" w:fill="CCEEFF"/>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1440" w:type="dxa"/>
            <w:vAlign w:val="bottom"/>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3,843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3,823</w:t>
            </w: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__________________</w:t>
            </w: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and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3"/>
                <w:szCs w:val="13"/>
                <w:b w:val="1"/>
                <w:bCs w:val="1"/>
                <w:color w:val="auto"/>
              </w:rPr>
              <w:t>June 30, 2018</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2017</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264"/>
        </w:trPr>
        <w:tc>
          <w:tcPr>
            <w:tcW w:w="35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jc w:val="center"/>
              <w:ind w:right="8"/>
              <w:spacing w:after="0"/>
              <w:rPr>
                <w:sz w:val="20"/>
                <w:szCs w:val="20"/>
                <w:color w:val="auto"/>
              </w:rPr>
            </w:pPr>
            <w:r>
              <w:rPr>
                <w:rFonts w:ascii="Arial" w:cs="Arial" w:eastAsia="Arial" w:hAnsi="Arial"/>
                <w:sz w:val="13"/>
                <w:szCs w:val="13"/>
                <w:b w:val="1"/>
                <w:bCs w:val="1"/>
                <w:color w:val="auto"/>
                <w:w w:val="87"/>
              </w:rPr>
              <w:t>Remaining Tenor of Securities Lending Agreements</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6"/>
              </w:rPr>
              <w:t>Remaining Tenor of Securities Lending Agreements</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w w:val="93"/>
              </w:rPr>
              <w:t>1 Month or</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w w:val="90"/>
              </w:rPr>
              <w:t>1 Month or</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Open (1)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0"/>
              </w:rPr>
              <w:t>Less</w:t>
            </w: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1 to 6 Months</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87"/>
              </w:rPr>
              <w:t>Open (1)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0"/>
              </w:rPr>
              <w:t>Less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 to 6 Months</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Total</w:t>
            </w:r>
          </w:p>
        </w:tc>
      </w:tr>
      <w:tr>
        <w:trPr>
          <w:trHeight w:val="249"/>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8"/>
        </w:trPr>
        <w:tc>
          <w:tcPr>
            <w:tcW w:w="3540" w:type="dxa"/>
            <w:vAlign w:val="bottom"/>
            <w:shd w:val="clear" w:color="auto" w:fill="CCEEFF"/>
          </w:tcPr>
          <w:p>
            <w:pPr>
              <w:jc w:val="right"/>
              <w:ind w:right="1768"/>
              <w:spacing w:after="0"/>
              <w:rPr>
                <w:sz w:val="20"/>
                <w:szCs w:val="20"/>
                <w:color w:val="auto"/>
              </w:rPr>
            </w:pPr>
            <w:r>
              <w:rPr>
                <w:rFonts w:ascii="Arial" w:cs="Arial" w:eastAsia="Arial" w:hAnsi="Arial"/>
                <w:sz w:val="14"/>
                <w:szCs w:val="14"/>
                <w:color w:val="auto"/>
                <w:w w:val="92"/>
              </w:rPr>
              <w:t>U.S. government and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1,345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1,596</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893</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3,834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964</w:t>
            </w:r>
          </w:p>
        </w:tc>
        <w:tc>
          <w:tcPr>
            <w:tcW w:w="52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1,201</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3,791</w:t>
            </w:r>
          </w:p>
        </w:tc>
      </w:tr>
      <w:tr>
        <w:trPr>
          <w:trHeight w:val="182"/>
        </w:trPr>
        <w:tc>
          <w:tcPr>
            <w:tcW w:w="3540" w:type="dxa"/>
            <w:vAlign w:val="bottom"/>
          </w:tcPr>
          <w:p>
            <w:pPr>
              <w:jc w:val="right"/>
              <w:ind w:right="2168"/>
              <w:spacing w:after="0"/>
              <w:rPr>
                <w:sz w:val="20"/>
                <w:szCs w:val="20"/>
                <w:color w:val="auto"/>
              </w:rPr>
            </w:pPr>
            <w:r>
              <w:rPr>
                <w:rFonts w:ascii="Arial" w:cs="Arial" w:eastAsia="Arial" w:hAnsi="Arial"/>
                <w:sz w:val="14"/>
                <w:szCs w:val="14"/>
                <w:color w:val="auto"/>
                <w:w w:val="91"/>
              </w:rPr>
              <w:t>__________________</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June 30, 2018 was $1.3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U.S. government and agency securities, ABS, U.S. and foreign corporate securities, and non-agency RMBS) with 64% invested in agency RMBS, U.S. government and agency securities, short-term investments, cash equivalents or held in cash at June 30, 2018.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8,263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340" w:type="dxa"/>
            <w:vAlign w:val="bottom"/>
          </w:tcPr>
          <w:p>
            <w:pPr>
              <w:spacing w:after="0"/>
              <w:rPr>
                <w:sz w:val="20"/>
                <w:szCs w:val="20"/>
                <w:color w:val="auto"/>
              </w:rPr>
            </w:pP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14,854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14,096</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assets, primarily fixed maturity securities, on deposit with governmental authorities relating to certain policyholder liabilities, of which $71 million and $34 million of the assets on deposit balance represents restricted cash at June 30, 2018 and December 31, 2017, respectively.</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held in trust relating to certain reinsurance transactions. $27 million and $42 million of the assets held in trust balance represents restricted cash at June 30, 2018 and December 31, 2017, respectively.</w:t>
      </w:r>
    </w:p>
    <w:p>
      <w:pPr>
        <w:spacing w:after="0" w:line="62" w:lineRule="exact"/>
        <w:rPr>
          <w:rFonts w:ascii="Arial" w:cs="Arial" w:eastAsia="Arial" w:hAnsi="Arial"/>
          <w:sz w:val="18"/>
          <w:szCs w:val="18"/>
          <w:color w:val="auto"/>
        </w:rPr>
      </w:pPr>
    </w:p>
    <w:p>
      <w:pPr>
        <w:ind w:left="500" w:right="2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pledged invested assets in connection with various agreements and transactions, including funding agreements (see Note 3 of the Notes to the Consolidated and Combined Financial Statements included in the 2017 Annual Report) and derivative transactions (see Note 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invested in legal entities that are VIEs. In certain instances, the Company holds both the power to direct the most significant activities of the entity, as well as an economic interest in the entity and, as such, is deemed to be the primary beneficiary or consolidator of the entity.</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VIE’s primary beneficiary requires an evaluation of the contractual and implied rights and obligations associated with each party’s relationship with or involvement in the entity, an estimate of the entity’s expected losses and expected residual returns and the allocation of such estimates to each party involved in the entity.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Creditors or beneficial interest holders of VIEs where the Company is the primary beneficiary have no recourse to the general credit of the Company, as the Company’s obligation to the VIEs is limited to the amount of its committed investment.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total assets and total liabilities relating to VIEs for which the Company has concluded that it is the primary beneficiary and which are consolidated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5"/>
              <w:spacing w:after="0"/>
              <w:rPr>
                <w:sz w:val="20"/>
                <w:szCs w:val="20"/>
                <w:color w:val="auto"/>
              </w:rPr>
            </w:pPr>
            <w:r>
              <w:rPr>
                <w:rFonts w:ascii="Arial" w:cs="Arial" w:eastAsia="Arial" w:hAnsi="Arial"/>
                <w:sz w:val="14"/>
                <w:szCs w:val="14"/>
                <w:b w:val="1"/>
                <w:bCs w:val="1"/>
                <w:color w:val="auto"/>
                <w:w w:val="90"/>
              </w:rPr>
              <w:t>June 30, 2018</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225"/>
              <w:spacing w:after="0"/>
              <w:rPr>
                <w:sz w:val="20"/>
                <w:szCs w:val="20"/>
                <w:color w:val="auto"/>
              </w:rPr>
            </w:pPr>
            <w:r>
              <w:rPr>
                <w:rFonts w:ascii="Arial" w:cs="Arial" w:eastAsia="Arial" w:hAnsi="Arial"/>
                <w:sz w:val="14"/>
                <w:szCs w:val="14"/>
                <w:b w:val="1"/>
                <w:bCs w:val="1"/>
                <w:color w:val="auto"/>
                <w:w w:val="91"/>
              </w:rPr>
              <w:t>December 31, 2017</w:t>
            </w: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820" w:type="dxa"/>
            <w:vAlign w:val="bottom"/>
          </w:tcPr>
          <w:p>
            <w:pPr>
              <w:jc w:val="center"/>
              <w:ind w:left="265"/>
              <w:spacing w:after="0" w:line="153" w:lineRule="exact"/>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3"/>
                <w:szCs w:val="13"/>
                <w:color w:val="auto"/>
              </w:rPr>
            </w:pPr>
          </w:p>
        </w:tc>
        <w:tc>
          <w:tcPr>
            <w:tcW w:w="1120" w:type="dxa"/>
            <w:vAlign w:val="bottom"/>
          </w:tcPr>
          <w:p>
            <w:pPr>
              <w:jc w:val="center"/>
              <w:ind w:left="405"/>
              <w:spacing w:after="0" w:line="153"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center"/>
              <w:ind w:right="266"/>
              <w:spacing w:after="0" w:line="153"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3"/>
                <w:szCs w:val="13"/>
                <w:color w:val="auto"/>
              </w:rPr>
            </w:pPr>
          </w:p>
        </w:tc>
        <w:tc>
          <w:tcPr>
            <w:tcW w:w="1120" w:type="dxa"/>
            <w:vAlign w:val="bottom"/>
          </w:tcPr>
          <w:p>
            <w:pPr>
              <w:jc w:val="center"/>
              <w:ind w:right="165"/>
              <w:spacing w:after="0" w:line="153" w:lineRule="exact"/>
              <w:rPr>
                <w:sz w:val="20"/>
                <w:szCs w:val="20"/>
                <w:color w:val="auto"/>
              </w:rPr>
            </w:pPr>
            <w:r>
              <w:rPr>
                <w:rFonts w:ascii="Arial" w:cs="Arial" w:eastAsia="Arial" w:hAnsi="Arial"/>
                <w:sz w:val="14"/>
                <w:szCs w:val="14"/>
                <w:b w:val="1"/>
                <w:bCs w:val="1"/>
                <w:color w:val="auto"/>
                <w:w w:val="95"/>
              </w:rPr>
              <w:t>Total</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820" w:type="dxa"/>
            <w:vAlign w:val="bottom"/>
            <w:tcBorders>
              <w:bottom w:val="single" w:sz="8" w:color="auto"/>
            </w:tcBorders>
          </w:tcPr>
          <w:p>
            <w:pPr>
              <w:jc w:val="center"/>
              <w:ind w:left="265"/>
              <w:spacing w:after="0"/>
              <w:rPr>
                <w:sz w:val="20"/>
                <w:szCs w:val="20"/>
                <w:color w:val="auto"/>
              </w:rPr>
            </w:pPr>
            <w:r>
              <w:rPr>
                <w:rFonts w:ascii="Arial" w:cs="Arial" w:eastAsia="Arial" w:hAnsi="Arial"/>
                <w:sz w:val="14"/>
                <w:szCs w:val="14"/>
                <w:b w:val="1"/>
                <w:bCs w:val="1"/>
                <w:color w:val="auto"/>
                <w:w w:val="87"/>
              </w:rPr>
              <w:t>Assets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95"/>
              </w:rPr>
              <w:t>Liabilities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87"/>
              </w:rPr>
              <w:t>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5"/>
              </w:rPr>
              <w:t>Liabilities</w:t>
            </w: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jc w:val="right"/>
              <w:ind w:right="1703"/>
              <w:spacing w:after="0"/>
              <w:rPr>
                <w:sz w:val="20"/>
                <w:szCs w:val="20"/>
                <w:color w:val="auto"/>
              </w:rPr>
            </w:pPr>
            <w:r>
              <w:rPr>
                <w:rFonts w:ascii="Arial" w:cs="Arial" w:eastAsia="Arial" w:hAnsi="Arial"/>
                <w:sz w:val="16"/>
                <w:szCs w:val="16"/>
                <w:color w:val="auto"/>
                <w:w w:val="93"/>
              </w:rPr>
              <w:t>CSEs (assets (primarily loans) and liabilities (primarily debt)) (1)</w:t>
            </w:r>
          </w:p>
        </w:tc>
        <w:tc>
          <w:tcPr>
            <w:tcW w:w="820" w:type="dxa"/>
            <w:vAlign w:val="bottom"/>
            <w:tcBorders>
              <w:bottom w:val="single" w:sz="8" w:color="CCEEFF"/>
            </w:tcBorders>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96</w:t>
            </w:r>
          </w:p>
        </w:tc>
        <w:tc>
          <w:tcPr>
            <w:tcW w:w="1120" w:type="dxa"/>
            <w:vAlign w:val="bottom"/>
            <w:tcBorders>
              <w:bottom w:val="single" w:sz="8" w:color="CCEEFF"/>
            </w:tcBorders>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116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w:t>
            </w:r>
          </w:p>
        </w:tc>
      </w:tr>
      <w:tr>
        <w:trPr>
          <w:trHeight w:val="182"/>
        </w:trPr>
        <w:tc>
          <w:tcPr>
            <w:tcW w:w="20" w:type="dxa"/>
            <w:vAlign w:val="bottom"/>
          </w:tcPr>
          <w:p>
            <w:pPr>
              <w:spacing w:after="0"/>
              <w:rPr>
                <w:sz w:val="15"/>
                <w:szCs w:val="15"/>
                <w:color w:val="auto"/>
              </w:rPr>
            </w:pPr>
          </w:p>
        </w:tc>
        <w:tc>
          <w:tcPr>
            <w:tcW w:w="6040" w:type="dxa"/>
            <w:vAlign w:val="bottom"/>
          </w:tcPr>
          <w:p>
            <w:pPr>
              <w:jc w:val="right"/>
              <w:ind w:right="4683"/>
              <w:spacing w:after="0"/>
              <w:rPr>
                <w:sz w:val="20"/>
                <w:szCs w:val="20"/>
                <w:color w:val="auto"/>
              </w:rPr>
            </w:pPr>
            <w:r>
              <w:rPr>
                <w:rFonts w:ascii="Arial" w:cs="Arial" w:eastAsia="Arial" w:hAnsi="Arial"/>
                <w:sz w:val="14"/>
                <w:szCs w:val="14"/>
                <w:color w:val="auto"/>
                <w:w w:val="89"/>
              </w:rPr>
              <w:t>__________________</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73" w:lineRule="exact"/>
        <w:rPr>
          <w:sz w:val="20"/>
          <w:szCs w:val="20"/>
          <w:color w:val="auto"/>
        </w:rPr>
      </w:pPr>
    </w:p>
    <w:p>
      <w:pPr>
        <w:jc w:val="both"/>
        <w:ind w:left="500" w:hanging="492"/>
        <w:spacing w:after="0" w:line="312"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consolidates entities that are structured as CMBS. The assets of these entities can only be used to settle their respective liabilities, and under no circumstances is the Company liable for any principal or interest shortfalls should any arise. The Company’s exposure was limited to that of its remaining investment in these entities of $73 million and $86 million at estimated fair value at June 30, 2018 and December 31, 2017, respectively.</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Unconsolidated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relating to VIEs in which the Company holds a significant variable interest but is not the primary beneficiary and which have not been consolidated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Maximum</w:t>
            </w:r>
          </w:p>
        </w:tc>
        <w:tc>
          <w:tcPr>
            <w:tcW w:w="320" w:type="dxa"/>
            <w:vAlign w:val="bottom"/>
          </w:tcPr>
          <w:p>
            <w:pPr>
              <w:spacing w:after="0"/>
              <w:rPr>
                <w:sz w:val="13"/>
                <w:szCs w:val="13"/>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Exposure</w:t>
            </w: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to Loss (1)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to Loss (1)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AFS: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Structured Securities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11,413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11,413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11,461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11,461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and foreign 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 (3)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13,492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13,558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14,517</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86"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maximum exposure to loss relating to fixed maturity securities AFS is equal to their carrying amounts or the carrying amounts of retained interests. The maximum exposure to loss relating to other limited partnership interests and real estate joint ventures is equal to the carrying amounts plus any unfunded commitments. Such a maximum loss would be expected to occur only upon bankruptcy of the issuer or investee.</w:t>
      </w:r>
    </w:p>
    <w:p>
      <w:pPr>
        <w:spacing w:after="0" w:line="57"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these variable interests, the Company’s involvement is limited to that of a passive investor in mortgage-backed or asset-backed securities issued by trusts that do not have substantial equity.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investments is comprised of real estate joint ventures and other invested assets.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As described in Note 11, the Company makes commitments to fund partnership investments in the normal course of business. Excluding these commitments, the Company did not provide financial or other support to investees designated as VIEs during both the three months and six months ended June 30, 2018 and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ind w:left="560"/>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3"/>
              </w:rPr>
              <w:t>Six Months</w:t>
            </w:r>
          </w:p>
        </w:tc>
        <w:tc>
          <w:tcPr>
            <w:tcW w:w="9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3"/>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gridSpan w:val="3"/>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tcPr>
          <w:p>
            <w:pPr>
              <w:spacing w:after="0"/>
              <w:rPr>
                <w:sz w:val="12"/>
                <w:szCs w:val="12"/>
                <w:color w:val="auto"/>
              </w:rPr>
            </w:pPr>
          </w:p>
        </w:tc>
      </w:tr>
      <w:tr>
        <w:trPr>
          <w:trHeight w:val="192"/>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638</w:t>
            </w:r>
          </w:p>
        </w:tc>
        <w:tc>
          <w:tcPr>
            <w:tcW w:w="82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598</w:t>
            </w:r>
          </w:p>
        </w:tc>
        <w:tc>
          <w:tcPr>
            <w:tcW w:w="36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1,266</w:t>
            </w:r>
          </w:p>
        </w:tc>
        <w:tc>
          <w:tcPr>
            <w:tcW w:w="7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1,208</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220</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color w:val="auto"/>
              </w:rPr>
              <w:t>Subtotal</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810</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1,633</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Investment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color w:val="auto"/>
              </w:rPr>
              <w:t>Subtotal, net</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764</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1,544</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 — interest income — commercial mortgage loans</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17"/>
        </w:trPr>
        <w:tc>
          <w:tcPr>
            <w:tcW w:w="52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766</w:t>
            </w: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1,548</w:t>
            </w:r>
          </w:p>
        </w:tc>
      </w:tr>
      <w:tr>
        <w:trPr>
          <w:trHeight w:val="3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Related Party Investment Transactions” for discussion of related party investment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3"/>
              </w:rPr>
              <w:t>Six Months</w:t>
            </w:r>
          </w:p>
        </w:tc>
        <w:tc>
          <w:tcPr>
            <w:tcW w:w="800" w:type="dxa"/>
            <w:vAlign w:val="bottom"/>
          </w:tcPr>
          <w:p>
            <w:pPr>
              <w:spacing w:after="0"/>
              <w:rPr>
                <w:sz w:val="14"/>
                <w:szCs w:val="14"/>
                <w:color w:val="auto"/>
              </w:rPr>
            </w:pPr>
          </w:p>
        </w:tc>
      </w:tr>
      <w:tr>
        <w:trPr>
          <w:trHeight w:val="149"/>
        </w:trPr>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r>
      <w:tr>
        <w:trPr>
          <w:trHeight w:val="192"/>
        </w:trPr>
        <w:tc>
          <w:tcPr>
            <w:tcW w:w="63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4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fixed maturity securities:</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24"/>
        </w:trPr>
        <w:tc>
          <w:tcPr>
            <w:tcW w:w="6380" w:type="dxa"/>
            <w:vAlign w:val="bottom"/>
          </w:tcPr>
          <w:p>
            <w:pPr>
              <w:ind w:left="180"/>
              <w:spacing w:after="0"/>
              <w:rPr>
                <w:sz w:val="20"/>
                <w:szCs w:val="20"/>
                <w:color w:val="auto"/>
              </w:rPr>
            </w:pPr>
            <w:r>
              <w:rPr>
                <w:rFonts w:ascii="Arial" w:cs="Arial" w:eastAsia="Arial" w:hAnsi="Arial"/>
                <w:sz w:val="16"/>
                <w:szCs w:val="16"/>
                <w:color w:val="auto"/>
              </w:rPr>
              <w:t>Total OTTI losses recognized — by sector:</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6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State and political subdivision</w:t>
            </w:r>
          </w:p>
        </w:tc>
        <w:tc>
          <w:tcPr>
            <w:tcW w:w="76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OTTI losses on fixed maturity securities recognized in earnings</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 net gains (losses) on sales and disposals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(65)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r>
      <w:tr>
        <w:trPr>
          <w:trHeight w:val="217"/>
        </w:trPr>
        <w:tc>
          <w:tcPr>
            <w:tcW w:w="6380" w:type="dxa"/>
            <w:vAlign w:val="bottom"/>
          </w:tcPr>
          <w:p>
            <w:pPr>
              <w:ind w:left="200"/>
              <w:spacing w:after="0"/>
              <w:rPr>
                <w:sz w:val="20"/>
                <w:szCs w:val="20"/>
                <w:color w:val="auto"/>
              </w:rPr>
            </w:pPr>
            <w:r>
              <w:rPr>
                <w:rFonts w:ascii="Arial" w:cs="Arial" w:eastAsia="Arial" w:hAnsi="Arial"/>
                <w:sz w:val="16"/>
                <w:szCs w:val="16"/>
                <w:color w:val="auto"/>
              </w:rPr>
              <w:t>Total gains (losses) on fixed maturity securities</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(65)</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(104)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equity securities:</w:t>
            </w:r>
          </w:p>
        </w:tc>
        <w:tc>
          <w:tcPr>
            <w:tcW w:w="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Equity securities — Mark to market and net gains (losses) on sales and disposals</w:t>
            </w:r>
          </w:p>
        </w:tc>
        <w:tc>
          <w:tcPr>
            <w:tcW w:w="760" w:type="dxa"/>
            <w:vAlign w:val="bottom"/>
          </w:tcPr>
          <w:p>
            <w:pPr>
              <w:spacing w:after="0"/>
              <w:rPr>
                <w:sz w:val="20"/>
                <w:szCs w:val="20"/>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gains (losses) on equity securities</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joint ventures</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76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(10)</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r>
      <w:tr>
        <w:trPr>
          <w:trHeight w:val="217"/>
        </w:trPr>
        <w:tc>
          <w:tcPr>
            <w:tcW w:w="6380" w:type="dxa"/>
            <w:vAlign w:val="bottom"/>
          </w:tcPr>
          <w:p>
            <w:pPr>
              <w:ind w:left="360"/>
              <w:spacing w:after="0"/>
              <w:rPr>
                <w:sz w:val="20"/>
                <w:szCs w:val="20"/>
                <w:color w:val="auto"/>
              </w:rPr>
            </w:pPr>
            <w:r>
              <w:rPr>
                <w:rFonts w:ascii="Arial" w:cs="Arial" w:eastAsia="Arial" w:hAnsi="Arial"/>
                <w:sz w:val="16"/>
                <w:szCs w:val="16"/>
                <w:color w:val="auto"/>
              </w:rPr>
              <w:t>Subtotal</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(70)</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w:t>
            </w:r>
          </w:p>
        </w:tc>
        <w:tc>
          <w:tcPr>
            <w:tcW w:w="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6"/>
                <w:szCs w:val="16"/>
                <w:color w:val="auto"/>
              </w:rPr>
              <w:t>Commercial mortgage loans</w:t>
            </w:r>
          </w:p>
        </w:tc>
        <w:tc>
          <w:tcPr>
            <w:tcW w:w="760" w:type="dxa"/>
            <w:vAlign w:val="bottom"/>
          </w:tcPr>
          <w:p>
            <w:pPr>
              <w:spacing w:after="0"/>
              <w:rPr>
                <w:sz w:val="20"/>
                <w:szCs w:val="20"/>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Long-term debt — related to commercial mortgage loans</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200"/>
              <w:spacing w:after="0"/>
              <w:rPr>
                <w:sz w:val="20"/>
                <w:szCs w:val="20"/>
                <w:color w:val="auto"/>
              </w:rPr>
            </w:pPr>
            <w:r>
              <w:rPr>
                <w:rFonts w:ascii="Arial" w:cs="Arial" w:eastAsia="Arial" w:hAnsi="Arial"/>
                <w:sz w:val="16"/>
                <w:szCs w:val="16"/>
                <w:color w:val="auto"/>
              </w:rPr>
              <w:t>Non-investment portfolio gains (losses)</w:t>
            </w:r>
          </w:p>
        </w:tc>
        <w:tc>
          <w:tcPr>
            <w:tcW w:w="76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Subtotal</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Total net investment gains (losses)</w:t>
            </w:r>
          </w:p>
        </w:tc>
        <w:tc>
          <w:tcPr>
            <w:tcW w:w="76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(75)</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2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(55)</w:t>
            </w:r>
          </w:p>
        </w:tc>
      </w:tr>
      <w:tr>
        <w:trPr>
          <w:trHeight w:val="33"/>
        </w:trPr>
        <w:tc>
          <w:tcPr>
            <w:tcW w:w="63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 Related Party Investment Transactions” for discussion of related party net investment gains (losses) related to transfers of invested assets.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and Impairments of Fixed Maturity Securities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4"/>
                <w:szCs w:val="14"/>
                <w:color w:val="auto"/>
              </w:rPr>
            </w:pPr>
          </w:p>
        </w:tc>
        <w:tc>
          <w:tcPr>
            <w:tcW w:w="1120" w:type="dxa"/>
            <w:vAlign w:val="bottom"/>
            <w:gridSpan w:val="3"/>
          </w:tcPr>
          <w:p>
            <w:pPr>
              <w:jc w:val="center"/>
              <w:ind w:left="303"/>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jc w:val="center"/>
              <w:ind w:left="423"/>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ind w:left="243"/>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43"/>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303"/>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2,476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 Rollforward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table below presents a rollforward of the cumulative credit loss component of OTTI loss recognized in earnings on fixed maturity securities still held for which a portion of the OTTI loss was recognized in other comprehensive income (“OCI”):</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3"/>
          </w:tcPr>
          <w:p>
            <w:pPr>
              <w:jc w:val="center"/>
              <w:ind w:right="222"/>
              <w:spacing w:after="0"/>
              <w:rPr>
                <w:sz w:val="20"/>
                <w:szCs w:val="20"/>
                <w:color w:val="auto"/>
              </w:rPr>
            </w:pPr>
            <w:r>
              <w:rPr>
                <w:rFonts w:ascii="Arial" w:cs="Arial" w:eastAsia="Arial" w:hAnsi="Arial"/>
                <w:sz w:val="14"/>
                <w:szCs w:val="14"/>
                <w:b w:val="1"/>
                <w:bCs w:val="1"/>
                <w:color w:val="auto"/>
                <w:w w:val="93"/>
              </w:rPr>
              <w:t>Three Months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r>
      <w:tr>
        <w:trPr>
          <w:trHeight w:val="149"/>
        </w:trPr>
        <w:tc>
          <w:tcPr>
            <w:tcW w:w="6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22"/>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6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7"/>
              </w:rPr>
              <w:t>Sales (maturities, pay downs or prepayments) of securities previously impaired as credit loss OTTI</w:t>
            </w:r>
          </w:p>
        </w:tc>
        <w:tc>
          <w:tcPr>
            <w:tcW w:w="6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680" w:type="dxa"/>
            <w:vAlign w:val="bottom"/>
            <w:tcBorders>
              <w:top w:val="single" w:sz="8" w:color="auto"/>
            </w:tcBorders>
          </w:tcPr>
          <w:p>
            <w:pPr>
              <w:jc w:val="right"/>
              <w:ind w:right="50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ind w:right="502"/>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r>
      <w:tr>
        <w:trPr>
          <w:trHeight w:val="33"/>
        </w:trPr>
        <w:tc>
          <w:tcPr>
            <w:tcW w:w="6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previously transferred invested assets primarily consisting of fixed maturity securities to former affiliates, which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1"/>
              </w:rPr>
              <w:t>Three Months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r>
      <w:tr>
        <w:trPr>
          <w:trHeight w:val="149"/>
        </w:trPr>
        <w:tc>
          <w:tcPr>
            <w:tcW w:w="6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2"/>
          </w:tcPr>
          <w:p>
            <w:pPr>
              <w:jc w:val="right"/>
              <w:ind w:right="461"/>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to former affiliates</w:t>
            </w:r>
          </w:p>
        </w:tc>
        <w:tc>
          <w:tcPr>
            <w:tcW w:w="6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Amortized cost of invested assets transferred to former affiliates</w:t>
            </w:r>
          </w:p>
        </w:tc>
        <w:tc>
          <w:tcPr>
            <w:tcW w:w="680" w:type="dxa"/>
            <w:vAlign w:val="bottom"/>
          </w:tcPr>
          <w:p>
            <w:pPr>
              <w:jc w:val="right"/>
              <w:ind w:right="501"/>
              <w:spacing w:after="0"/>
              <w:rPr>
                <w:sz w:val="20"/>
                <w:szCs w:val="20"/>
                <w:color w:val="auto"/>
              </w:rPr>
            </w:pPr>
            <w:r>
              <w:rPr>
                <w:rFonts w:ascii="Arial" w:cs="Arial" w:eastAsia="Arial" w:hAnsi="Arial"/>
                <w:sz w:val="16"/>
                <w:szCs w:val="16"/>
                <w:color w:val="auto"/>
                <w:w w:val="89"/>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81"/>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294</w:t>
            </w: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investment gains (losses) recognized on transfers</w:t>
            </w: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2017, the Company had $1.1 billion of loans due from MetLife, Inc., which were included in other invested assets. These loans were carried at fixed interest rates of 4.21% and 5.10%, payable semiannually, and were due on September 30, 2032 and December 31, 2033, respectively. In April 2017, these loans were satisfied in a non-cash exchange for $1.1 billion of notes due to MetLife, Inc. See Note 9 of the Notes to the Consolidated and Combined Financial Statements included in the 2017 Annual Report.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2017, Metropolitan Life Insurance Company (“MLIC”), a former affiliate, recaptured risks related to guaranteed minimum benefit guarantees on certain variable annuities being reinsured by the Company. The Company transferred invested assets and cash and cash equivalents which are included in the table above. See Note 12 for additional information related to these transfers.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for $286 million. The operating joint venture was accounted for under the equity method and included in other invested assets. This sale resulted in an increase in additional paid-in capital of $202 million in the first quarter of 2017.</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receives investment administrative services from MetLife Investment Advisors, LLC (“MLIA”), which was considered a related party investment manager until the completion of the MetLife Divestiture. The related investment administrative service charges were $26 million and $50 million for the three months and six months ended June 30, 2018, respectively, and $24 million and $49 million for the three months and six months ended June 30, 2017, respectively. See Note 1 regarding the MetLife Divestiture.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Accruals on derivatives are generally recorded in accrued investment income or within other liabilities. However, accruals that are not scheduled to settle within one year are included with the derivatives carrying value in other invested assets or other liabilities.</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If a derivative is not designated as an accounting hedge or its use in managing risk does not qualify for hedge accounting, changes in the estimated fair value of the derivative are generally reported in net derivative gains (losses) except for economic hedges of variable annuity guarantees which are presented in future policy benefits and claims.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Hedge Accounting</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 The Company also designates derivatives as a hedge of the estimated fair value of a recognized asset or liabilities (fair value hedge). When a derivative is designated as fair value hedge and is determined to be highly effective, changes in fair value are recorded in net derivative gains (losses), consistent with the change in estimated fair value of the hedged item attributable to the designated risk being hedged.</w:t>
      </w:r>
    </w:p>
    <w:p>
      <w:pPr>
        <w:spacing w:after="0" w:line="5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and the method that will be used to measure ineffectiveness.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4" w:right="239" w:bottom="1440" w:gutter="0" w:footer="0" w:header="0"/>
        </w:sectPr>
      </w:pPr>
    </w:p>
    <w:bookmarkStart w:id="27" w:name="page28"/>
    <w:bookmarkEnd w:id="2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81"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sells variable annuities and issues certain insurance products and investment contracts and is a party to certain reinsurance agreements that have embedded derivatives. The Company assesses each identified embedded derivative to determine whether it is required to be bifurcated. The embedded derivative is bifurcated from the host contract and accounted for as a freestanding derivative if:</w:t>
      </w:r>
    </w:p>
    <w:p>
      <w:pPr>
        <w:spacing w:after="0" w:line="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combined instrument is not accounted for in its entirety at estimated fair value with changes in estimated fair value recorded in earnings;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embedded derivative are not clearly and closely related to the economic characteristics of the host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separate instrument with the same terms as the embedded derivative would qualify as a derivative instrument.</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Such embedded derivatives are carried on the balance sheet at estimated fair value with the host contract and changes in their estimated fair value are generally reported in net derivative gains (losses), except for those in policyholder benefits and claims related to ceded reinsurance of GMIB.</w:t>
      </w:r>
    </w:p>
    <w:p>
      <w:pPr>
        <w:spacing w:after="0" w:line="16"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See “— Variable Annuity Guarantees” in Note 1 of the Notes to the Consolidated and Combined Financial Statements included in the 2017 Annual Report for additional information on the accounting policy for embedded derivatives bifurcated from variable annuity host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exposed to various risks relating to its ongoing business operations, including interest rate, foreign currency exchange rate, credit and equity market. The Company uses a variety of strategies to manage these risks, including the use of derivatives.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interest rate derivatives to reduce its exposure to changes in interest rates, including interest rate swaps, interest rate total return swaps, caps, floors, swaptions, futures and forwards.</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4" w:right="239" w:bottom="1440" w:gutter="0" w:footer="0" w:header="0"/>
        </w:sectPr>
      </w:pPr>
    </w:p>
    <w:bookmarkStart w:id="28" w:name="page29"/>
    <w:bookmarkEnd w:id="2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Interest rate total return swaps are swaps whereby the Company agrees with another party to exchange, at specified intervals, the difference between the economic risk and reward of an asset or a market index and the LIBOR (London Interbank Offered Rate),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8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46"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In exchange-traded interest rate (Treasury and swap) futures transactions, the Company agrees to purchase or sell a specified number of contracts, the value of which is determined by the different classes of interest rate securities. The Company enters into exchange-traded futures with regulated futures commission merchants that are members of the exchange. Exchange-traded interest rate (Treasury and swap)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or swap curve performance, and to hedge minimum guarantees embedded in certain variable annuity products offered by the Company. The Company utilizes exchange-traded interest rate futures in nonqualifying hedging relationships.</w:t>
      </w:r>
    </w:p>
    <w:p>
      <w:pPr>
        <w:spacing w:after="0" w:line="70"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 lesser extent, the Company uses foreign currency forwards in nonqualifying hedging relationships.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written credit default swaps to create synthetic credit investments that are either more expensive to acquire or otherwise unavailable in the cash markets. These transactions are a combination of a derivative and one or more cash instruments, such as U.S. government and agency securities or other fixed maturity securities. These credit default swaps are not designated as hedging instruments.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4" w:right="239" w:bottom="1440" w:gutter="0" w:footer="0" w:header="0"/>
        </w:sectPr>
      </w:pPr>
    </w:p>
    <w:bookmarkStart w:id="29" w:name="page30"/>
    <w:bookmarkEnd w:id="2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62"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Equity index options are used by the Company primarily to hedge minimum guarantees embedded in certain variable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and to pledge initial margin based on futures exchange requirements.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85"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an equity total return swap, the Company agrees with another party to exchange, at specified intervals, the difference between the economic risk and reward of an asset or a market index and the LIBOR,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create synthetic investments. The Company utilizes equity total return swaps in nonqualifying hedging relationships.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4" w:right="239" w:bottom="1440" w:gutter="0" w:footer="0" w:header="0"/>
        </w:sectPr>
      </w:pPr>
    </w:p>
    <w:bookmarkStart w:id="30" w:name="page31"/>
    <w:bookmarkEnd w:id="3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primary underlying risk exposure, gross notional amount, and estimated fair value of the Company’s derivatives, excluding embedded derivatives, held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June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31, 2017</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Gross</w:t>
            </w:r>
          </w:p>
        </w:tc>
        <w:tc>
          <w:tcPr>
            <w:tcW w:w="100" w:type="dxa"/>
            <w:vAlign w:val="bottom"/>
          </w:tcPr>
          <w:p>
            <w:pPr>
              <w:spacing w:after="0"/>
              <w:rPr>
                <w:sz w:val="19"/>
                <w:szCs w:val="19"/>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Estimated Fair Value</w:t>
            </w:r>
          </w:p>
        </w:tc>
        <w:tc>
          <w:tcPr>
            <w:tcW w:w="180" w:type="dxa"/>
            <w:vAlign w:val="bottom"/>
          </w:tcPr>
          <w:p>
            <w:pPr>
              <w:spacing w:after="0"/>
              <w:rPr>
                <w:sz w:val="19"/>
                <w:szCs w:val="19"/>
                <w:color w:val="auto"/>
              </w:rPr>
            </w:pPr>
          </w:p>
        </w:tc>
        <w:tc>
          <w:tcPr>
            <w:tcW w:w="700" w:type="dxa"/>
            <w:vAlign w:val="bottom"/>
          </w:tcPr>
          <w:p>
            <w:pPr>
              <w:jc w:val="center"/>
              <w:ind w:right="111"/>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180"/>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center"/>
              <w:ind w:right="91"/>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8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Pr>
          <w:p>
            <w:pPr>
              <w:spacing w:after="0"/>
              <w:rPr>
                <w:sz w:val="15"/>
                <w:szCs w:val="15"/>
                <w:color w:val="auto"/>
              </w:rPr>
            </w:pPr>
          </w:p>
        </w:tc>
        <w:tc>
          <w:tcPr>
            <w:tcW w:w="700" w:type="dxa"/>
            <w:vAlign w:val="bottom"/>
          </w:tcPr>
          <w:p>
            <w:pPr>
              <w:jc w:val="center"/>
              <w:ind w:right="111"/>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262"/>
        </w:trPr>
        <w:tc>
          <w:tcPr>
            <w:tcW w:w="2880" w:type="dxa"/>
            <w:vAlign w:val="bottom"/>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0"/>
              </w:rPr>
              <w:t>(In millions)</w:t>
            </w: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Fair value hedges:</w:t>
            </w: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2,169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2,196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1,854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0"/>
        </w:trPr>
        <w:tc>
          <w:tcPr>
            <w:tcW w:w="2880" w:type="dxa"/>
            <w:vAlign w:val="bottom"/>
          </w:tcPr>
          <w:p>
            <w:pPr>
              <w:ind w:left="180"/>
              <w:spacing w:after="0"/>
              <w:rPr>
                <w:sz w:val="20"/>
                <w:szCs w:val="20"/>
                <w:color w:val="auto"/>
              </w:rPr>
            </w:pPr>
            <w:r>
              <w:rPr>
                <w:rFonts w:ascii="Arial" w:cs="Arial" w:eastAsia="Arial" w:hAnsi="Arial"/>
                <w:sz w:val="14"/>
                <w:szCs w:val="14"/>
                <w:color w:val="auto"/>
              </w:rPr>
              <w:t>Total qualifying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2,341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3300" w:type="dxa"/>
            <w:vAlign w:val="bottom"/>
            <w:gridSpan w:val="2"/>
          </w:tcPr>
          <w:p>
            <w:pPr>
              <w:ind w:left="440"/>
              <w:spacing w:after="0"/>
              <w:rPr>
                <w:sz w:val="20"/>
                <w:szCs w:val="20"/>
                <w:color w:val="auto"/>
              </w:rPr>
            </w:pPr>
            <w:r>
              <w:rPr>
                <w:rFonts w:ascii="Arial" w:cs="Arial" w:eastAsia="Arial" w:hAnsi="Arial"/>
                <w:sz w:val="14"/>
                <w:szCs w:val="14"/>
                <w:color w:val="auto"/>
              </w:rPr>
              <w:t>Interest rate</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15,879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20,213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774</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caps</w:t>
            </w:r>
          </w:p>
        </w:tc>
        <w:tc>
          <w:tcPr>
            <w:tcW w:w="3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Interest rate</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Interest rate futures</w:t>
            </w:r>
          </w:p>
        </w:tc>
        <w:tc>
          <w:tcPr>
            <w:tcW w:w="3300" w:type="dxa"/>
            <w:vAlign w:val="bottom"/>
            <w:gridSpan w:val="2"/>
          </w:tcPr>
          <w:p>
            <w:pPr>
              <w:ind w:left="440"/>
              <w:spacing w:after="0"/>
              <w:rPr>
                <w:sz w:val="20"/>
                <w:szCs w:val="20"/>
                <w:color w:val="auto"/>
              </w:rPr>
            </w:pPr>
            <w:r>
              <w:rPr>
                <w:rFonts w:ascii="Arial" w:cs="Arial" w:eastAsia="Arial" w:hAnsi="Arial"/>
                <w:sz w:val="14"/>
                <w:szCs w:val="14"/>
                <w:color w:val="auto"/>
              </w:rPr>
              <w:t>Interest rate</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options</w:t>
            </w:r>
          </w:p>
        </w:tc>
        <w:tc>
          <w:tcPr>
            <w:tcW w:w="3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Interest rate</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Foreign currency swaps</w:t>
            </w:r>
          </w:p>
        </w:tc>
        <w:tc>
          <w:tcPr>
            <w:tcW w:w="3300" w:type="dxa"/>
            <w:vAlign w:val="bottom"/>
            <w:gridSpan w:val="2"/>
          </w:tcPr>
          <w:p>
            <w:pPr>
              <w:ind w:left="440"/>
              <w:spacing w:after="0"/>
              <w:rPr>
                <w:sz w:val="20"/>
                <w:szCs w:val="20"/>
                <w:color w:val="auto"/>
              </w:rPr>
            </w:pPr>
            <w:r>
              <w:rPr>
                <w:rFonts w:ascii="Arial" w:cs="Arial" w:eastAsia="Arial" w:hAnsi="Arial"/>
                <w:sz w:val="14"/>
                <w:szCs w:val="14"/>
                <w:color w:val="auto"/>
              </w:rPr>
              <w:t>Foreign currency exchange rate</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3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Foreign currency exchange rate</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Credit default swaps — purchased</w:t>
            </w:r>
          </w:p>
        </w:tc>
        <w:tc>
          <w:tcPr>
            <w:tcW w:w="3300" w:type="dxa"/>
            <w:vAlign w:val="bottom"/>
            <w:gridSpan w:val="2"/>
          </w:tcPr>
          <w:p>
            <w:pPr>
              <w:ind w:left="440"/>
              <w:spacing w:after="0"/>
              <w:rPr>
                <w:sz w:val="20"/>
                <w:szCs w:val="20"/>
                <w:color w:val="auto"/>
              </w:rPr>
            </w:pPr>
            <w:r>
              <w:rPr>
                <w:rFonts w:ascii="Arial" w:cs="Arial" w:eastAsia="Arial" w:hAnsi="Arial"/>
                <w:sz w:val="14"/>
                <w:szCs w:val="14"/>
                <w:color w:val="auto"/>
              </w:rPr>
              <w:t>Credit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3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Credit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Equity futures</w:t>
            </w:r>
          </w:p>
        </w:tc>
        <w:tc>
          <w:tcPr>
            <w:tcW w:w="3300" w:type="dxa"/>
            <w:vAlign w:val="bottom"/>
            <w:gridSpan w:val="2"/>
          </w:tcPr>
          <w:p>
            <w:pPr>
              <w:ind w:left="440"/>
              <w:spacing w:after="0"/>
              <w:rPr>
                <w:sz w:val="20"/>
                <w:szCs w:val="20"/>
                <w:color w:val="auto"/>
              </w:rPr>
            </w:pPr>
            <w:r>
              <w:rPr>
                <w:rFonts w:ascii="Arial" w:cs="Arial" w:eastAsia="Arial" w:hAnsi="Arial"/>
                <w:sz w:val="14"/>
                <w:szCs w:val="14"/>
                <w:color w:val="auto"/>
              </w:rPr>
              <w:t>Equity market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3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Equity market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1,664</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3300" w:type="dxa"/>
            <w:vAlign w:val="bottom"/>
            <w:gridSpan w:val="2"/>
          </w:tcPr>
          <w:p>
            <w:pPr>
              <w:ind w:left="440"/>
              <w:spacing w:after="0"/>
              <w:rPr>
                <w:sz w:val="20"/>
                <w:szCs w:val="20"/>
                <w:color w:val="auto"/>
              </w:rPr>
            </w:pPr>
            <w:r>
              <w:rPr>
                <w:rFonts w:ascii="Arial" w:cs="Arial" w:eastAsia="Arial" w:hAnsi="Arial"/>
                <w:sz w:val="14"/>
                <w:szCs w:val="14"/>
                <w:color w:val="auto"/>
              </w:rPr>
              <w:t>Equity market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9,713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270"/>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3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market</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250"/>
        </w:trPr>
        <w:tc>
          <w:tcPr>
            <w:tcW w:w="5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97,446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111,520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3,054</w:t>
            </w:r>
          </w:p>
        </w:tc>
      </w:tr>
      <w:tr>
        <w:trPr>
          <w:trHeight w:val="24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300" w:type="dxa"/>
            <w:vAlign w:val="bottom"/>
            <w:tcBorders>
              <w:bottom w:val="single" w:sz="8" w:color="CCEEFF"/>
            </w:tcBorders>
            <w:gridSpan w:val="2"/>
            <w:shd w:val="clear" w:color="auto" w:fill="CCEEFF"/>
          </w:tcPr>
          <w:p>
            <w:pPr>
              <w:ind w:left="30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99,787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3,129</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June 30, 2018 and December 31, 2017. The Company’s use of derivatives includes (i) derivatives that serve as macro hedges of the Company’s exposure to various risks and that generally do not qualify for hedge accounting due to the criteria required under the portfolio hedging rules;</w:t>
      </w:r>
    </w:p>
    <w:p>
      <w:pPr>
        <w:jc w:val="both"/>
        <w:ind w:firstLine="8"/>
        <w:spacing w:after="0" w:line="290" w:lineRule="auto"/>
        <w:tabs>
          <w:tab w:leader="none" w:pos="2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4" w:right="239" w:bottom="1440" w:gutter="0" w:footer="0" w:header="0"/>
        </w:sectPr>
      </w:pPr>
    </w:p>
    <w:bookmarkStart w:id="31" w:name="page32"/>
    <w:bookmarkEnd w:id="3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earned income on derivatives: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w w:val="93"/>
              </w:rPr>
              <w:t>Three Months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tcPr>
          <w:p>
            <w:pPr>
              <w:jc w:val="center"/>
              <w:ind w:left="343"/>
              <w:spacing w:after="0"/>
              <w:rPr>
                <w:sz w:val="20"/>
                <w:szCs w:val="20"/>
                <w:color w:val="auto"/>
              </w:rPr>
            </w:pPr>
            <w:r>
              <w:rPr>
                <w:rFonts w:ascii="Arial" w:cs="Arial" w:eastAsia="Arial" w:hAnsi="Arial"/>
                <w:sz w:val="14"/>
                <w:szCs w:val="14"/>
                <w:b w:val="1"/>
                <w:bCs w:val="1"/>
                <w:color w:val="auto"/>
                <w:w w:val="93"/>
              </w:rPr>
              <w:t>Six Months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3"/>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tcPr>
          <w:p>
            <w:pPr>
              <w:jc w:val="center"/>
              <w:ind w:left="323"/>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82"/>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43"/>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Qualifying hedges:</w:t>
            </w:r>
          </w:p>
        </w:tc>
        <w:tc>
          <w:tcPr>
            <w:tcW w:w="26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336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740" w:type="dxa"/>
            <w:vAlign w:val="bottom"/>
          </w:tcPr>
          <w:p>
            <w:pPr>
              <w:jc w:val="right"/>
              <w:ind w:right="5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Nonqualifying hedges:</w:t>
            </w:r>
          </w:p>
        </w:tc>
        <w:tc>
          <w:tcPr>
            <w:tcW w:w="2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Net derivative gains (losses)</w:t>
            </w:r>
          </w:p>
        </w:tc>
        <w:tc>
          <w:tcPr>
            <w:tcW w:w="2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ind w:right="63"/>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Policyholder benefits and claims</w:t>
            </w:r>
          </w:p>
        </w:tc>
        <w:tc>
          <w:tcPr>
            <w:tcW w:w="2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860" w:type="dxa"/>
            <w:vAlign w:val="bottom"/>
          </w:tcPr>
          <w:p>
            <w:pPr>
              <w:ind w:left="180"/>
              <w:spacing w:after="0"/>
              <w:rPr>
                <w:sz w:val="20"/>
                <w:szCs w:val="20"/>
                <w:color w:val="auto"/>
              </w:rPr>
            </w:pPr>
            <w:r>
              <w:rPr>
                <w:rFonts w:ascii="Arial" w:cs="Arial" w:eastAsia="Arial" w:hAnsi="Arial"/>
                <w:sz w:val="16"/>
                <w:szCs w:val="16"/>
                <w:color w:val="auto"/>
              </w:rPr>
              <w:t>Total</w:t>
            </w:r>
          </w:p>
        </w:tc>
        <w:tc>
          <w:tcPr>
            <w:tcW w:w="2620" w:type="dxa"/>
            <w:vAlign w:val="bottom"/>
          </w:tcPr>
          <w:p>
            <w:pPr>
              <w:spacing w:after="0"/>
              <w:rPr>
                <w:sz w:val="18"/>
                <w:szCs w:val="18"/>
                <w:color w:val="auto"/>
              </w:rPr>
            </w:pPr>
          </w:p>
        </w:tc>
        <w:tc>
          <w:tcPr>
            <w:tcW w:w="74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20" w:type="dxa"/>
            <w:vAlign w:val="bottom"/>
            <w:vMerge w:val="restart"/>
          </w:tcPr>
          <w:p>
            <w:pPr>
              <w:jc w:val="right"/>
              <w:ind w:right="659"/>
              <w:spacing w:after="0"/>
              <w:rPr>
                <w:sz w:val="20"/>
                <w:szCs w:val="20"/>
                <w:color w:val="auto"/>
              </w:rPr>
            </w:pPr>
            <w:r>
              <w:rPr>
                <w:rFonts w:ascii="Arial" w:cs="Arial" w:eastAsia="Arial" w:hAnsi="Arial"/>
                <w:sz w:val="18"/>
                <w:szCs w:val="18"/>
                <w:color w:val="auto"/>
              </w:rPr>
              <w:t>31</w:t>
            </w: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34" w:right="279" w:bottom="1440" w:gutter="0" w:footer="0" w:header="0"/>
        </w:sectPr>
      </w:pPr>
    </w:p>
    <w:bookmarkStart w:id="32" w:name="page33"/>
    <w:bookmarkEnd w:id="3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the amount and location of gains (losses) recognized for derivatives and gains (losses) pertaining to hedged items presented in net derivative gains (losses):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 (1)</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 (2)</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and Claims (4)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Three Months Ended June 30, 2018</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520" w:type="dxa"/>
            <w:vAlign w:val="bottom"/>
            <w:gridSpan w:val="2"/>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Three Months Ended June 30, 2017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4" w:right="239" w:bottom="1440" w:gutter="0" w:footer="0" w:header="0"/>
        </w:sectPr>
      </w:pPr>
    </w:p>
    <w:bookmarkStart w:id="33" w:name="page34"/>
    <w:bookmarkEnd w:id="3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 (1)</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 (2)</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and Claims (4)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60"/>
        </w:trPr>
        <w:tc>
          <w:tcPr>
            <w:tcW w:w="35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7620</wp:posOffset>
            </wp:positionV>
            <wp:extent cx="499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gains (losses) reclassified from AOCI for cash flow hedges.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foreign currency transaction gains (losses) on hedged items in cash flow and nonqualifying hedging relationships. Hedged items in fair value hedging relationship includes fixed rate liabilities reported in policyholder account balances or future policy benefits and fixed maturity securities. Ineffective portion of the gains (losses) recognized in income is not significant.</w:t>
      </w:r>
    </w:p>
    <w:p>
      <w:pPr>
        <w:spacing w:after="0" w:line="7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changes in estimated fair value related to economic hedges of equity method investments in joint ventures and gains (losses) reclassified from AOCI for cash flow hedges.</w:t>
      </w:r>
    </w:p>
    <w:p>
      <w:pPr>
        <w:sectPr>
          <w:pgSz w:w="11900" w:h="16838" w:orient="portrait"/>
          <w:cols w:equalWidth="0" w:num="1">
            <w:col w:w="11420"/>
          </w:cols>
          <w:pgMar w:left="240" w:top="23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34" w:right="239" w:bottom="1440" w:gutter="0" w:footer="0" w:header="0"/>
          <w:type w:val="continuous"/>
        </w:sectPr>
      </w:pPr>
    </w:p>
    <w:bookmarkStart w:id="34" w:name="page35"/>
    <w:bookmarkEnd w:id="3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variable annuity guarantees included in future policy benefits.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instances, the Company discontinued cash flow hedge accounting because the forecasted transactions were no longer probable of occurring. Because certain of the forecasted transactions also were not probable of occurring within two months of the anticipated date, the Company reclassified amounts from AOCI into net derivative gains (losses). These amounts were $0 for both the three months and six months ended June 30, 2018, and $0 and $12 million for the three months and six months ended June 30, 2017, respectively.</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June 30, 2018 and December 31, 2017, the maximum length of time over which the Company was hedging its exposure to variability in future cash flows for forecasted transactions did not exceed one year and two years, respectively.</w:t>
      </w:r>
    </w:p>
    <w:p>
      <w:pPr>
        <w:spacing w:after="0" w:line="62" w:lineRule="exact"/>
        <w:rPr>
          <w:sz w:val="20"/>
          <w:szCs w:val="20"/>
          <w:color w:val="auto"/>
        </w:rPr>
      </w:pPr>
    </w:p>
    <w:p>
      <w:pPr>
        <w:ind w:right="520" w:firstLine="324"/>
        <w:spacing w:after="0" w:line="375" w:lineRule="auto"/>
        <w:rPr>
          <w:sz w:val="20"/>
          <w:szCs w:val="20"/>
          <w:color w:val="auto"/>
        </w:rPr>
      </w:pPr>
      <w:r>
        <w:rPr>
          <w:rFonts w:ascii="Arial" w:cs="Arial" w:eastAsia="Arial" w:hAnsi="Arial"/>
          <w:sz w:val="18"/>
          <w:szCs w:val="18"/>
          <w:color w:val="auto"/>
        </w:rPr>
        <w:t xml:space="preserve">At June 30, 2018 and December 31, 2017, the balance in AOCI associated with cash flow hedges was $256 million and $239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 can terminate these contracts at any time through cash settlement with the counterparty at an amount equal to the then current estimated fair value of the credit default swaps.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June 30, 2018</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3"/>
                <w:szCs w:val="13"/>
                <w:color w:val="auto"/>
              </w:rPr>
            </w:pPr>
          </w:p>
        </w:tc>
        <w:tc>
          <w:tcPr>
            <w:tcW w:w="132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5"/>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Amount of</w:t>
            </w:r>
          </w:p>
        </w:tc>
        <w:tc>
          <w:tcPr>
            <w:tcW w:w="12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6"/>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6"/>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3"/>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677</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558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4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5"/>
              <w:spacing w:after="0"/>
              <w:rPr>
                <w:sz w:val="20"/>
                <w:szCs w:val="20"/>
                <w:color w:val="auto"/>
              </w:rPr>
            </w:pPr>
            <w:r>
              <w:rPr>
                <w:rFonts w:ascii="Arial" w:cs="Arial" w:eastAsia="Arial" w:hAnsi="Arial"/>
                <w:sz w:val="16"/>
                <w:szCs w:val="16"/>
                <w:color w:val="auto"/>
              </w:rPr>
              <w:t>1,272</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1,317</w:t>
            </w: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1,949</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1,900</w:t>
            </w: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both single name credit default swaps that may be referenced to the credit of corporations, foreign governments or state and political subdivisions and credit default swaps referencing indices. The rating agency designations are based on availability and the midpoint of the applicable ratings among Moody’s Investors Service (“Moody’s”), Standard &amp; Poor’s Global Ratings (“S&amp;P”) and Fitch Ratings. If no rating is available from a rating agency, then an internally developed rating is used.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4" w:right="239" w:bottom="1440" w:gutter="0" w:footer="0" w:header="0"/>
        </w:sectPr>
      </w:pPr>
    </w:p>
    <w:bookmarkStart w:id="35" w:name="page36"/>
    <w:bookmarkEnd w:id="3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Subject to a Master Netting Arrangement or a Similar Arrangement</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64"/>
        </w:trPr>
        <w:tc>
          <w:tcPr>
            <w:tcW w:w="6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estimated fair value of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3,211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and Exchange-traded (1), (6)</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Arial" w:cs="Arial" w:eastAsia="Arial" w:hAnsi="Arial"/>
                <w:sz w:val="16"/>
                <w:szCs w:val="16"/>
                <w:color w:val="auto"/>
              </w:rPr>
              <w:t>Total gross estimated fair value of derivatives (1)</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Amounts offset on the consolidated balance sheets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Arial" w:cs="Arial" w:eastAsia="Arial" w:hAnsi="Arial"/>
                <w:sz w:val="16"/>
                <w:szCs w:val="16"/>
                <w:color w:val="auto"/>
              </w:rPr>
              <w:t>Estimated fair value of derivatives presented on the consolidated balance sheets (1), (6)</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amounts not offset on the consolidated balance sheets: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Gross estimated fair value of derivatives: (2)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collateral: (3), (4)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Securities collateral: (5)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amount after application of master netting agreements and collateral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June 30, 2018 and December 31, 2017, derivative assets included income or (expense) accruals reported in accrued investment income or in other liabilities of $45 million and $49 million, respectively, and derivative liabilities included (income) or expense accruals reported in accrued investment income or in other liabilities of ($7) million and ($8) million,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Estimated fair value of derivatives is limited to the amount that is subject to set-off and includes income or expense accruals.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4" w:right="239" w:bottom="1440" w:gutter="0" w:footer="0" w:header="0"/>
        </w:sectPr>
      </w:pPr>
    </w:p>
    <w:bookmarkStart w:id="36" w:name="page37"/>
    <w:bookmarkEnd w:id="3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500" w:hanging="492"/>
        <w:spacing w:after="0" w:line="25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June 30, 2018 and December 31, 2017, the Company received excess cash collateral of $191 million and $94 million, respectively, and provided excess cash collateral of $0 and $5 million, respectively, which is not included in the table above due to the foregoing limitation.</w:t>
      </w:r>
    </w:p>
    <w:p>
      <w:pPr>
        <w:spacing w:after="0" w:line="80" w:lineRule="exact"/>
        <w:rPr>
          <w:rFonts w:ascii="Arial" w:cs="Arial" w:eastAsia="Arial" w:hAnsi="Arial"/>
          <w:sz w:val="18"/>
          <w:szCs w:val="18"/>
          <w:color w:val="auto"/>
        </w:rPr>
      </w:pPr>
    </w:p>
    <w:p>
      <w:pPr>
        <w:jc w:val="both"/>
        <w:ind w:left="500" w:hanging="492"/>
        <w:spacing w:after="0" w:line="270"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Securities collateral received by the Company is held in separate custodial accounts and is not recorded on the balance sheet. Subject to certain constraints, the Company is permitted by contract to sell or re-pledge this collateral, but at June 30, 2018,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June 30, 2018 and December 31, 2017, the Company received excess securities collateral with an estimated fair value of $170 million and $337 million, respectively, for its OTC-bilateral derivatives, which are not included in the table above due to the foregoing limitation. At June 30, 2018 and December 31, 2017, the Company provided excess securities collateral with an estimated fair value of $328 million and $471 million, respectively, for its OTC-bilateral derivatives, and $150 million and $427 million, respectively, for its OTC-cleared derivatives, and $82 million and $118 million, respectively, for its exchange-traded derivatives, which are not included in the table above due to the foregoing limitation.</w:t>
      </w:r>
    </w:p>
    <w:p>
      <w:pPr>
        <w:spacing w:after="0" w:line="69"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January 16, 2018, the London Clearing House (“LCH”) amended its rulebook, resulting in the characterization of variation margin transfers as settlement payments, as opposed to adjustments to collateral. These amendments impacted the accounting treatment of the Company’s centrally cleared derivatives, for which the LCH serves as the central clearing party.</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collateral arrangements for its OTC-bilateral derivatives generally require the counterparty in a net liability position, after considering the effect of netting agreements, to pledge collateral when the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the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the Company would not be required to post additional collateral as a result of a downgrade in its financial strength rating. OTC-bilateral derivatives that are not subject to collateral agreements are excluded from this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130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1,377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1,138</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Fixed maturity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1,690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1,414</w:t>
            </w:r>
          </w:p>
        </w:tc>
      </w:tr>
      <w:tr>
        <w:trPr>
          <w:trHeight w:val="182"/>
        </w:trPr>
        <w:tc>
          <w:tcPr>
            <w:tcW w:w="20" w:type="dxa"/>
            <w:vAlign w:val="bottom"/>
          </w:tcPr>
          <w:p>
            <w:pPr>
              <w:spacing w:after="0"/>
              <w:rPr>
                <w:sz w:val="15"/>
                <w:szCs w:val="15"/>
                <w:color w:val="auto"/>
              </w:rPr>
            </w:pPr>
          </w:p>
        </w:tc>
        <w:tc>
          <w:tcPr>
            <w:tcW w:w="7880" w:type="dxa"/>
            <w:vAlign w:val="bottom"/>
          </w:tcPr>
          <w:p>
            <w:pPr>
              <w:jc w:val="right"/>
              <w:ind w:right="6521"/>
              <w:spacing w:after="0"/>
              <w:rPr>
                <w:sz w:val="20"/>
                <w:szCs w:val="20"/>
                <w:color w:val="auto"/>
              </w:rPr>
            </w:pPr>
            <w:r>
              <w:rPr>
                <w:rFonts w:ascii="Arial" w:cs="Arial" w:eastAsia="Arial" w:hAnsi="Arial"/>
                <w:sz w:val="14"/>
                <w:szCs w:val="14"/>
                <w:color w:val="auto"/>
                <w:w w:val="89"/>
              </w:rPr>
              <w:t>__________________</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34" w:right="239" w:bottom="1440" w:gutter="0" w:footer="0" w:header="0"/>
        </w:sectPr>
      </w:pPr>
    </w:p>
    <w:bookmarkStart w:id="37" w:name="page38"/>
    <w:bookmarkEnd w:id="3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issues certain products or purchases certain investments that contain embedded derivatives that are required to be separated from their host contracts and accounted for as freestanding derivatives. These host contracts principally include: variable annuities with guaranteed minimum benefits, including GMWBs, GMABs and certain GMIBs; related party ceded reinsurance of guaranteed minimum benefits related to GMWBs, GMABs and certain GMIBs; related party assumed reinsurance of guaranteed minimum benefits related to GMWBs and certain GMIBs; funds withheld on assumed and ceded reinsurance; assumed reinsurance on fixed deferred annuities; fixed annuities with equity-indexed returns; and certain debt and equity securities.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and balance sheet location of the Company’s embedded derivatives that have been separated from their host contracts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32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Embedded derivatives within asset host contracts:</w:t>
            </w: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Ceded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embedded in debt or equity securities (1)</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Embedded derivatives within asset host contracts</w:t>
            </w:r>
          </w:p>
        </w:tc>
        <w:tc>
          <w:tcPr>
            <w:tcW w:w="3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Direct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Assumed reinsurance on fixed deferred annuities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Fixed annuities with equity indexed returns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26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319"/>
              <w:spacing w:after="0"/>
              <w:rPr>
                <w:sz w:val="20"/>
                <w:szCs w:val="20"/>
                <w:color w:val="auto"/>
              </w:rPr>
            </w:pPr>
            <w:r>
              <w:rPr>
                <w:rFonts w:ascii="Arial" w:cs="Arial" w:eastAsia="Arial" w:hAnsi="Arial"/>
                <w:sz w:val="14"/>
                <w:szCs w:val="14"/>
                <w:color w:val="auto"/>
                <w:w w:val="91"/>
              </w:rPr>
              <w:t>__________________</w:t>
            </w: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gridSpan w:val="2"/>
            <w:vMerge w:val="continue"/>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the adoption of new guidance related to the recognition and measurement of financial instruments (see Note 1), effective January 1, 2018, the Company is no longer required to bifurcate and account separately for derivatives embedded in equity securities. Beginning January 1, 2018, the entire change in the estimated fair value of equity securities is recognized as a component of net investment gains and losses.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estimated fair value related to embedded derivatives: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left="327"/>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r>
      <w:tr>
        <w:trPr>
          <w:trHeight w:val="149"/>
        </w:trPr>
        <w:tc>
          <w:tcPr>
            <w:tcW w:w="6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left="267"/>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r>
      <w:tr>
        <w:trPr>
          <w:trHeight w:val="192"/>
        </w:trPr>
        <w:tc>
          <w:tcPr>
            <w:tcW w:w="6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left="327"/>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 (1), (2)</w:t>
            </w: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196</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6"/>
                <w:szCs w:val="16"/>
                <w:color w:val="auto"/>
              </w:rPr>
              <w:t>702</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308</w:t>
            </w:r>
          </w:p>
        </w:tc>
      </w:tr>
      <w:tr>
        <w:trPr>
          <w:trHeight w:val="251"/>
        </w:trPr>
        <w:tc>
          <w:tcPr>
            <w:tcW w:w="686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2"/>
        </w:trPr>
        <w:tc>
          <w:tcPr>
            <w:tcW w:w="6860" w:type="dxa"/>
            <w:vAlign w:val="bottom"/>
          </w:tcPr>
          <w:p>
            <w:pPr>
              <w:jc w:val="right"/>
              <w:ind w:right="5482"/>
              <w:spacing w:after="0"/>
              <w:rPr>
                <w:sz w:val="20"/>
                <w:szCs w:val="20"/>
                <w:color w:val="auto"/>
              </w:rPr>
            </w:pPr>
            <w:r>
              <w:rPr>
                <w:rFonts w:ascii="Arial" w:cs="Arial" w:eastAsia="Arial" w:hAnsi="Arial"/>
                <w:sz w:val="14"/>
                <w:szCs w:val="14"/>
                <w:color w:val="auto"/>
                <w:w w:val="91"/>
              </w:rPr>
              <w:t>__________________</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92" w:lineRule="exact"/>
        <w:rPr>
          <w:sz w:val="20"/>
          <w:szCs w:val="20"/>
          <w:color w:val="auto"/>
        </w:rPr>
      </w:pPr>
    </w:p>
    <w:p>
      <w:pPr>
        <w:jc w:val="both"/>
        <w:ind w:left="500" w:hanging="492"/>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valuation of direct and assumed guaranteed minimum benefits includes a nonperformance risk adjustment. The amounts included in net derivative gains (losses) in connection with this adjustment were $49 million and $34 million for the three months and six months ended June 30, 2018, respectively, and ($32) million and ($72) million for the three months and six months ended June 30, 2017, respectively.</w:t>
      </w:r>
    </w:p>
    <w:p>
      <w:pPr>
        <w:spacing w:after="0" w:line="57" w:lineRule="exact"/>
        <w:rPr>
          <w:rFonts w:ascii="Arial" w:cs="Arial" w:eastAsia="Arial" w:hAnsi="Arial"/>
          <w:sz w:val="17"/>
          <w:szCs w:val="17"/>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12 for discussion of related party net derivative gains (losses).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including those items for which the Company has elected the FVO, are presented below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2018</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22,666</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23,504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4,940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7,518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12,458</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5,930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6,964</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4,077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CMBS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4,940</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54,255</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3,148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62,343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Real estate joint ventures (1)</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limited partnership interests (1)</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assets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1,904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111,401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111,587</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5,252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167,736</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3,648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176,636</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(2)</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2,787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Long-term debt of CSEs — FVO</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2,792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4,653</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234" w:right="2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December 31, 2017</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22,048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8,304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16,292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5,935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CMBS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3,287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8,304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53,455</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40"/>
              <w:spacing w:after="0"/>
              <w:rPr>
                <w:sz w:val="20"/>
                <w:szCs w:val="20"/>
                <w:color w:val="auto"/>
              </w:rPr>
            </w:pPr>
            <w:r>
              <w:rPr>
                <w:rFonts w:ascii="Arial" w:cs="Arial" w:eastAsia="Arial" w:hAnsi="Arial"/>
                <w:sz w:val="14"/>
                <w:szCs w:val="14"/>
                <w:color w:val="auto"/>
              </w:rPr>
              <w:t>Equity securities (4)</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assets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2,079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117,842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8,890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173,666</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186,317</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(2)</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2,691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Long-term debt of CSEs — FVO</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5,027</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-98425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8"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 At June 30, 2018 and December 31, 2017, debt and equity securities also included embedded derivatives of $0 and ($52) million, respectively.</w:t>
      </w:r>
    </w:p>
    <w:p>
      <w:pPr>
        <w:sectPr>
          <w:pgSz w:w="11900" w:h="16838" w:orient="portrait"/>
          <w:cols w:equalWidth="0" w:num="1">
            <w:col w:w="11420"/>
          </w:cols>
          <w:pgMar w:left="240" w:top="288" w:right="239" w:bottom="933"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88" w:right="239" w:bottom="933"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reclassified Federal Home Loan Bank stock in the prior period from equity securities to other invested assets.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MLIA.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based on changing market conditions. In addition, the Chief Accounting Officer periodically reports to the Audit Committee of Brighthouse’s Board of Directors regarding compliance with fair value accounting standards.</w:t>
      </w:r>
    </w:p>
    <w:p>
      <w:pPr>
        <w:spacing w:after="0" w:line="85" w:lineRule="exact"/>
        <w:rPr>
          <w:sz w:val="20"/>
          <w:szCs w:val="20"/>
          <w:color w:val="auto"/>
        </w:rPr>
      </w:pPr>
    </w:p>
    <w:p>
      <w:pPr>
        <w:jc w:val="both"/>
        <w:ind w:left="180" w:firstLine="324"/>
        <w:spacing w:after="0" w:line="287" w:lineRule="auto"/>
        <w:rPr>
          <w:sz w:val="20"/>
          <w:szCs w:val="20"/>
          <w:color w:val="auto"/>
        </w:rPr>
      </w:pPr>
      <w:r>
        <w:rPr>
          <w:rFonts w:ascii="Arial" w:cs="Arial" w:eastAsia="Arial" w:hAnsi="Arial"/>
          <w:sz w:val="16"/>
          <w:szCs w:val="16"/>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MLIA performs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Fixed maturity securities priced using independent non-binding broker quotations represent less than 1% of the total estimated fair value of fixed maturity securities and 4% of the total estimated fair value of Level 3 fixed maturity securities at June 30, 2018.</w:t>
      </w:r>
    </w:p>
    <w:p>
      <w:pPr>
        <w:spacing w:after="0" w:line="65"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MLIA also applies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MLIA will use the last available price.</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 reviews outputs of MLIA’s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2018.</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8"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18"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u w:val="single" w:color="auto"/>
          <w:color w:val="auto"/>
        </w:rPr>
        <w:t>Equity securities, short-term investments, real estate joint ventures, other limited partnership interests, commercial mortgage loans held by CSEs — FVO and long-term debt of CSEs — FVO</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1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Real Estate Joint Ventures and Other Limited Partnership Interests: </w:t>
      </w:r>
      <w:r>
        <w:rPr>
          <w:rFonts w:ascii="Arial" w:cs="Arial" w:eastAsia="Arial" w:hAnsi="Arial"/>
          <w:sz w:val="18"/>
          <w:szCs w:val="18"/>
          <w:color w:val="auto"/>
        </w:rPr>
        <w:t>Fair values is generally based on the Company’s share of the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(“NAV”) as provided on the financial statements of the investees.</w:t>
      </w:r>
    </w:p>
    <w:p>
      <w:pPr>
        <w:spacing w:after="0" w:line="11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Commercial mortgage loans held by CSEs — FVO and long-term debt of CSEs — FVO: </w:t>
      </w:r>
      <w:r>
        <w:rPr>
          <w:rFonts w:ascii="Arial" w:cs="Arial" w:eastAsia="Arial" w:hAnsi="Arial"/>
          <w:sz w:val="18"/>
          <w:szCs w:val="18"/>
          <w:color w:val="auto"/>
        </w:rPr>
        <w:t>Fair value is determined using third-party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services, with the primary input being quoted securitization market price determined principally by independent pricing services using observable inputs or quoted prices or reported NAV provided by the fund managers.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8"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Embedded derivatives principally include certain direct, assumed and ceded variable annuity guarantees, equity or bond indexed crediting rates within certain annuity contracts, and those related to funds withheld on ceded reinsurance agreements. Embedded derivatives are recorded at estimated fair value with changes in estimated fair value reported in net income.</w:t>
      </w:r>
    </w:p>
    <w:p>
      <w:pPr>
        <w:spacing w:after="0" w:line="73"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3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Company’s actuarial department calculates the fair value of these embedded derivatives, which are estimated as the present value of projected future benefits minus the present value of projected future fees using actuarial and capital market assumptions including expectations concerning policyholder behavior. The calculation is based on in-force business, and is performed using standard actuarial valuation software which projects future cash flows from the embedded derivative over multiple risk neutral stochastic scenarios using observable risk-free rates.</w:t>
      </w:r>
    </w:p>
    <w:p>
      <w:pPr>
        <w:spacing w:after="0" w:line="6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Brighthouse Financial, Inc.’s debt. These observable spreads are then adjusted to reflect the priority of these liabilities and claims paying ability of the issuing insurance subsidiaries as compared to Brighthouse Financial, Inc.’s overall financial strength.</w:t>
      </w:r>
    </w:p>
    <w:p>
      <w:pPr>
        <w:spacing w:after="0" w:line="63"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 These guarantees may be more costly than expected in volatile or declining equity markets. Market conditions including, but not limited to, changes in interest rates, equity indices, market volatility and foreign currency exchange rates; changes in nonperformance risk; and variations in actuarial assumptions regarding policyholder behavior, mortality and risk margins related to non-capital market inputs, may result in significant fluctuations in the estimated fair value of the guarantees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recaptured from a former affiliate the risk associated with certain GMIBs. These embedded derivatives are included in policyholder account balances on the consolidated balance sheets with changes in estimated fair value reported in net derivative gains (losses). The value of the embedded derivatives on these recaptured risks is determined using a methodology consistent with that described previously for the guarantees directly written by the Company.</w:t>
      </w:r>
    </w:p>
    <w:p>
      <w:pPr>
        <w:spacing w:after="0" w:line="79"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The Company ceded to a former affiliate the risk associated with certain of the GMIBs, GMABs and GMWBs described above that are also accounted for as embedded derivatives. In addition to ceding risks associated with guarantees that are accounted for as embedded derivatives, the Company also ceded, to a former affiliate, certain directly written GMIBs that are accounted for as insurance (i.e., not as embedded derivatives), but where the reinsurance agreement contains an embedded derivative. These embedded derivatives are included within premiums, reinsurance and other receivables on the consolidated balance sheets with changes in estimated fair value reported in net derivative gains (losses). The value of the embedded derivatives on the ceded risk is determined using a methodology consistent with that described previously for the guarantees directly written by the Company with the exception of the input for nonperformance risk that reflects the credit of the reinsurer.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8"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Equity securities, short-term investments, real estate joint ventures, other limited partnership interests, commercial mortgage loans held by CSEs — FVO and long-term debt of CSEs — FVO.” The estimated fair value of these embedded derivatives is included, along with their funds withheld hosts, in other liabilities on the consolidated balance sheets with changes in estimated fair value recorded in net derivative gains (losses). Changes in the credit spreads on the underlying assets, interest rates and market volatility may result in significant fluctuations in the estimated fair value of these embedded derivatives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certain annuity contracts which allow the policyholder to participate in returns from equity indices. These equity indexed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The estimated fair value of the embedded equity indexed derivatives, based on the present value of future equity returns to the policyholder using actuarial and present value assumptions including expectations concerning policyholder behavior, is calculated by the Company’s actuarial department. The calculation is based on in-force business and uses standard capital market techniques, such as Black-Scholes, to calculate the value of the portion of the embedded derivative for which the terms are set. The portion of the embedded derivative covering the period beyond where terms are set is calculated as the present value of amounts expected to be spent to provide equity indexed returns in those periods. The valuation of these embedded derivatives also includes the establishment of a risk margin, as well as changes in nonperformance risk.</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Transfers between Levels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Overall, transfers between levels occur when there are changes in the observability of inputs and market activity. Transfers into or out of any level are assumed to occur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between Levels 1 and 2:</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For assets and liabilities measured at estimated fair value and still held at June 30, 2018 and December 31, 2017, transfers between Levels 1 and 2 were not significant.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8"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2"/>
              </w:rPr>
              <w:t>June 30, 2018</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4"/>
            <w:vMerge w:val="restart"/>
          </w:tcPr>
          <w:p>
            <w:pPr>
              <w:ind w:left="240"/>
              <w:spacing w:after="0"/>
              <w:rPr>
                <w:sz w:val="20"/>
                <w:szCs w:val="20"/>
                <w:color w:val="auto"/>
              </w:rPr>
            </w:pPr>
            <w:r>
              <w:rPr>
                <w:rFonts w:ascii="Arial" w:cs="Arial" w:eastAsia="Arial" w:hAnsi="Arial"/>
                <w:sz w:val="10"/>
                <w:szCs w:val="10"/>
                <w:b w:val="1"/>
                <w:bCs w:val="1"/>
                <w:color w:val="auto"/>
                <w:w w:val="91"/>
              </w:rPr>
              <w:t>December 31, 2017</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Impact of</w:t>
            </w:r>
          </w:p>
        </w:tc>
        <w:tc>
          <w:tcPr>
            <w:tcW w:w="0" w:type="dxa"/>
            <w:vAlign w:val="bottom"/>
          </w:tcPr>
          <w:p>
            <w:pPr>
              <w:spacing w:after="0"/>
              <w:rPr>
                <w:sz w:val="1"/>
                <w:szCs w:val="1"/>
                <w:color w:val="auto"/>
              </w:rPr>
            </w:pPr>
          </w:p>
        </w:tc>
      </w:tr>
      <w:tr>
        <w:trPr>
          <w:trHeight w:val="59"/>
        </w:trPr>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79"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ind w:left="440"/>
              <w:spacing w:after="0"/>
              <w:rPr>
                <w:sz w:val="20"/>
                <w:szCs w:val="20"/>
                <w:color w:val="auto"/>
              </w:rPr>
            </w:pPr>
            <w:r>
              <w:rPr>
                <w:rFonts w:ascii="Arial" w:cs="Arial" w:eastAsia="Arial" w:hAnsi="Arial"/>
                <w:sz w:val="10"/>
                <w:szCs w:val="10"/>
                <w:b w:val="1"/>
                <w:bCs w:val="1"/>
                <w:color w:val="auto"/>
              </w:rPr>
              <w:t>Significant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Weighted</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Weighted</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9"/>
              </w:rPr>
              <w:t>on Estimated</w:t>
            </w: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ind w:left="200"/>
              <w:spacing w:after="0"/>
              <w:rPr>
                <w:sz w:val="20"/>
                <w:szCs w:val="20"/>
                <w:color w:val="auto"/>
              </w:rPr>
            </w:pPr>
            <w:r>
              <w:rPr>
                <w:rFonts w:ascii="Arial" w:cs="Arial" w:eastAsia="Arial" w:hAnsi="Arial"/>
                <w:sz w:val="10"/>
                <w:szCs w:val="10"/>
                <w:b w:val="1"/>
                <w:bCs w:val="1"/>
                <w:color w:val="auto"/>
              </w:rPr>
              <w:t>Valuation Techniques</w:t>
            </w:r>
          </w:p>
        </w:tc>
        <w:tc>
          <w:tcPr>
            <w:tcW w:w="18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Unobservable Inputs</w:t>
            </w:r>
          </w:p>
        </w:tc>
        <w:tc>
          <w:tcPr>
            <w:tcW w:w="4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Range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Average (1)</w:t>
            </w:r>
          </w:p>
        </w:tc>
        <w:tc>
          <w:tcPr>
            <w:tcW w:w="480" w:type="dxa"/>
            <w:vAlign w:val="bottom"/>
          </w:tcPr>
          <w:p>
            <w:pPr>
              <w:spacing w:after="0"/>
              <w:rPr>
                <w:sz w:val="10"/>
                <w:szCs w:val="10"/>
                <w:color w:val="auto"/>
              </w:rPr>
            </w:pPr>
          </w:p>
        </w:tc>
        <w:tc>
          <w:tcPr>
            <w:tcW w:w="400" w:type="dxa"/>
            <w:vAlign w:val="bottom"/>
          </w:tcPr>
          <w:p>
            <w:pPr>
              <w:jc w:val="right"/>
              <w:ind w:right="24"/>
              <w:spacing w:after="0"/>
              <w:rPr>
                <w:sz w:val="20"/>
                <w:szCs w:val="20"/>
                <w:color w:val="auto"/>
              </w:rPr>
            </w:pPr>
            <w:r>
              <w:rPr>
                <w:rFonts w:ascii="Arial" w:cs="Arial" w:eastAsia="Arial" w:hAnsi="Arial"/>
                <w:sz w:val="10"/>
                <w:szCs w:val="10"/>
                <w:b w:val="1"/>
                <w:bCs w:val="1"/>
                <w:color w:val="auto"/>
                <w:w w:val="98"/>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Average (1)</w:t>
            </w: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Fair Value (2)</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Fixed maturity securities (3)</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40"/>
              <w:spacing w:after="0"/>
              <w:rPr>
                <w:sz w:val="20"/>
                <w:szCs w:val="20"/>
                <w:color w:val="auto"/>
              </w:rPr>
            </w:pPr>
            <w:r>
              <w:rPr>
                <w:rFonts w:ascii="Arial" w:cs="Arial" w:eastAsia="Arial" w:hAnsi="Arial"/>
                <w:sz w:val="12"/>
                <w:szCs w:val="12"/>
                <w:color w:val="auto"/>
              </w:rPr>
              <w:t>U.S. corporate and foreign corporate</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Matrix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87</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3"/>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106</w:t>
            </w:r>
          </w:p>
        </w:tc>
        <w:tc>
          <w:tcPr>
            <w:tcW w:w="120" w:type="dxa"/>
            <w:vAlign w:val="bottom"/>
          </w:tcPr>
          <w:p>
            <w:pPr>
              <w:spacing w:after="0"/>
              <w:rPr>
                <w:sz w:val="14"/>
                <w:szCs w:val="14"/>
                <w:color w:val="auto"/>
              </w:rPr>
            </w:pPr>
          </w:p>
        </w:tc>
        <w:tc>
          <w:tcPr>
            <w:tcW w:w="480" w:type="dxa"/>
            <w:vAlign w:val="bottom"/>
          </w:tcPr>
          <w:p>
            <w:pPr>
              <w:jc w:val="center"/>
              <w:ind w:left="102"/>
              <w:spacing w:after="0"/>
              <w:rPr>
                <w:sz w:val="20"/>
                <w:szCs w:val="20"/>
                <w:color w:val="auto"/>
              </w:rPr>
            </w:pPr>
            <w:r>
              <w:rPr>
                <w:rFonts w:ascii="Arial" w:cs="Arial" w:eastAsia="Arial" w:hAnsi="Arial"/>
                <w:sz w:val="12"/>
                <w:szCs w:val="12"/>
                <w:color w:val="auto"/>
                <w:w w:val="89"/>
              </w:rPr>
              <w:t>93</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111</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89"/>
              </w:rPr>
              <w:t>53</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353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99"/>
              </w:rPr>
              <w:t>—</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77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2"/>
                <w:szCs w:val="12"/>
                <w:color w:val="auto"/>
              </w:rPr>
              <w:t>RMBS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56</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3"/>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95</w:t>
            </w:r>
          </w:p>
        </w:tc>
        <w:tc>
          <w:tcPr>
            <w:tcW w:w="120" w:type="dxa"/>
            <w:vAlign w:val="bottom"/>
          </w:tcPr>
          <w:p>
            <w:pPr>
              <w:spacing w:after="0"/>
              <w:rPr>
                <w:sz w:val="14"/>
                <w:szCs w:val="14"/>
                <w:color w:val="auto"/>
              </w:rPr>
            </w:pPr>
          </w:p>
        </w:tc>
        <w:tc>
          <w:tcPr>
            <w:tcW w:w="480" w:type="dxa"/>
            <w:vAlign w:val="bottom"/>
          </w:tcPr>
          <w:p>
            <w:pPr>
              <w:jc w:val="center"/>
              <w:ind w:left="122"/>
              <w:spacing w:after="0"/>
              <w:rPr>
                <w:sz w:val="20"/>
                <w:szCs w:val="20"/>
                <w:color w:val="auto"/>
              </w:rPr>
            </w:pPr>
            <w:r>
              <w:rPr>
                <w:rFonts w:ascii="Arial" w:cs="Arial" w:eastAsia="Arial" w:hAnsi="Arial"/>
                <w:sz w:val="12"/>
                <w:szCs w:val="12"/>
                <w:color w:val="auto"/>
                <w:w w:val="89"/>
              </w:rPr>
              <w:t>3</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2"/>
                <w:szCs w:val="12"/>
                <w:color w:val="auto"/>
                <w:w w:val="89"/>
              </w:rPr>
              <w:t>95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CMBS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89"/>
              </w:rPr>
              <w:t>51</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22"/>
              <w:spacing w:after="0"/>
              <w:rPr>
                <w:sz w:val="20"/>
                <w:szCs w:val="20"/>
                <w:color w:val="auto"/>
              </w:rPr>
            </w:pPr>
            <w:r>
              <w:rPr>
                <w:rFonts w:ascii="Arial" w:cs="Arial" w:eastAsia="Arial" w:hAnsi="Arial"/>
                <w:sz w:val="12"/>
                <w:szCs w:val="12"/>
                <w:color w:val="auto"/>
                <w:w w:val="89"/>
              </w:rPr>
              <w:t>8</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88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center"/>
              <w:ind w:left="162"/>
              <w:spacing w:after="0"/>
              <w:rPr>
                <w:sz w:val="20"/>
                <w:szCs w:val="20"/>
                <w:color w:val="auto"/>
              </w:rPr>
            </w:pPr>
            <w:r>
              <w:rPr>
                <w:rFonts w:ascii="Arial" w:cs="Arial" w:eastAsia="Arial" w:hAnsi="Arial"/>
                <w:sz w:val="12"/>
                <w:szCs w:val="12"/>
                <w:color w:val="auto"/>
                <w:w w:val="89"/>
              </w:rPr>
              <w:t>103</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3"/>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103</w:t>
            </w:r>
          </w:p>
        </w:tc>
        <w:tc>
          <w:tcPr>
            <w:tcW w:w="120" w:type="dxa"/>
            <w:vAlign w:val="bottom"/>
          </w:tcPr>
          <w:p>
            <w:pPr>
              <w:spacing w:after="0"/>
              <w:rPr>
                <w:sz w:val="14"/>
                <w:szCs w:val="14"/>
                <w:color w:val="auto"/>
              </w:rPr>
            </w:pPr>
          </w:p>
        </w:tc>
        <w:tc>
          <w:tcPr>
            <w:tcW w:w="480" w:type="dxa"/>
            <w:vAlign w:val="bottom"/>
          </w:tcPr>
          <w:p>
            <w:pPr>
              <w:jc w:val="center"/>
              <w:ind w:left="122"/>
              <w:spacing w:after="0"/>
              <w:rPr>
                <w:sz w:val="20"/>
                <w:szCs w:val="20"/>
                <w:color w:val="auto"/>
              </w:rPr>
            </w:pPr>
            <w:r>
              <w:rPr>
                <w:rFonts w:ascii="Arial" w:cs="Arial" w:eastAsia="Arial" w:hAnsi="Arial"/>
                <w:sz w:val="12"/>
                <w:szCs w:val="12"/>
                <w:color w:val="auto"/>
                <w:w w:val="89"/>
              </w:rPr>
              <w:t>105</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ABS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100</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100</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22"/>
              <w:spacing w:after="0"/>
              <w:rPr>
                <w:sz w:val="20"/>
                <w:szCs w:val="20"/>
                <w:color w:val="auto"/>
              </w:rPr>
            </w:pPr>
            <w:r>
              <w:rPr>
                <w:rFonts w:ascii="Arial" w:cs="Arial" w:eastAsia="Arial" w:hAnsi="Arial"/>
                <w:sz w:val="12"/>
                <w:szCs w:val="12"/>
                <w:color w:val="auto"/>
                <w:w w:val="89"/>
              </w:rPr>
              <w:t>100</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44"/>
              <w:spacing w:after="0"/>
              <w:rPr>
                <w:sz w:val="20"/>
                <w:szCs w:val="20"/>
                <w:color w:val="auto"/>
              </w:rPr>
            </w:pPr>
            <w:r>
              <w:rPr>
                <w:rFonts w:ascii="Arial" w:cs="Arial" w:eastAsia="Arial" w:hAnsi="Arial"/>
                <w:sz w:val="12"/>
                <w:szCs w:val="12"/>
                <w:color w:val="auto"/>
                <w:w w:val="89"/>
              </w:rPr>
              <w:t>101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left="122"/>
              <w:spacing w:after="0"/>
              <w:rPr>
                <w:sz w:val="20"/>
                <w:szCs w:val="20"/>
                <w:color w:val="auto"/>
              </w:rPr>
            </w:pPr>
            <w:r>
              <w:rPr>
                <w:rFonts w:ascii="Arial" w:cs="Arial" w:eastAsia="Arial" w:hAnsi="Arial"/>
                <w:sz w:val="12"/>
                <w:szCs w:val="12"/>
                <w:color w:val="auto"/>
                <w:w w:val="89"/>
              </w:rPr>
              <w:t>100</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Derivatives</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color w:val="auto"/>
        </w:rPr>
        <w:t>Credit</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color w:val="auto"/>
        </w:rPr>
        <w:t>Equity market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Embedded 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00" w:type="dxa"/>
            <w:vAlign w:val="bottom"/>
          </w:tcPr>
          <w:p>
            <w:pPr>
              <w:ind w:left="60"/>
              <w:spacing w:after="0"/>
              <w:rPr>
                <w:sz w:val="20"/>
                <w:szCs w:val="20"/>
                <w:color w:val="auto"/>
              </w:rPr>
            </w:pPr>
            <w:r>
              <w:rPr>
                <w:rFonts w:ascii="Arial" w:cs="Arial" w:eastAsia="Arial" w:hAnsi="Arial"/>
                <w:sz w:val="12"/>
                <w:szCs w:val="12"/>
                <w:color w:val="auto"/>
              </w:rPr>
              <w:t>Present value techniques</w:t>
            </w: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Credit spreads (7)</w:t>
            </w:r>
          </w:p>
        </w:tc>
        <w:tc>
          <w:tcPr>
            <w:tcW w:w="800" w:type="dxa"/>
            <w:vAlign w:val="bottom"/>
          </w:tcPr>
          <w:p>
            <w:pPr>
              <w:jc w:val="center"/>
              <w:ind w:left="262"/>
              <w:spacing w:after="0"/>
              <w:rPr>
                <w:sz w:val="20"/>
                <w:szCs w:val="20"/>
                <w:color w:val="auto"/>
              </w:rPr>
            </w:pPr>
            <w:r>
              <w:rPr>
                <w:rFonts w:ascii="Arial" w:cs="Arial" w:eastAsia="Arial" w:hAnsi="Arial"/>
                <w:sz w:val="12"/>
                <w:szCs w:val="12"/>
                <w:color w:val="auto"/>
                <w:w w:val="89"/>
              </w:rPr>
              <w:t>97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42"/>
              <w:spacing w:after="0"/>
              <w:rPr>
                <w:sz w:val="20"/>
                <w:szCs w:val="20"/>
                <w:color w:val="auto"/>
              </w:rPr>
            </w:pPr>
            <w:r>
              <w:rPr>
                <w:rFonts w:ascii="Arial" w:cs="Arial" w:eastAsia="Arial" w:hAnsi="Arial"/>
                <w:sz w:val="12"/>
                <w:szCs w:val="12"/>
                <w:color w:val="auto"/>
                <w:w w:val="89"/>
              </w:rPr>
              <w:t>99</w:t>
            </w:r>
          </w:p>
        </w:tc>
        <w:tc>
          <w:tcPr>
            <w:tcW w:w="1040" w:type="dxa"/>
            <w:vAlign w:val="bottom"/>
          </w:tcPr>
          <w:p>
            <w:pPr>
              <w:jc w:val="center"/>
              <w:ind w:left="502"/>
              <w:spacing w:after="0"/>
              <w:rPr>
                <w:sz w:val="20"/>
                <w:szCs w:val="20"/>
                <w:color w:val="auto"/>
              </w:rPr>
            </w:pPr>
            <w:r>
              <w:rPr>
                <w:rFonts w:ascii="Arial" w:cs="Arial" w:eastAsia="Arial" w:hAnsi="Arial"/>
                <w:sz w:val="12"/>
                <w:szCs w:val="12"/>
                <w:color w:val="auto"/>
                <w:w w:val="99"/>
              </w:rPr>
              <w:t>—</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22"/>
              <w:spacing w:after="0"/>
              <w:rPr>
                <w:sz w:val="20"/>
                <w:szCs w:val="20"/>
                <w:color w:val="auto"/>
              </w:rPr>
            </w:pPr>
            <w:r>
              <w:rPr>
                <w:rFonts w:ascii="Arial" w:cs="Arial" w:eastAsia="Arial" w:hAnsi="Arial"/>
                <w:sz w:val="12"/>
                <w:szCs w:val="12"/>
                <w:color w:val="auto"/>
                <w:w w:val="99"/>
              </w:rPr>
              <w:t>—</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6"/>
              </w:rPr>
              <w:t>Decrease (6)</w:t>
            </w:r>
          </w:p>
        </w:tc>
      </w:tr>
      <w:tr>
        <w:trPr>
          <w:trHeight w:val="270"/>
        </w:trPr>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00" w:type="dxa"/>
            <w:vAlign w:val="bottom"/>
          </w:tcPr>
          <w:p>
            <w:pPr>
              <w:ind w:left="60"/>
              <w:spacing w:after="0"/>
              <w:rPr>
                <w:sz w:val="20"/>
                <w:szCs w:val="20"/>
                <w:color w:val="auto"/>
              </w:rPr>
            </w:pPr>
            <w:r>
              <w:rPr>
                <w:rFonts w:ascii="Arial" w:cs="Arial" w:eastAsia="Arial" w:hAnsi="Arial"/>
                <w:sz w:val="12"/>
                <w:szCs w:val="12"/>
                <w:color w:val="auto"/>
              </w:rPr>
              <w:t>Consensus pricing</w:t>
            </w: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Offered quotes (8)</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01"/>
        </w:trPr>
        <w:tc>
          <w:tcPr>
            <w:tcW w:w="16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149"/>
        </w:trPr>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Present value techniques or</w:t>
            </w: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Volatility (9)</w:t>
            </w:r>
          </w:p>
        </w:tc>
        <w:tc>
          <w:tcPr>
            <w:tcW w:w="800" w:type="dxa"/>
            <w:vAlign w:val="bottom"/>
          </w:tcPr>
          <w:p>
            <w:pPr>
              <w:jc w:val="center"/>
              <w:ind w:left="282"/>
              <w:spacing w:after="0"/>
              <w:rPr>
                <w:sz w:val="20"/>
                <w:szCs w:val="20"/>
                <w:color w:val="auto"/>
              </w:rPr>
            </w:pPr>
            <w:r>
              <w:rPr>
                <w:rFonts w:ascii="Arial" w:cs="Arial" w:eastAsia="Arial" w:hAnsi="Arial"/>
                <w:sz w:val="12"/>
                <w:szCs w:val="12"/>
                <w:color w:val="auto"/>
                <w:w w:val="91"/>
              </w:rPr>
              <w:t>17%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30%</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11%</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31%</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7"/>
              </w:rPr>
              <w:t>Increase (6)</w:t>
            </w:r>
          </w:p>
        </w:tc>
      </w:tr>
      <w:tr>
        <w:trPr>
          <w:trHeight w:val="148"/>
        </w:trPr>
        <w:tc>
          <w:tcPr>
            <w:tcW w:w="180" w:type="dxa"/>
            <w:vAlign w:val="bottom"/>
          </w:tcPr>
          <w:p>
            <w:pPr>
              <w:spacing w:after="0"/>
              <w:rPr>
                <w:sz w:val="12"/>
                <w:szCs w:val="12"/>
                <w:color w:val="auto"/>
              </w:rPr>
            </w:pPr>
          </w:p>
        </w:tc>
        <w:tc>
          <w:tcPr>
            <w:tcW w:w="1500" w:type="dxa"/>
            <w:vAlign w:val="bottom"/>
          </w:tcPr>
          <w:p>
            <w:pPr>
              <w:ind w:left="220"/>
              <w:spacing w:after="0"/>
              <w:rPr>
                <w:sz w:val="20"/>
                <w:szCs w:val="20"/>
                <w:color w:val="auto"/>
              </w:rPr>
            </w:pPr>
            <w:r>
              <w:rPr>
                <w:rFonts w:ascii="Arial" w:cs="Arial" w:eastAsia="Arial" w:hAnsi="Arial"/>
                <w:sz w:val="12"/>
                <w:szCs w:val="12"/>
                <w:color w:val="auto"/>
              </w:rPr>
              <w:t>option pricing models</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89"/>
        </w:trPr>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Correlation (10)</w:t>
            </w:r>
          </w:p>
        </w:tc>
        <w:tc>
          <w:tcPr>
            <w:tcW w:w="800" w:type="dxa"/>
            <w:vAlign w:val="bottom"/>
          </w:tcPr>
          <w:p>
            <w:pPr>
              <w:jc w:val="center"/>
              <w:ind w:left="282"/>
              <w:spacing w:after="0"/>
              <w:rPr>
                <w:sz w:val="20"/>
                <w:szCs w:val="20"/>
                <w:color w:val="auto"/>
              </w:rPr>
            </w:pPr>
            <w:r>
              <w:rPr>
                <w:rFonts w:ascii="Arial" w:cs="Arial" w:eastAsia="Arial" w:hAnsi="Arial"/>
                <w:sz w:val="12"/>
                <w:szCs w:val="12"/>
                <w:color w:val="auto"/>
                <w:w w:val="91"/>
              </w:rPr>
              <w:t>10%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30%</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10%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30%</w:t>
            </w:r>
          </w:p>
        </w:tc>
        <w:tc>
          <w:tcPr>
            <w:tcW w:w="1520" w:type="dxa"/>
            <w:vAlign w:val="bottom"/>
          </w:tcPr>
          <w:p>
            <w:pPr>
              <w:spacing w:after="0"/>
              <w:rPr>
                <w:sz w:val="16"/>
                <w:szCs w:val="16"/>
                <w:color w:val="auto"/>
              </w:rPr>
            </w:pPr>
          </w:p>
        </w:tc>
      </w:tr>
      <w:tr>
        <w:trPr>
          <w:trHeight w:val="101"/>
        </w:trPr>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-565150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-179705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1400" w:space="720"/>
            <w:col w:w="930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20" w:type="dxa"/>
            <w:vAlign w:val="bottom"/>
            <w:shd w:val="clear" w:color="auto" w:fill="CCEEFF"/>
          </w:tcPr>
          <w:p>
            <w:pPr>
              <w:ind w:left="40"/>
              <w:spacing w:after="0"/>
              <w:rPr>
                <w:sz w:val="20"/>
                <w:szCs w:val="20"/>
                <w:color w:val="auto"/>
              </w:rPr>
            </w:pPr>
            <w:r>
              <w:rPr>
                <w:rFonts w:ascii="Arial" w:cs="Arial" w:eastAsia="Arial" w:hAnsi="Arial"/>
                <w:sz w:val="12"/>
                <w:szCs w:val="12"/>
                <w:color w:val="auto"/>
                <w:w w:val="93"/>
              </w:rPr>
              <w:t>Direct, assumed and ceded guaranteed</w:t>
            </w:r>
          </w:p>
        </w:tc>
        <w:tc>
          <w:tcPr>
            <w:tcW w:w="17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Option pricing techniques</w:t>
            </w: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Mortality rates:</w:t>
            </w: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8"/>
        </w:trPr>
        <w:tc>
          <w:tcPr>
            <w:tcW w:w="2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minimum benefits</w:t>
            </w:r>
          </w:p>
        </w:tc>
        <w:tc>
          <w:tcPr>
            <w:tcW w:w="17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r>
      <w:tr>
        <w:trPr>
          <w:trHeight w:val="169"/>
        </w:trPr>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gridSpan w:val="2"/>
          </w:tcPr>
          <w:p>
            <w:pPr>
              <w:ind w:left="480"/>
              <w:spacing w:after="0"/>
              <w:rPr>
                <w:sz w:val="20"/>
                <w:szCs w:val="20"/>
                <w:color w:val="auto"/>
              </w:rPr>
            </w:pPr>
            <w:r>
              <w:rPr>
                <w:rFonts w:ascii="Arial" w:cs="Arial" w:eastAsia="Arial" w:hAnsi="Arial"/>
                <w:sz w:val="12"/>
                <w:szCs w:val="12"/>
                <w:color w:val="auto"/>
              </w:rPr>
              <w:t>Ages 0 - 40</w:t>
            </w:r>
          </w:p>
        </w:tc>
        <w:tc>
          <w:tcPr>
            <w:tcW w:w="880" w:type="dxa"/>
            <w:vAlign w:val="bottom"/>
          </w:tcPr>
          <w:p>
            <w:pPr>
              <w:jc w:val="center"/>
              <w:ind w:left="302"/>
              <w:spacing w:after="0"/>
              <w:rPr>
                <w:sz w:val="20"/>
                <w:szCs w:val="20"/>
                <w:color w:val="auto"/>
              </w:rPr>
            </w:pPr>
            <w:r>
              <w:rPr>
                <w:rFonts w:ascii="Arial" w:cs="Arial" w:eastAsia="Arial" w:hAnsi="Arial"/>
                <w:sz w:val="12"/>
                <w:szCs w:val="12"/>
                <w:color w:val="auto"/>
                <w:w w:val="91"/>
              </w:rPr>
              <w:t>0%</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0.09%</w:t>
            </w:r>
          </w:p>
        </w:tc>
        <w:tc>
          <w:tcPr>
            <w:tcW w:w="1060" w:type="dxa"/>
            <w:vAlign w:val="bottom"/>
          </w:tcPr>
          <w:p>
            <w:pPr>
              <w:jc w:val="center"/>
              <w:ind w:left="502"/>
              <w:spacing w:after="0"/>
              <w:rPr>
                <w:sz w:val="20"/>
                <w:szCs w:val="20"/>
                <w:color w:val="auto"/>
              </w:rPr>
            </w:pPr>
            <w:r>
              <w:rPr>
                <w:rFonts w:ascii="Arial" w:cs="Arial" w:eastAsia="Arial" w:hAnsi="Arial"/>
                <w:sz w:val="12"/>
                <w:szCs w:val="12"/>
                <w:color w:val="auto"/>
                <w:w w:val="80"/>
              </w:rPr>
              <w:t>0%</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0.09%</w:t>
            </w:r>
          </w:p>
        </w:tc>
        <w:tc>
          <w:tcPr>
            <w:tcW w:w="1500" w:type="dxa"/>
            <w:vAlign w:val="bottom"/>
          </w:tcPr>
          <w:p>
            <w:pPr>
              <w:ind w:left="660"/>
              <w:spacing w:after="0"/>
              <w:rPr>
                <w:sz w:val="20"/>
                <w:szCs w:val="20"/>
                <w:color w:val="auto"/>
              </w:rPr>
            </w:pPr>
            <w:r>
              <w:rPr>
                <w:rFonts w:ascii="Arial" w:cs="Arial" w:eastAsia="Arial" w:hAnsi="Arial"/>
                <w:sz w:val="12"/>
                <w:szCs w:val="12"/>
                <w:color w:val="auto"/>
              </w:rPr>
              <w:t>Decrease (11)</w:t>
            </w:r>
          </w:p>
        </w:tc>
      </w:tr>
      <w:tr>
        <w:trPr>
          <w:trHeight w:val="101"/>
        </w:trPr>
        <w:tc>
          <w:tcPr>
            <w:tcW w:w="2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2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6"/>
              </w:rPr>
              <w:t>Ages 41</w:t>
            </w:r>
          </w:p>
        </w:tc>
        <w:tc>
          <w:tcPr>
            <w:tcW w:w="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- 60</w:t>
            </w:r>
          </w:p>
        </w:tc>
        <w:tc>
          <w:tcPr>
            <w:tcW w:w="880" w:type="dxa"/>
            <w:vAlign w:val="bottom"/>
            <w:shd w:val="clear" w:color="auto" w:fill="CCEEFF"/>
          </w:tcPr>
          <w:p>
            <w:pPr>
              <w:jc w:val="center"/>
              <w:ind w:left="322"/>
              <w:spacing w:after="0"/>
              <w:rPr>
                <w:sz w:val="20"/>
                <w:szCs w:val="20"/>
                <w:color w:val="auto"/>
              </w:rPr>
            </w:pPr>
            <w:r>
              <w:rPr>
                <w:rFonts w:ascii="Arial" w:cs="Arial" w:eastAsia="Arial" w:hAnsi="Arial"/>
                <w:sz w:val="12"/>
                <w:szCs w:val="12"/>
                <w:color w:val="auto"/>
                <w:w w:val="88"/>
              </w:rPr>
              <w:t>0.04%</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0.65%</w:t>
            </w:r>
          </w:p>
        </w:tc>
        <w:tc>
          <w:tcPr>
            <w:tcW w:w="106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0.04%</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0.65%</w:t>
            </w:r>
          </w:p>
        </w:tc>
        <w:tc>
          <w:tcPr>
            <w:tcW w:w="1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Decrease (11)</w:t>
            </w:r>
          </w:p>
        </w:tc>
      </w:tr>
      <w:tr>
        <w:trPr>
          <w:trHeight w:val="101"/>
        </w:trPr>
        <w:tc>
          <w:tcPr>
            <w:tcW w:w="20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480"/>
              <w:spacing w:after="0"/>
              <w:rPr>
                <w:sz w:val="20"/>
                <w:szCs w:val="20"/>
                <w:color w:val="auto"/>
              </w:rPr>
            </w:pPr>
            <w:r>
              <w:rPr>
                <w:rFonts w:ascii="Arial" w:cs="Arial" w:eastAsia="Arial" w:hAnsi="Arial"/>
                <w:sz w:val="12"/>
                <w:szCs w:val="12"/>
                <w:color w:val="auto"/>
                <w:w w:val="86"/>
              </w:rPr>
              <w:t>Ages 61</w:t>
            </w:r>
          </w:p>
        </w:tc>
        <w:tc>
          <w:tcPr>
            <w:tcW w:w="720" w:type="dxa"/>
            <w:vAlign w:val="bottom"/>
          </w:tcPr>
          <w:p>
            <w:pPr>
              <w:ind w:left="20"/>
              <w:spacing w:after="0"/>
              <w:rPr>
                <w:sz w:val="20"/>
                <w:szCs w:val="20"/>
                <w:color w:val="auto"/>
              </w:rPr>
            </w:pPr>
            <w:r>
              <w:rPr>
                <w:rFonts w:ascii="Arial" w:cs="Arial" w:eastAsia="Arial" w:hAnsi="Arial"/>
                <w:sz w:val="12"/>
                <w:szCs w:val="12"/>
                <w:color w:val="auto"/>
              </w:rPr>
              <w:t>- 115</w:t>
            </w:r>
          </w:p>
        </w:tc>
        <w:tc>
          <w:tcPr>
            <w:tcW w:w="880" w:type="dxa"/>
            <w:vAlign w:val="bottom"/>
          </w:tcPr>
          <w:p>
            <w:pPr>
              <w:jc w:val="center"/>
              <w:ind w:left="322"/>
              <w:spacing w:after="0"/>
              <w:rPr>
                <w:sz w:val="20"/>
                <w:szCs w:val="20"/>
                <w:color w:val="auto"/>
              </w:rPr>
            </w:pPr>
            <w:r>
              <w:rPr>
                <w:rFonts w:ascii="Arial" w:cs="Arial" w:eastAsia="Arial" w:hAnsi="Arial"/>
                <w:sz w:val="12"/>
                <w:szCs w:val="12"/>
                <w:color w:val="auto"/>
                <w:w w:val="88"/>
              </w:rPr>
              <w:t>0.26%</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060" w:type="dxa"/>
            <w:vAlign w:val="bottom"/>
          </w:tcPr>
          <w:p>
            <w:pPr>
              <w:jc w:val="center"/>
              <w:ind w:left="502"/>
              <w:spacing w:after="0"/>
              <w:rPr>
                <w:sz w:val="20"/>
                <w:szCs w:val="20"/>
                <w:color w:val="auto"/>
              </w:rPr>
            </w:pPr>
            <w:r>
              <w:rPr>
                <w:rFonts w:ascii="Arial" w:cs="Arial" w:eastAsia="Arial" w:hAnsi="Arial"/>
                <w:sz w:val="12"/>
                <w:szCs w:val="12"/>
                <w:color w:val="auto"/>
                <w:w w:val="88"/>
              </w:rPr>
              <w:t>0.26%</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ind w:left="660"/>
              <w:spacing w:after="0"/>
              <w:rPr>
                <w:sz w:val="20"/>
                <w:szCs w:val="20"/>
                <w:color w:val="auto"/>
              </w:rPr>
            </w:pPr>
            <w:r>
              <w:rPr>
                <w:rFonts w:ascii="Arial" w:cs="Arial" w:eastAsia="Arial" w:hAnsi="Arial"/>
                <w:sz w:val="12"/>
                <w:szCs w:val="12"/>
                <w:color w:val="auto"/>
              </w:rPr>
              <w:t>Decrease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2" w:lineRule="exact"/>
        <w:rPr>
          <w:sz w:val="20"/>
          <w:szCs w:val="20"/>
          <w:color w:val="auto"/>
        </w:rPr>
      </w:pPr>
    </w:p>
    <w:p>
      <w:pPr>
        <w:ind w:left="4120" w:hanging="148"/>
        <w:spacing w:after="0"/>
        <w:tabs>
          <w:tab w:leader="none" w:pos="4120" w:val="left"/>
        </w:tabs>
        <w:numPr>
          <w:ilvl w:val="0"/>
          <w:numId w:val="30"/>
        </w:numPr>
        <w:rPr>
          <w:rFonts w:ascii="Arial" w:cs="Arial" w:eastAsia="Arial" w:hAnsi="Arial"/>
          <w:sz w:val="12"/>
          <w:szCs w:val="12"/>
          <w:b w:val="1"/>
          <w:bCs w:val="1"/>
          <w:color w:val="auto"/>
        </w:rPr>
      </w:pPr>
      <w:r>
        <w:rPr>
          <w:rFonts w:ascii="Arial" w:cs="Arial" w:eastAsia="Arial" w:hAnsi="Arial"/>
          <w:sz w:val="12"/>
          <w:szCs w:val="12"/>
          <w:color w:val="auto"/>
        </w:rPr>
        <w:t>Lapse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1580" w:type="dxa"/>
            <w:vAlign w:val="bottom"/>
          </w:tcPr>
          <w:p>
            <w:pPr>
              <w:ind w:left="200"/>
              <w:spacing w:after="0"/>
              <w:rPr>
                <w:sz w:val="20"/>
                <w:szCs w:val="20"/>
                <w:color w:val="auto"/>
              </w:rPr>
            </w:pPr>
            <w:r>
              <w:rPr>
                <w:rFonts w:ascii="Arial" w:cs="Arial" w:eastAsia="Arial" w:hAnsi="Arial"/>
                <w:sz w:val="12"/>
                <w:szCs w:val="12"/>
                <w:color w:val="auto"/>
              </w:rPr>
              <w:t>Durations 1 - 10</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(12)</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spacing w:after="0"/>
              <w:rPr>
                <w:sz w:val="14"/>
                <w:szCs w:val="14"/>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Durations 11 - 20</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6"/>
              </w:rPr>
              <w:t>Decrease (12)</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spacing w:after="0"/>
              <w:rPr>
                <w:sz w:val="14"/>
                <w:szCs w:val="14"/>
                <w:color w:val="auto"/>
              </w:rPr>
            </w:pPr>
          </w:p>
        </w:tc>
        <w:tc>
          <w:tcPr>
            <w:tcW w:w="1580" w:type="dxa"/>
            <w:vAlign w:val="bottom"/>
          </w:tcPr>
          <w:p>
            <w:pPr>
              <w:ind w:left="200"/>
              <w:spacing w:after="0"/>
              <w:rPr>
                <w:sz w:val="20"/>
                <w:szCs w:val="20"/>
                <w:color w:val="auto"/>
              </w:rPr>
            </w:pPr>
            <w:r>
              <w:rPr>
                <w:rFonts w:ascii="Arial" w:cs="Arial" w:eastAsia="Arial" w:hAnsi="Arial"/>
                <w:sz w:val="12"/>
                <w:szCs w:val="12"/>
                <w:color w:val="auto"/>
              </w:rPr>
              <w:t>Durations 21 - 116</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(12)</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Utilization rates</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7"/>
              </w:rPr>
              <w:t>Increase (13)</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rPr>
              <w:t>Withdrawal rates</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91"/>
              </w:rPr>
              <w:t>10%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91"/>
              </w:rPr>
              <w:t>10%</w:t>
            </w:r>
          </w:p>
        </w:tc>
        <w:tc>
          <w:tcPr>
            <w:tcW w:w="1500" w:type="dxa"/>
            <w:vAlign w:val="bottom"/>
          </w:tcPr>
          <w:p>
            <w:pPr>
              <w:jc w:val="center"/>
              <w:ind w:left="402"/>
              <w:spacing w:after="0"/>
              <w:rPr>
                <w:sz w:val="20"/>
                <w:szCs w:val="20"/>
                <w:color w:val="auto"/>
              </w:rPr>
            </w:pPr>
            <w:r>
              <w:rPr>
                <w:rFonts w:ascii="Arial" w:cs="Arial" w:eastAsia="Arial" w:hAnsi="Arial"/>
                <w:sz w:val="12"/>
                <w:szCs w:val="12"/>
                <w:color w:val="auto"/>
                <w:w w:val="93"/>
              </w:rPr>
              <w:t>(14)</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Long-term equity volatilities</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8"/>
              </w:rPr>
              <w:t>17.40%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shd w:val="clear" w:color="auto" w:fill="CCEEFF"/>
          </w:tcPr>
          <w:p>
            <w:pPr>
              <w:jc w:val="center"/>
              <w:ind w:left="482"/>
              <w:spacing w:after="0"/>
              <w:rPr>
                <w:sz w:val="20"/>
                <w:szCs w:val="20"/>
                <w:color w:val="auto"/>
              </w:rPr>
            </w:pPr>
            <w:r>
              <w:rPr>
                <w:rFonts w:ascii="Arial" w:cs="Arial" w:eastAsia="Arial" w:hAnsi="Arial"/>
                <w:sz w:val="12"/>
                <w:szCs w:val="12"/>
                <w:color w:val="auto"/>
                <w:w w:val="88"/>
              </w:rPr>
              <w:t>17.40%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7"/>
              </w:rPr>
              <w:t>Increase (15)</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w w:val="99"/>
              </w:rPr>
              <w:t>Nonperformance risk spread</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1.12%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88"/>
              </w:rPr>
              <w:t>2.06%</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0.64%</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1.43%</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(16)</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1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weighted average for fixed maturity securities is determined based on the estimated fair value of the securities.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a decrease in input would have the opposite impact on estimated fair value. For embedded derivatives, changes to direct and assumed guaranteed minimum benefits are based on liability positions; changes to ceded guaranteed minimum benefits are based on asset positions.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increases (decreases) in expected default rates in isolation would result in substantially lower (higher) valuations.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Range and weighted average are presented in accordance with the market convention for fixed maturity securities of dollars per hundred dollars of par.</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assumptions used for the probability of default is accompanied by a directionally similar change in the assumption used for the loss severity and a directionally opposite change in the assumptions used for prepayment rates.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estimated fair value are based on long U.S. dollar net asset positions and will be inversely impacted for short U.S. dollar net asset positions.</w:t>
      </w:r>
    </w:p>
    <w:p>
      <w:pPr>
        <w:sectPr>
          <w:pgSz w:w="11900" w:h="16838" w:orient="portrait"/>
          <w:cols w:equalWidth="0" w:num="1">
            <w:col w:w="11420"/>
          </w:cols>
          <w:pgMar w:left="240" w:top="288"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88"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risk quoted in basis points of a credit default event on the underlying instrument. Credit derivatives with significant unobservable inputs are primarily comprised of written credit default swaps.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June 30, 2018 and December 31, 2017, independent non-binding broker quotations were used in the determination of less than 1% and 1% of the total net derivative estimated fair value, respectively.</w:t>
      </w:r>
    </w:p>
    <w:p>
      <w:pPr>
        <w:spacing w:after="0" w:line="62"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Ranges represent the underlying equity volatility quoted in percentage points. Since this valuation methodology uses a range of inputs across multiple volatility surfaces to value the derivative, presenting a range is more representative of the unobservable input used in the valuation.</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Ranges represent the different correlation factors utilized as components within the valuation methodology. Presenting a range of correlation factors is more representative of the unobservable input used in the valuation. Increases (decreases) in correlation in isolation will increase (decrease) the significance of the change in valuations.</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Mortality rate assumptions are based on company experience. A mortality improvement assumption is also applied. For any given contract, mortality rates vary throughout the period over which cash flows are projected for purposes of valuing the embedded derivative.</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 the money contracts are less likely to lapse. Lapse rates are also generally assumed to be lower in periods when a surrender charge applies. For any given contract, lapse rates vary throughout the period over which cash flows are projected for purposes of valuing the embedded derivative.</w:t>
      </w:r>
    </w:p>
    <w:p>
      <w:pPr>
        <w:spacing w:after="0" w:line="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utilization rate assumption estimates the percentage of contract holders with a GMIB or lifetime withdrawal benefit who will elect to utilize the benefit upon becoming eligible. The rates may vary by the type of guarantee, the amount by which the guaranteed amount is greater than the account value, the contract’s withdrawal history and by the age of the policyholder. For any given contract, utilization rates vary throughout the period over which cash flows are projected for purposes of valuing the embedded derivative.</w:t>
      </w:r>
    </w:p>
    <w:p>
      <w:pPr>
        <w:spacing w:after="0" w:line="78"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Nonperformance risk spread varies by duration and by currency.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following is a summary of the valuation techniques and significant unobservable inputs used in the fair value measurement of assets and liabilities classified within Level 3 that are not included in the preceding table. Generally, all other classes of securities classified within Level 3, including those within separate account assets and embedded derivatives within funds withheld related to certain assumed reinsurance, use the same valuation techniques and significant unobservable inputs as previously described for Level 3 securities. This includes matrix pricing and discounted cash flow methodologies, inputs such as quoted prices for identical or similar securities that are less liquid and based on lower levels of trading activity than securities classified in Level 2, as well as independent non-binding broker quotations. The sensitivity of the estimated fair value to changes in the significant unobservable inputs for these other assets and liabilities is similar in nature to that described in the preceding table.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8"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 2018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274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274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Changes in unrealized gains (losses) included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net income (loss) for the instruments still</w:t>
      </w:r>
    </w:p>
    <w:p>
      <w:pPr>
        <w:ind w:left="200"/>
        <w:spacing w:after="0"/>
        <w:rPr>
          <w:sz w:val="20"/>
          <w:szCs w:val="20"/>
          <w:color w:val="auto"/>
        </w:rPr>
      </w:pPr>
      <w:r>
        <w:rPr>
          <w:rFonts w:ascii="Arial" w:cs="Arial" w:eastAsia="Arial" w:hAnsi="Arial"/>
          <w:sz w:val="14"/>
          <w:szCs w:val="14"/>
          <w:color w:val="auto"/>
        </w:rPr>
        <w:t>held at June 30, 2018 (10)</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Changes in unrealized gains (losses) included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net income (loss) for the instruments still</w:t>
      </w:r>
    </w:p>
    <w:p>
      <w:pPr>
        <w:ind w:left="200"/>
        <w:spacing w:after="0"/>
        <w:rPr>
          <w:sz w:val="20"/>
          <w:szCs w:val="20"/>
          <w:color w:val="auto"/>
        </w:rPr>
      </w:pPr>
      <w:r>
        <w:rPr>
          <w:rFonts w:ascii="Arial" w:cs="Arial" w:eastAsia="Arial" w:hAnsi="Arial"/>
          <w:sz w:val="14"/>
          <w:szCs w:val="14"/>
          <w:color w:val="auto"/>
        </w:rPr>
        <w:t>held at June 30, 2017 (10)</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610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3"/>
                <w:szCs w:val="13"/>
                <w:b w:val="1"/>
                <w:bCs w:val="1"/>
                <w:color w:val="auto"/>
                <w:w w:val="98"/>
              </w:rPr>
              <w:t>Fixed Maturity Securities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192"/>
              <w:spacing w:after="0" w:line="144" w:lineRule="exact"/>
              <w:rPr>
                <w:sz w:val="20"/>
                <w:szCs w:val="20"/>
                <w:color w:val="auto"/>
              </w:rPr>
            </w:pPr>
            <w:r>
              <w:rPr>
                <w:rFonts w:ascii="Arial" w:cs="Arial" w:eastAsia="Arial" w:hAnsi="Arial"/>
                <w:sz w:val="13"/>
                <w:szCs w:val="13"/>
                <w:b w:val="1"/>
                <w:bCs w:val="1"/>
                <w:color w:val="auto"/>
                <w:w w:val="85"/>
              </w:rPr>
              <w:t>State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Structured</w:t>
            </w:r>
          </w:p>
        </w:tc>
        <w:tc>
          <w:tcPr>
            <w:tcW w:w="760" w:type="dxa"/>
            <w:vAlign w:val="bottom"/>
          </w:tcPr>
          <w:p>
            <w:pPr>
              <w:jc w:val="center"/>
              <w:ind w:left="212"/>
              <w:spacing w:after="0" w:line="135" w:lineRule="exact"/>
              <w:rPr>
                <w:sz w:val="20"/>
                <w:szCs w:val="20"/>
                <w:color w:val="auto"/>
              </w:rPr>
            </w:pPr>
            <w:r>
              <w:rPr>
                <w:rFonts w:ascii="Arial" w:cs="Arial" w:eastAsia="Arial" w:hAnsi="Arial"/>
                <w:sz w:val="13"/>
                <w:szCs w:val="13"/>
                <w:b w:val="1"/>
                <w:bCs w:val="1"/>
                <w:color w:val="auto"/>
                <w:w w:val="88"/>
              </w:rPr>
              <w:t>Political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Foreign</w:t>
            </w:r>
          </w:p>
        </w:tc>
        <w:tc>
          <w:tcPr>
            <w:tcW w:w="180" w:type="dxa"/>
            <w:vAlign w:val="bottom"/>
          </w:tcPr>
          <w:p>
            <w:pPr>
              <w:spacing w:after="0"/>
              <w:rPr>
                <w:sz w:val="11"/>
                <w:szCs w:val="11"/>
                <w:color w:val="auto"/>
              </w:rPr>
            </w:pPr>
          </w:p>
        </w:tc>
        <w:tc>
          <w:tcPr>
            <w:tcW w:w="84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Equity</w:t>
            </w:r>
          </w:p>
        </w:tc>
      </w:tr>
      <w:tr>
        <w:trPr>
          <w:trHeight w:val="174"/>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Securities</w:t>
            </w: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4"/>
              </w:rPr>
              <w:t>Subdivision</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Government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Securities</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1,906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4"/>
                <w:szCs w:val="24"/>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123</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3"/>
                <w:szCs w:val="23"/>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5"/>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4"/>
                <w:szCs w:val="24"/>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142</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-4647565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-4304665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-3858260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-3515360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-3172460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-2829560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-2469515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-2074545</wp:posOffset>
            </wp:positionV>
            <wp:extent cx="72466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-1680210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-1337310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-994410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-650875</wp:posOffset>
            </wp:positionV>
            <wp:extent cx="724662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8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288" w:right="23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right"/>
        <w:ind w:right="15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right="960"/>
        <w:spacing w:after="0" w:line="355" w:lineRule="auto"/>
        <w:rPr>
          <w:sz w:val="20"/>
          <w:szCs w:val="20"/>
          <w:color w:val="auto"/>
        </w:rPr>
      </w:pPr>
      <w:r>
        <w:rPr>
          <w:rFonts w:ascii="Arial" w:cs="Arial" w:eastAsia="Arial" w:hAnsi="Arial"/>
          <w:sz w:val="14"/>
          <w:szCs w:val="14"/>
          <w:b w:val="1"/>
          <w:bCs w:val="1"/>
          <w:color w:val="auto"/>
        </w:rPr>
        <w:t xml:space="preserve">Three Months Ended June 30, 2018 </w:t>
      </w:r>
      <w:r>
        <w:rPr>
          <w:rFonts w:ascii="Arial" w:cs="Arial" w:eastAsia="Arial" w:hAnsi="Arial"/>
          <w:sz w:val="14"/>
          <w:szCs w:val="14"/>
          <w:color w:val="auto"/>
        </w:rPr>
        <w:t>Balance, beginning of period</w:t>
      </w:r>
    </w:p>
    <w:p>
      <w:pPr>
        <w:jc w:val="right"/>
        <w:ind w:right="9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90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right="960"/>
        <w:spacing w:after="0" w:line="339" w:lineRule="auto"/>
        <w:rPr>
          <w:sz w:val="20"/>
          <w:szCs w:val="20"/>
          <w:color w:val="auto"/>
        </w:rPr>
      </w:pPr>
      <w:r>
        <w:rPr>
          <w:rFonts w:ascii="Arial" w:cs="Arial" w:eastAsia="Arial" w:hAnsi="Arial"/>
          <w:sz w:val="14"/>
          <w:szCs w:val="14"/>
          <w:b w:val="1"/>
          <w:bCs w:val="1"/>
          <w:color w:val="auto"/>
        </w:rPr>
        <w:t xml:space="preserve">Three Months Ended June 30, 2017 </w:t>
      </w:r>
      <w:r>
        <w:rPr>
          <w:rFonts w:ascii="Arial" w:cs="Arial" w:eastAsia="Arial" w:hAnsi="Arial"/>
          <w:sz w:val="14"/>
          <w:szCs w:val="14"/>
          <w:color w:val="auto"/>
        </w:rPr>
        <w:t>Balance, beginning of period</w:t>
      </w:r>
    </w:p>
    <w:p>
      <w:pPr>
        <w:spacing w:after="0" w:line="22" w:lineRule="exact"/>
        <w:rPr>
          <w:sz w:val="20"/>
          <w:szCs w:val="20"/>
          <w:color w:val="auto"/>
        </w:rPr>
      </w:pPr>
    </w:p>
    <w:p>
      <w:pPr>
        <w:jc w:val="right"/>
        <w:ind w:right="9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90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4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2018 (10)</w:t>
      </w:r>
    </w:p>
    <w:p>
      <w:pPr>
        <w:spacing w:after="0" w:line="6" w:lineRule="exact"/>
        <w:rPr>
          <w:sz w:val="20"/>
          <w:szCs w:val="20"/>
          <w:color w:val="auto"/>
        </w:rPr>
      </w:pPr>
    </w:p>
    <w:p>
      <w:pPr>
        <w:jc w:val="both"/>
        <w:ind w:left="200" w:right="4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2017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4776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 Limited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5"/>
        </w:trPr>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 Estate Joint</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Partnership Interests</w:t>
            </w:r>
          </w:p>
        </w:tc>
        <w:tc>
          <w:tcPr>
            <w:tcW w:w="180" w:type="dxa"/>
            <w:vAlign w:val="bottom"/>
          </w:tcPr>
          <w:p>
            <w:pPr>
              <w:spacing w:after="0"/>
              <w:rPr>
                <w:sz w:val="11"/>
                <w:szCs w:val="11"/>
                <w:color w:val="auto"/>
              </w:rPr>
            </w:pPr>
          </w:p>
        </w:tc>
        <w:tc>
          <w:tcPr>
            <w:tcW w:w="10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Short-term</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200" w:type="dxa"/>
            <w:vAlign w:val="bottom"/>
          </w:tcPr>
          <w:p>
            <w:pPr>
              <w:spacing w:after="0"/>
              <w:rPr>
                <w:sz w:val="11"/>
                <w:szCs w:val="11"/>
                <w:color w:val="auto"/>
              </w:rPr>
            </w:pPr>
          </w:p>
        </w:tc>
        <w:tc>
          <w:tcPr>
            <w:tcW w:w="920" w:type="dxa"/>
            <w:vAlign w:val="bottom"/>
          </w:tcPr>
          <w:p>
            <w:pPr>
              <w:jc w:val="right"/>
              <w:ind w:right="248"/>
              <w:spacing w:after="0" w:line="135" w:lineRule="exact"/>
              <w:rPr>
                <w:sz w:val="20"/>
                <w:szCs w:val="20"/>
                <w:color w:val="auto"/>
              </w:rPr>
            </w:pPr>
            <w:r>
              <w:rPr>
                <w:rFonts w:ascii="Arial" w:cs="Arial" w:eastAsia="Arial" w:hAnsi="Arial"/>
                <w:sz w:val="13"/>
                <w:szCs w:val="13"/>
                <w:b w:val="1"/>
                <w:bCs w:val="1"/>
                <w:color w:val="auto"/>
              </w:rPr>
              <w:t>Separate</w:t>
            </w:r>
          </w:p>
        </w:tc>
      </w:tr>
      <w:tr>
        <w:trPr>
          <w:trHeight w:val="174"/>
        </w:trPr>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Ventures (2)</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(2)</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Investments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Derivatives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Derivatives (4)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Account Assets (5)</w:t>
            </w:r>
          </w:p>
        </w:tc>
      </w:tr>
      <w:tr>
        <w:trPr>
          <w:trHeight w:val="241"/>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44"/>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351"/>
        </w:trPr>
        <w:tc>
          <w:tcPr>
            <w:tcW w:w="10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15"/>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-4647565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-4304665</wp:posOffset>
            </wp:positionV>
            <wp:extent cx="724662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-3858260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-3515360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-3172460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-2829560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-2469515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-2074545</wp:posOffset>
            </wp:positionV>
            <wp:extent cx="72466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-1680210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-1337310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-994410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-650875</wp:posOffset>
            </wp:positionV>
            <wp:extent cx="724662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2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288" w:right="2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7"/>
          <w:szCs w:val="17"/>
          <w:b w:val="1"/>
          <w:bCs w:val="1"/>
          <w:color w:val="auto"/>
        </w:rPr>
        <w:t>Notes to the Interim Condensed Consolidated and Combined Financial Statements (Unaudited) (continued)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5" w:lineRule="exact"/>
        <w:rPr>
          <w:sz w:val="20"/>
          <w:szCs w:val="20"/>
          <w:color w:val="auto"/>
        </w:rPr>
      </w:pPr>
    </w:p>
    <w:p>
      <w:pPr>
        <w:jc w:val="right"/>
        <w:ind w:right="84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19685</wp:posOffset>
            </wp:positionV>
            <wp:extent cx="36106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274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274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Changes in unrealized gains (losses) included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net income (loss) for the instruments still</w:t>
      </w:r>
    </w:p>
    <w:p>
      <w:pPr>
        <w:ind w:left="200"/>
        <w:spacing w:after="0"/>
        <w:rPr>
          <w:sz w:val="20"/>
          <w:szCs w:val="20"/>
          <w:color w:val="auto"/>
        </w:rPr>
      </w:pPr>
      <w:r>
        <w:rPr>
          <w:rFonts w:ascii="Arial" w:cs="Arial" w:eastAsia="Arial" w:hAnsi="Arial"/>
          <w:sz w:val="14"/>
          <w:szCs w:val="14"/>
          <w:color w:val="auto"/>
        </w:rPr>
        <w:t>held at June 30, 2018 (10)</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Changes in unrealized gains (losses) included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net income (loss) for the instruments still</w:t>
      </w:r>
    </w:p>
    <w:p>
      <w:pPr>
        <w:ind w:left="200"/>
        <w:spacing w:after="0"/>
        <w:rPr>
          <w:sz w:val="20"/>
          <w:szCs w:val="20"/>
          <w:color w:val="auto"/>
        </w:rPr>
      </w:pPr>
      <w:r>
        <w:rPr>
          <w:rFonts w:ascii="Arial" w:cs="Arial" w:eastAsia="Arial" w:hAnsi="Arial"/>
          <w:sz w:val="14"/>
          <w:szCs w:val="14"/>
          <w:color w:val="auto"/>
        </w:rPr>
        <w:t>held at June 30, 2017 (10)</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State and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Structured</w:t>
            </w:r>
          </w:p>
        </w:tc>
        <w:tc>
          <w:tcPr>
            <w:tcW w:w="1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Political</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Foreign</w:t>
            </w:r>
          </w:p>
        </w:tc>
        <w:tc>
          <w:tcPr>
            <w:tcW w:w="180" w:type="dxa"/>
            <w:vAlign w:val="bottom"/>
          </w:tcPr>
          <w:p>
            <w:pPr>
              <w:spacing w:after="0"/>
              <w:rPr>
                <w:sz w:val="11"/>
                <w:szCs w:val="11"/>
                <w:color w:val="auto"/>
              </w:rPr>
            </w:pPr>
          </w:p>
        </w:tc>
        <w:tc>
          <w:tcPr>
            <w:tcW w:w="84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Equity</w:t>
            </w:r>
          </w:p>
        </w:tc>
      </w:tr>
      <w:tr>
        <w:trPr>
          <w:trHeight w:val="174"/>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Subdivision</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Government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Securities</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124</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5"/>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137</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-4647565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-4304665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-3858260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-3515360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-3172460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-2829560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-2469515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-2074545</wp:posOffset>
            </wp:positionV>
            <wp:extent cx="72466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-1680210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-1337310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-994410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-650875</wp:posOffset>
            </wp:positionV>
            <wp:extent cx="7246620"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80"/>
          </w:cols>
          <w:pgMar w:left="240" w:top="288"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288" w:right="2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gridSpan w:val="11"/>
          </w:tcPr>
          <w:p>
            <w:pPr>
              <w:ind w:left="32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 Limited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 Estate Joint</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Partnership Interests</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Short-term</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200" w:type="dxa"/>
            <w:vAlign w:val="bottom"/>
          </w:tcPr>
          <w:p>
            <w:pPr>
              <w:spacing w:after="0"/>
              <w:rPr>
                <w:sz w:val="11"/>
                <w:szCs w:val="11"/>
                <w:color w:val="auto"/>
              </w:rPr>
            </w:pPr>
          </w:p>
        </w:tc>
        <w:tc>
          <w:tcPr>
            <w:tcW w:w="92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Separate</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Ventures (2)</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rPr>
              <w:t>(2)</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Derivatives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Derivatives (4)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Account Assets (5)</w:t>
            </w:r>
          </w:p>
        </w:tc>
        <w:tc>
          <w:tcPr>
            <w:tcW w:w="0" w:type="dxa"/>
            <w:vAlign w:val="bottom"/>
          </w:tcPr>
          <w:p>
            <w:pPr>
              <w:spacing w:after="0"/>
              <w:rPr>
                <w:sz w:val="1"/>
                <w:szCs w:val="1"/>
                <w:color w:val="auto"/>
              </w:rPr>
            </w:pPr>
          </w:p>
        </w:tc>
      </w:tr>
      <w:tr>
        <w:trPr>
          <w:trHeight w:val="249"/>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2"/>
                <w:szCs w:val="22"/>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net income (loss) (6) (7)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00" w:type="dxa"/>
            <w:vAlign w:val="bottom"/>
          </w:tcPr>
          <w:p>
            <w:pPr>
              <w:ind w:left="200"/>
              <w:spacing w:after="0" w:line="157" w:lineRule="exact"/>
              <w:rPr>
                <w:sz w:val="20"/>
                <w:szCs w:val="20"/>
                <w:color w:val="auto"/>
              </w:rPr>
            </w:pPr>
            <w:r>
              <w:rPr>
                <w:rFonts w:ascii="Arial" w:cs="Arial" w:eastAsia="Arial" w:hAnsi="Arial"/>
                <w:sz w:val="14"/>
                <w:szCs w:val="14"/>
                <w:color w:val="auto"/>
              </w:rPr>
              <w:t>Total realized/unrealized gains (losses)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00"/>
              <w:spacing w:after="0"/>
              <w:rPr>
                <w:sz w:val="20"/>
                <w:szCs w:val="20"/>
                <w:color w:val="auto"/>
              </w:rPr>
            </w:pPr>
            <w:r>
              <w:rPr>
                <w:rFonts w:ascii="Arial" w:cs="Arial" w:eastAsia="Arial" w:hAnsi="Arial"/>
                <w:sz w:val="14"/>
                <w:szCs w:val="14"/>
                <w:color w:val="auto"/>
              </w:rPr>
              <w:t>included in AOCI</w:t>
            </w: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(8)</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Sales (8)</w:t>
            </w:r>
          </w:p>
        </w:tc>
        <w:tc>
          <w:tcPr>
            <w:tcW w:w="10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Issuances (8)</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Settlements (8)</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into Level 3 (9)</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Transfers out of Level 3 (9)</w:t>
            </w:r>
          </w:p>
        </w:tc>
        <w:tc>
          <w:tcPr>
            <w:tcW w:w="10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9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0"/>
        </w:trPr>
        <w:tc>
          <w:tcPr>
            <w:tcW w:w="39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900"/>
        <w:spacing w:after="0"/>
        <w:rPr>
          <w:sz w:val="20"/>
          <w:szCs w:val="20"/>
          <w:color w:val="auto"/>
        </w:rPr>
      </w:pPr>
      <w:r>
        <w:rPr>
          <w:rFonts w:ascii="Arial" w:cs="Arial" w:eastAsia="Arial" w:hAnsi="Arial"/>
          <w:sz w:val="13"/>
          <w:szCs w:val="13"/>
          <w:color w:val="auto"/>
        </w:rPr>
        <w:t>Total realized/unrealized gains (losses)</w:t>
      </w:r>
    </w:p>
    <w:p>
      <w:pPr>
        <w:spacing w:after="0" w:line="11" w:lineRule="exact"/>
        <w:rPr>
          <w:sz w:val="20"/>
          <w:szCs w:val="20"/>
          <w:color w:val="auto"/>
        </w:rPr>
      </w:pPr>
    </w:p>
    <w:p>
      <w:pPr>
        <w:jc w:val="right"/>
        <w:ind w:right="90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4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2018 (10)</w:t>
      </w:r>
    </w:p>
    <w:p>
      <w:pPr>
        <w:spacing w:after="0" w:line="6" w:lineRule="exact"/>
        <w:rPr>
          <w:sz w:val="20"/>
          <w:szCs w:val="20"/>
          <w:color w:val="auto"/>
        </w:rPr>
      </w:pPr>
    </w:p>
    <w:p>
      <w:pPr>
        <w:jc w:val="both"/>
        <w:ind w:left="200" w:right="4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2017 (10)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(2,383)</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351"/>
        </w:trPr>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37"/>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-2074545</wp:posOffset>
            </wp:positionV>
            <wp:extent cx="72466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-1680210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-1337310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-994410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-650875</wp:posOffset>
            </wp:positionV>
            <wp:extent cx="7246620" cy="317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180" w:space="720"/>
            <w:col w:w="7520"/>
          </w:cols>
          <w:pgMar w:left="240" w:top="288" w:right="239" w:bottom="1440" w:gutter="0" w:footer="0" w:header="0"/>
          <w:type w:val="continuous"/>
        </w:sect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ectPr>
          <w:pgSz w:w="11900" w:h="16838" w:orient="portrait"/>
          <w:cols w:equalWidth="0" w:num="1">
            <w:col w:w="11420"/>
          </w:cols>
          <w:pgMar w:left="240" w:top="28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88" w:right="2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Option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information for certain assets and liabilities of CSEs, which are accounted for under the FVO. These assets and liabilities were initially measured at fair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June 30, 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(1)</w:t>
            </w:r>
          </w:p>
        </w:tc>
        <w:tc>
          <w:tcPr>
            <w:tcW w:w="17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Unpaid principal balance</w:t>
            </w:r>
          </w:p>
        </w:tc>
        <w:tc>
          <w:tcPr>
            <w:tcW w:w="1780" w:type="dxa"/>
            <w:vAlign w:val="bottom"/>
          </w:tcPr>
          <w:p>
            <w:pPr>
              <w:jc w:val="right"/>
              <w:ind w:right="158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unpaid principal balance</w:t>
            </w:r>
          </w:p>
        </w:tc>
        <w:tc>
          <w:tcPr>
            <w:tcW w:w="1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780" w:type="dxa"/>
            <w:vAlign w:val="bottom"/>
            <w:tcBorders>
              <w:top w:val="single" w:sz="8" w:color="auto"/>
            </w:tcBorders>
          </w:tcPr>
          <w:p>
            <w:pPr>
              <w:jc w:val="right"/>
              <w:ind w:right="1581"/>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(1)</w:t>
            </w:r>
          </w:p>
        </w:tc>
        <w:tc>
          <w:tcPr>
            <w:tcW w:w="1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Contractual principal balance</w:t>
            </w:r>
          </w:p>
        </w:tc>
        <w:tc>
          <w:tcPr>
            <w:tcW w:w="1780" w:type="dxa"/>
            <w:vAlign w:val="bottom"/>
          </w:tcPr>
          <w:p>
            <w:pPr>
              <w:jc w:val="right"/>
              <w:ind w:right="158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contractual principal balance</w:t>
            </w:r>
          </w:p>
        </w:tc>
        <w:tc>
          <w:tcPr>
            <w:tcW w:w="17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780" w:type="dxa"/>
            <w:vAlign w:val="bottom"/>
            <w:tcBorders>
              <w:top w:val="single" w:sz="8" w:color="auto"/>
            </w:tcBorders>
          </w:tcPr>
          <w:p>
            <w:pPr>
              <w:jc w:val="right"/>
              <w:ind w:right="1581"/>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assets and liabilities are comprised of commercial mortgage loans and long-term debt. Changes in estimated fair value on these assets and liabilities and gains or losses on sales of these assets are recognized in net investment gains (losses). Interest income on commercial mortgage loans held by CSEs — FVO is recognized in net investment income. Interest expense from long-term debt of CSEs — FVO is recognized in other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such as time deposits,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8"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June 30, 2018</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12,241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12,325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12,325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1,458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720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85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72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1,684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15,881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14,829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14,829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3,602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2,611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358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1,192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1,192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10,627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10,871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1,523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 (1)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 (1)</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invested assets (2)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71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71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1,758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15,791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15,927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3,601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3,039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314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1,210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Arial" w:cs="Arial" w:eastAsia="Arial" w:hAnsi="Arial"/>
                <w:sz w:val="14"/>
                <w:szCs w:val="14"/>
                <w:color w:val="auto"/>
              </w:rPr>
              <w:t>_________________</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reclassified Federal Home Loan Bank stock in the prior period from equity securities to other invested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8"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Facility</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share-based compensation plans provide awards to employees and non-employee directors and may be in the form of nonqualified stock options, stock appreciation rights, restricted stock, restricted stock units, performance shares, performance units, and other share-based awards. Additionally, employees may purchase shares at a discount under an employee stock purchase plan. The Company also granted restricted stock units to certain employees and non-employee directors on September 8, 2017, shortly following the Separation (the “Founders’ Grant”). The employee stock incentive plan and the non-employee director stock compensation plan were each approved at the Brighthouse Financial, Inc. annual meeting of stockholders held on May 23, 2018. The aggregate number of shares authorized for issuance at June 30, 2018 under the Company’s various share-based compensation plans was 8,000,000.</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share-based compensation is measured at fair value as of the grant date. The Company recognizes compensation expense related to share-based awards based on the number of awards expected to vest, which represents the awards granted less expected forfeitures over the life of the award, as estimated at the date of grant.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with other costs incurred relating to stock options and performance units. With the exception of the Founders’ Grant, the Company grants the majority of each year’s awards in the first quarter of the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 Related to Share-Based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share-based compensation expense:</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740" w:type="dxa"/>
            <w:vAlign w:val="bottom"/>
          </w:tcPr>
          <w:p>
            <w:pPr>
              <w:jc w:val="center"/>
              <w:ind w:left="423"/>
              <w:spacing w:after="0"/>
              <w:rPr>
                <w:sz w:val="20"/>
                <w:szCs w:val="20"/>
                <w:color w:val="auto"/>
              </w:rPr>
            </w:pPr>
            <w:r>
              <w:rPr>
                <w:rFonts w:ascii="Arial" w:cs="Arial" w:eastAsia="Arial" w:hAnsi="Arial"/>
                <w:sz w:val="14"/>
                <w:szCs w:val="14"/>
                <w:b w:val="1"/>
                <w:bCs w:val="1"/>
                <w:color w:val="auto"/>
                <w:w w:val="95"/>
              </w:rPr>
              <w:t>Three Months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center"/>
              <w:ind w:right="423"/>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6620" w:type="dxa"/>
            <w:vAlign w:val="bottom"/>
          </w:tcPr>
          <w:p>
            <w:pPr>
              <w:spacing w:after="0"/>
              <w:rPr>
                <w:sz w:val="12"/>
                <w:szCs w:val="12"/>
                <w:color w:val="auto"/>
              </w:rPr>
            </w:pPr>
          </w:p>
        </w:tc>
        <w:tc>
          <w:tcPr>
            <w:tcW w:w="1740" w:type="dxa"/>
            <w:vAlign w:val="bottom"/>
          </w:tcPr>
          <w:p>
            <w:pPr>
              <w:jc w:val="center"/>
              <w:ind w:left="463"/>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tcPr>
          <w:p>
            <w:pPr>
              <w:jc w:val="center"/>
              <w:ind w:right="403"/>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6620" w:type="dxa"/>
            <w:vAlign w:val="bottom"/>
          </w:tcPr>
          <w:p>
            <w:pPr>
              <w:spacing w:after="0"/>
              <w:rPr>
                <w:sz w:val="16"/>
                <w:szCs w:val="16"/>
                <w:color w:val="auto"/>
              </w:rPr>
            </w:pPr>
          </w:p>
        </w:tc>
        <w:tc>
          <w:tcPr>
            <w:tcW w:w="1740" w:type="dxa"/>
            <w:vAlign w:val="bottom"/>
            <w:tcBorders>
              <w:bottom w:val="single" w:sz="8" w:color="auto"/>
            </w:tcBorders>
          </w:tcPr>
          <w:p>
            <w:pPr>
              <w:jc w:val="center"/>
              <w:ind w:left="463"/>
              <w:spacing w:after="0"/>
              <w:rPr>
                <w:sz w:val="20"/>
                <w:szCs w:val="20"/>
                <w:color w:val="auto"/>
              </w:rPr>
            </w:pPr>
            <w:r>
              <w:rPr>
                <w:rFonts w:ascii="Arial" w:cs="Arial" w:eastAsia="Arial" w:hAnsi="Arial"/>
                <w:sz w:val="14"/>
                <w:szCs w:val="14"/>
                <w:b w:val="1"/>
                <w:bCs w:val="1"/>
                <w:color w:val="auto"/>
                <w:w w:val="92"/>
              </w:rPr>
              <w:t>June 30, 2018</w:t>
            </w: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w w:val="92"/>
              </w:rPr>
              <w:t>June 30, 2018</w:t>
            </w:r>
          </w:p>
        </w:tc>
      </w:tr>
      <w:tr>
        <w:trPr>
          <w:trHeight w:val="250"/>
        </w:trPr>
        <w:tc>
          <w:tcPr>
            <w:tcW w:w="66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21"/>
                <w:szCs w:val="21"/>
                <w:color w:val="auto"/>
              </w:rPr>
            </w:pPr>
          </w:p>
        </w:tc>
      </w:tr>
      <w:tr>
        <w:trPr>
          <w:trHeight w:val="2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stock units, Founders’ Grant</w:t>
            </w:r>
          </w:p>
        </w:tc>
        <w:tc>
          <w:tcPr>
            <w:tcW w:w="1740" w:type="dxa"/>
            <w:vAlign w:val="bottom"/>
            <w:tcBorders>
              <w:bottom w:val="single" w:sz="8" w:color="CCEEFF"/>
            </w:tcBorders>
            <w:shd w:val="clear" w:color="auto" w:fill="CCEEFF"/>
          </w:tcPr>
          <w:p>
            <w:pPr>
              <w:jc w:val="right"/>
              <w:ind w:right="15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740" w:type="dxa"/>
            <w:vAlign w:val="bottom"/>
          </w:tcPr>
          <w:p>
            <w:pPr>
              <w:jc w:val="right"/>
              <w:ind w:right="15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w:t>
            </w:r>
          </w:p>
        </w:tc>
      </w:tr>
      <w:tr>
        <w:trPr>
          <w:trHeight w:val="33"/>
        </w:trPr>
        <w:tc>
          <w:tcPr>
            <w:tcW w:w="6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740" w:type="dxa"/>
            <w:vAlign w:val="bottom"/>
            <w:tcBorders>
              <w:bottom w:val="single" w:sz="8" w:color="CCEEFF"/>
            </w:tcBorders>
            <w:shd w:val="clear" w:color="auto" w:fill="CCEEFF"/>
          </w:tcPr>
          <w:p>
            <w:pPr>
              <w:jc w:val="right"/>
              <w:ind w:right="15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Performance share units</w:t>
            </w:r>
          </w:p>
        </w:tc>
        <w:tc>
          <w:tcPr>
            <w:tcW w:w="1740" w:type="dxa"/>
            <w:vAlign w:val="bottom"/>
          </w:tcPr>
          <w:p>
            <w:pPr>
              <w:jc w:val="right"/>
              <w:ind w:right="15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Unrecognized share-based compensation cost for the Founders’ Grant was $22 million at June 30, 2018, which is expected to be fully recognized in the third quarter of 2018. Unrecognized share-based compensation for other grants related to restricted stock units, stock options and performance share units was $19 million at June 30, 2018 with a weighted average recognition period of seven quarters.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Restricted Share Units (“RSUs”)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RSUs are units that, if vested, are payable in shares of Brighthouse Financial, Inc. common stock. The Company does not credit RSUs with dividend-equivalents as RSUs do not accrue dividends. Accordingly, the estimated fair value of RSUs is based upon the closing price of shares on the date of grant, less a forfeiture rate. With the exception of the Founders’ Grant, most RSUs use graded vesting and vest in thirds on, or shortly after, the first three anniversaries of their grant date, while other RSUs vest in their entirety on the third or later anniversary of their grant date. Vesting is subject to continued service, except for employees who meet specified age and service criteria, and in certain other limited circumstances.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34" w:right="239" w:bottom="1440" w:gutter="0" w:footer="0" w:header="0"/>
        </w:sectPr>
      </w:pPr>
    </w:p>
    <w:bookmarkStart w:id="53" w:name="page54"/>
    <w:bookmarkEnd w:id="53"/>
    <w:p>
      <w:pPr>
        <w:spacing w:after="0" w:line="43" w:lineRule="exact"/>
        <w:rPr>
          <w:sz w:val="20"/>
          <w:szCs w:val="20"/>
          <w:color w:val="auto"/>
        </w:rPr>
      </w:pPr>
    </w:p>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Performance Share Units (“PSUs”)</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PSUs are units that, if vested, are multiplied by a performance factor to produce a number of final PSUs, which are payable in shares of Brighthouse Financial, Inc. common stock. PSUs cliff vest at the end of the three-year performance period. Vesting is subject to continued service, except for employees who meet specified age and service criteria, and in certain other limited circumstances. The performance factors will be based on the achievement of corporate expense reductions and the capital return targets over the respective three-year period.</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For awards granted for performance periods in progress through June 30, 2018, the vested PSUs will be multiplied by a performance factor of 0% to 150%. Assuming the Company has met certain threshold performance goals, the Compensation Committee of Brighthouse Financial, Inc.’s Board of Directors will determine the performance factor in its discretion. The Company estimates the fair value of performance shares semi-annually until they become payable.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PSU and RSU activity:</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13"/>
                <w:szCs w:val="13"/>
                <w:color w:val="auto"/>
              </w:rPr>
            </w:pPr>
          </w:p>
        </w:tc>
        <w:tc>
          <w:tcPr>
            <w:tcW w:w="13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Units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Weighted Average</w:t>
            </w:r>
          </w:p>
        </w:tc>
        <w:tc>
          <w:tcPr>
            <w:tcW w:w="88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85"/>
              </w:rPr>
              <w:t>Units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January 1, 2018</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990,176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48.10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w w:val="89"/>
              </w:rPr>
              <w:t>73,849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Paid</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June 30, 2018</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990,176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73,849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at June 30, 2018</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vMerge w:val="continue"/>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Stock options represent the contingent right of award holders to purchase shares of Brighthouse Financial, Inc. common stock at a stated price for a limited time. All stock options have an exercise price equal to the closing price of a share on the date of grant and have a maximum term of ten years. Certain stock options granted are exercisable at a rate of one-third of each award on each of the first three anniversaries of the grant date, while others are exercisable entirely on the third anniversary of the grant date. Vesting is subject to continued service, except for employees who meet specified age and service criteria and in certain other limited circumstances. The Company granted 242,560 options at a weighted average exercise price of $48.10 for aggregate intrinsic value of $0. No stock options were exercised, expired or forfeited at June 30, 2018.</w:t>
      </w:r>
    </w:p>
    <w:p>
      <w:pPr>
        <w:spacing w:after="0" w:line="70"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weighted average assumptions that the model uses to determine the fair value of unexercised stock options granted at: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r>
      <w:tr>
        <w:trPr>
          <w:trHeight w:val="23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rate of return</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2.93%</w:t>
            </w:r>
          </w:p>
        </w:tc>
      </w:tr>
      <w:tr>
        <w:trPr>
          <w:trHeight w:val="224"/>
        </w:trPr>
        <w:tc>
          <w:tcPr>
            <w:tcW w:w="914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6"/>
                <w:szCs w:val="16"/>
                <w:color w:val="auto"/>
                <w:w w:val="92"/>
              </w:rPr>
              <w:t>25.00%</w:t>
            </w:r>
          </w:p>
        </w:tc>
      </w:tr>
      <w:tr>
        <w:trPr>
          <w:trHeight w:val="33"/>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option life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5.75 years</w:t>
            </w:r>
          </w:p>
        </w:tc>
      </w:tr>
      <w:tr>
        <w:trPr>
          <w:trHeight w:val="224"/>
        </w:trPr>
        <w:tc>
          <w:tcPr>
            <w:tcW w:w="9140" w:type="dxa"/>
            <w:vAlign w:val="bottom"/>
          </w:tcPr>
          <w:p>
            <w:pPr>
              <w:ind w:left="40"/>
              <w:spacing w:after="0"/>
              <w:rPr>
                <w:sz w:val="20"/>
                <w:szCs w:val="20"/>
                <w:color w:val="auto"/>
              </w:rPr>
            </w:pPr>
            <w:r>
              <w:rPr>
                <w:rFonts w:ascii="Arial" w:cs="Arial" w:eastAsia="Arial" w:hAnsi="Arial"/>
                <w:sz w:val="16"/>
                <w:szCs w:val="16"/>
                <w:color w:val="auto"/>
              </w:rPr>
              <w:t>Weighted average exercise price of stock options granted</w:t>
            </w: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$48.10</w:t>
            </w:r>
          </w:p>
        </w:tc>
      </w:tr>
      <w:tr>
        <w:trPr>
          <w:trHeight w:val="33"/>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4"/>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stock options granted</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$12.54</w:t>
            </w:r>
          </w:p>
        </w:tc>
      </w:tr>
      <w:tr>
        <w:trPr>
          <w:trHeight w:val="33"/>
        </w:trPr>
        <w:tc>
          <w:tcPr>
            <w:tcW w:w="9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16"/>
              <w:spacing w:after="0"/>
              <w:rPr>
                <w:sz w:val="20"/>
                <w:szCs w:val="20"/>
                <w:color w:val="auto"/>
              </w:rPr>
            </w:pPr>
            <w:r>
              <w:rPr>
                <w:rFonts w:ascii="Arial" w:cs="Arial" w:eastAsia="Arial" w:hAnsi="Arial"/>
                <w:sz w:val="13"/>
                <w:szCs w:val="13"/>
                <w:b w:val="1"/>
                <w:bCs w:val="1"/>
                <w:color w:val="auto"/>
                <w:w w:val="89"/>
              </w:rPr>
              <w:t>Three Months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0"/>
              </w:rPr>
              <w:t>Ended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5"/>
              </w:rPr>
              <w:t>June 30, 2018</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296"/>
              <w:spacing w:after="0" w:line="144" w:lineRule="exact"/>
              <w:rPr>
                <w:sz w:val="20"/>
                <w:szCs w:val="20"/>
                <w:color w:val="auto"/>
              </w:rPr>
            </w:pPr>
            <w:r>
              <w:rPr>
                <w:rFonts w:ascii="Arial" w:cs="Arial" w:eastAsia="Arial" w:hAnsi="Arial"/>
                <w:sz w:val="13"/>
                <w:szCs w:val="13"/>
                <w:b w:val="1"/>
                <w:bCs w:val="1"/>
                <w:color w:val="auto"/>
                <w:w w:val="88"/>
              </w:rPr>
              <w:t>Foreign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14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1"/>
              </w:rPr>
              <w:t>Currency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140" w:type="dxa"/>
            <w:vAlign w:val="bottom"/>
          </w:tcPr>
          <w:p>
            <w:pPr>
              <w:jc w:val="center"/>
              <w:ind w:left="296"/>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Defined Benefit</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14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86"/>
              </w:rPr>
              <w:t>Adjustments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Plans Adjustment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(In millions)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March 31, 2018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976"/>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424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4"/>
                <w:szCs w:val="14"/>
                <w:color w:val="auto"/>
              </w:rPr>
            </w:pPr>
          </w:p>
        </w:tc>
        <w:tc>
          <w:tcPr>
            <w:tcW w:w="1340" w:type="dxa"/>
            <w:vAlign w:val="bottom"/>
            <w:vMerge w:val="restart"/>
          </w:tcPr>
          <w:p>
            <w:pPr>
              <w:jc w:val="right"/>
              <w:ind w:right="52"/>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40"/>
              <w:spacing w:after="0"/>
              <w:rPr>
                <w:sz w:val="20"/>
                <w:szCs w:val="20"/>
                <w:color w:val="auto"/>
              </w:rPr>
            </w:pPr>
            <w:r>
              <w:rPr>
                <w:rFonts w:ascii="Arial" w:cs="Arial" w:eastAsia="Arial" w:hAnsi="Arial"/>
                <w:sz w:val="14"/>
                <w:szCs w:val="14"/>
                <w:color w:val="auto"/>
              </w:rPr>
              <w:t>Balance, June 30, 2018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52"/>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51"/>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1140" w:type="dxa"/>
            <w:vAlign w:val="bottom"/>
            <w:vMerge w:val="restart"/>
          </w:tcPr>
          <w:p>
            <w:pPr>
              <w:jc w:val="right"/>
              <w:ind w:right="976"/>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60"/>
        </w:trPr>
        <w:tc>
          <w:tcPr>
            <w:tcW w:w="4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116"/>
              <w:spacing w:after="0"/>
              <w:rPr>
                <w:sz w:val="20"/>
                <w:szCs w:val="20"/>
                <w:color w:val="auto"/>
              </w:rPr>
            </w:pPr>
            <w:r>
              <w:rPr>
                <w:rFonts w:ascii="Arial" w:cs="Arial" w:eastAsia="Arial" w:hAnsi="Arial"/>
                <w:sz w:val="13"/>
                <w:szCs w:val="13"/>
                <w:b w:val="1"/>
                <w:bCs w:val="1"/>
                <w:color w:val="auto"/>
                <w:w w:val="89"/>
              </w:rPr>
              <w:t>Three Months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0"/>
              </w:rPr>
              <w:t>Ended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5"/>
              </w:rPr>
              <w:t>June 30, 2017</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Unrealized</w:t>
            </w:r>
          </w:p>
        </w:tc>
        <w:tc>
          <w:tcPr>
            <w:tcW w:w="1140" w:type="dxa"/>
            <w:vAlign w:val="bottom"/>
          </w:tcPr>
          <w:p>
            <w:pPr>
              <w:jc w:val="right"/>
              <w:ind w:right="176"/>
              <w:spacing w:after="0" w:line="144" w:lineRule="exact"/>
              <w:rPr>
                <w:sz w:val="20"/>
                <w:szCs w:val="20"/>
                <w:color w:val="auto"/>
              </w:rPr>
            </w:pPr>
            <w:r>
              <w:rPr>
                <w:rFonts w:ascii="Arial" w:cs="Arial" w:eastAsia="Arial" w:hAnsi="Arial"/>
                <w:sz w:val="13"/>
                <w:szCs w:val="13"/>
                <w:b w:val="1"/>
                <w:bCs w:val="1"/>
                <w:color w:val="auto"/>
              </w:rPr>
              <w:t>Foreign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Defined Benefit</w:t>
            </w:r>
          </w:p>
        </w:tc>
        <w:tc>
          <w:tcPr>
            <w:tcW w:w="260" w:type="dxa"/>
            <w:vAlign w:val="bottom"/>
          </w:tcPr>
          <w:p>
            <w:pPr>
              <w:spacing w:after="0"/>
              <w:rPr>
                <w:sz w:val="12"/>
                <w:szCs w:val="12"/>
                <w:color w:val="auto"/>
              </w:rPr>
            </w:pPr>
          </w:p>
        </w:tc>
        <w:tc>
          <w:tcPr>
            <w:tcW w:w="980" w:type="dxa"/>
            <w:vAlign w:val="bottom"/>
          </w:tcPr>
          <w:p>
            <w:pPr>
              <w:jc w:val="right"/>
              <w:ind w:right="47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Gains (Losses)</w:t>
            </w:r>
          </w:p>
        </w:tc>
        <w:tc>
          <w:tcPr>
            <w:tcW w:w="1140" w:type="dxa"/>
            <w:vAlign w:val="bottom"/>
          </w:tcPr>
          <w:p>
            <w:pPr>
              <w:jc w:val="right"/>
              <w:ind w:right="136"/>
              <w:spacing w:after="0"/>
              <w:rPr>
                <w:sz w:val="20"/>
                <w:szCs w:val="20"/>
                <w:color w:val="auto"/>
              </w:rPr>
            </w:pPr>
            <w:r>
              <w:rPr>
                <w:rFonts w:ascii="Arial" w:cs="Arial" w:eastAsia="Arial" w:hAnsi="Arial"/>
                <w:sz w:val="13"/>
                <w:szCs w:val="13"/>
                <w:b w:val="1"/>
                <w:bCs w:val="1"/>
                <w:color w:val="auto"/>
              </w:rPr>
              <w:t>Currency</w:t>
            </w:r>
          </w:p>
        </w:tc>
        <w:tc>
          <w:tcPr>
            <w:tcW w:w="34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3"/>
                <w:szCs w:val="13"/>
                <w:b w:val="1"/>
                <w:bCs w:val="1"/>
                <w:color w:val="auto"/>
              </w:rPr>
              <w:t>Plans Adjustment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81" w:orient="portrait"/>
          <w:cols w:equalWidth="0" w:num="1">
            <w:col w:w="11420"/>
          </w:cols>
          <w:pgMar w:left="240" w:top="288" w:right="239" w:bottom="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Balance, March 31, 2017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Amounts reclassified from AOCI, net of income tax</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Balance, June 30,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on Derivatives</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Translation</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Adjustments</w:t>
            </w: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1,506</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619</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1,899</w:t>
            </w:r>
          </w:p>
        </w:tc>
      </w:tr>
      <w:tr>
        <w:trPr>
          <w:trHeight w:val="244"/>
        </w:trPr>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3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-1388745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-1045845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-702310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-359410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3480" w:space="720"/>
            <w:col w:w="7180"/>
          </w:cols>
          <w:pgMar w:left="280" w:top="107" w:right="239" w:bottom="1440" w:gutter="0" w:footer="0" w:header="0"/>
        </w:sectPr>
      </w:pPr>
    </w:p>
    <w:bookmarkStart w:id="55" w:name="page56"/>
    <w:bookmarkEnd w:id="5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322" w:lineRule="exact"/>
        <w:rPr>
          <w:sz w:val="20"/>
          <w:szCs w:val="20"/>
          <w:color w:val="auto"/>
        </w:rPr>
      </w:pPr>
    </w:p>
    <w:p>
      <w:pPr>
        <w:jc w:val="center"/>
        <w:ind w:left="4260"/>
        <w:spacing w:after="0"/>
        <w:rPr>
          <w:sz w:val="20"/>
          <w:szCs w:val="20"/>
          <w:color w:val="auto"/>
        </w:rPr>
      </w:pPr>
      <w:r>
        <w:rPr>
          <w:rFonts w:ascii="Arial" w:cs="Arial" w:eastAsia="Arial" w:hAnsi="Arial"/>
          <w:sz w:val="13"/>
          <w:szCs w:val="13"/>
          <w:b w:val="1"/>
          <w:bCs w:val="1"/>
          <w:color w:val="auto"/>
        </w:rPr>
        <w:t>Six Months</w:t>
      </w:r>
    </w:p>
    <w:p>
      <w:pPr>
        <w:jc w:val="center"/>
        <w:ind w:left="430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jc w:val="center"/>
        <w:ind w:left="4300"/>
        <w:spacing w:after="0"/>
        <w:rPr>
          <w:sz w:val="20"/>
          <w:szCs w:val="20"/>
          <w:color w:val="auto"/>
        </w:rPr>
      </w:pPr>
      <w:r>
        <w:rPr>
          <w:rFonts w:ascii="Arial" w:cs="Arial" w:eastAsia="Arial" w:hAnsi="Arial"/>
          <w:sz w:val="13"/>
          <w:szCs w:val="13"/>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15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Unrealized</w:t>
            </w:r>
          </w:p>
        </w:tc>
        <w:tc>
          <w:tcPr>
            <w:tcW w:w="1400" w:type="dxa"/>
            <w:vAlign w:val="bottom"/>
          </w:tcPr>
          <w:p>
            <w:pPr>
              <w:spacing w:after="0"/>
              <w:rPr>
                <w:sz w:val="13"/>
                <w:szCs w:val="13"/>
                <w:color w:val="auto"/>
              </w:rPr>
            </w:pPr>
          </w:p>
        </w:tc>
        <w:tc>
          <w:tcPr>
            <w:tcW w:w="1520" w:type="dxa"/>
            <w:vAlign w:val="bottom"/>
          </w:tcPr>
          <w:p>
            <w:pPr>
              <w:jc w:val="center"/>
              <w:ind w:left="197"/>
              <w:spacing w:after="0"/>
              <w:rPr>
                <w:sz w:val="20"/>
                <w:szCs w:val="20"/>
                <w:color w:val="auto"/>
              </w:rPr>
            </w:pPr>
            <w:r>
              <w:rPr>
                <w:rFonts w:ascii="Arial" w:cs="Arial" w:eastAsia="Arial" w:hAnsi="Arial"/>
                <w:sz w:val="13"/>
                <w:szCs w:val="13"/>
                <w:b w:val="1"/>
                <w:bCs w:val="1"/>
                <w:color w:val="auto"/>
                <w:w w:val="88"/>
              </w:rPr>
              <w:t>Foreign</w:t>
            </w: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5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1"/>
              </w:rPr>
              <w:t>Currency</w:t>
            </w: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52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Defined Benefit</w:t>
            </w:r>
          </w:p>
        </w:tc>
        <w:tc>
          <w:tcPr>
            <w:tcW w:w="1100" w:type="dxa"/>
            <w:vAlign w:val="bottom"/>
          </w:tcPr>
          <w:p>
            <w:pPr>
              <w:spacing w:after="0"/>
              <w:rPr>
                <w:sz w:val="11"/>
                <w:szCs w:val="11"/>
                <w:color w:val="auto"/>
              </w:rPr>
            </w:pPr>
          </w:p>
        </w:tc>
      </w:tr>
      <w:tr>
        <w:trPr>
          <w:trHeight w:val="174"/>
        </w:trPr>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Related Offsets (1)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on Derivatives</w:t>
            </w:r>
          </w:p>
        </w:tc>
        <w:tc>
          <w:tcPr>
            <w:tcW w:w="152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86"/>
              </w:rPr>
              <w:t>Adjustments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Plans Adjustment</w:t>
            </w: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Total</w:t>
            </w:r>
          </w:p>
        </w:tc>
      </w:tr>
      <w:tr>
        <w:trPr>
          <w:trHeight w:val="241"/>
        </w:trPr>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ind w:left="300"/>
              <w:spacing w:after="0"/>
              <w:rPr>
                <w:sz w:val="20"/>
                <w:szCs w:val="20"/>
                <w:color w:val="auto"/>
              </w:rPr>
            </w:pPr>
            <w:r>
              <w:rPr>
                <w:rFonts w:ascii="Arial" w:cs="Arial" w:eastAsia="Arial" w:hAnsi="Arial"/>
                <w:sz w:val="13"/>
                <w:szCs w:val="13"/>
                <w:b w:val="1"/>
                <w:bCs w:val="1"/>
                <w:color w:val="auto"/>
              </w:rPr>
              <w:t>(In millions)</w:t>
            </w: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Balance, December 31, 2017</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60" w:right="360" w:hanging="161"/>
        <w:spacing w:after="0" w:line="253" w:lineRule="auto"/>
        <w:rPr>
          <w:sz w:val="20"/>
          <w:szCs w:val="20"/>
          <w:color w:val="auto"/>
        </w:rPr>
      </w:pPr>
      <w:r>
        <w:rPr>
          <w:rFonts w:ascii="Arial" w:cs="Arial" w:eastAsia="Arial" w:hAnsi="Arial"/>
          <w:sz w:val="14"/>
          <w:szCs w:val="14"/>
          <w:color w:val="auto"/>
        </w:rPr>
        <w:t>Cumulative effect of change in accounting principle and other, net of income tax (see Note 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January 1, 2018</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OCI before reclassifications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Deferred income tax benefit (expense)</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160"/>
              <w:spacing w:after="0"/>
              <w:rPr>
                <w:sz w:val="20"/>
                <w:szCs w:val="20"/>
                <w:color w:val="auto"/>
              </w:rPr>
            </w:pPr>
            <w:r>
              <w:rPr>
                <w:rFonts w:ascii="Arial" w:cs="Arial" w:eastAsia="Arial" w:hAnsi="Arial"/>
                <w:sz w:val="14"/>
                <w:szCs w:val="14"/>
                <w:color w:val="auto"/>
              </w:rPr>
              <w:t>AOCI before reclassifications, net of income tax</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Amounts reclassified from AOCI</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Deferred income tax benefit (expense)</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160"/>
              <w:spacing w:after="0"/>
              <w:rPr>
                <w:sz w:val="20"/>
                <w:szCs w:val="20"/>
                <w:color w:val="auto"/>
              </w:rPr>
            </w:pPr>
            <w:r>
              <w:rPr>
                <w:rFonts w:ascii="Arial" w:cs="Arial" w:eastAsia="Arial" w:hAnsi="Arial"/>
                <w:sz w:val="14"/>
                <w:szCs w:val="14"/>
                <w:color w:val="auto"/>
              </w:rPr>
              <w:t>Amounts reclassified from AOCI, net of income tax</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Balance, June 30, 2018</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1,572</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1,676</w:t>
            </w:r>
          </w:p>
        </w:tc>
      </w:tr>
      <w:tr>
        <w:trPr>
          <w:trHeight w:val="357"/>
        </w:trPr>
        <w:tc>
          <w:tcPr>
            <w:tcW w:w="620" w:type="dxa"/>
            <w:vAlign w:val="bottom"/>
          </w:tcPr>
          <w:p>
            <w:pPr>
              <w:jc w:val="right"/>
              <w:ind w:right="128"/>
              <w:spacing w:after="0"/>
              <w:rPr>
                <w:sz w:val="20"/>
                <w:szCs w:val="20"/>
                <w:color w:val="auto"/>
              </w:rPr>
            </w:pPr>
            <w:r>
              <w:rPr>
                <w:rFonts w:ascii="Arial" w:cs="Arial" w:eastAsia="Arial" w:hAnsi="Arial"/>
                <w:sz w:val="14"/>
                <w:szCs w:val="14"/>
                <w:color w:val="auto"/>
              </w:rPr>
              <w:t>(79)</w:t>
            </w:r>
          </w:p>
        </w:tc>
        <w:tc>
          <w:tcPr>
            <w:tcW w:w="5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44"/>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1,493</w:t>
            </w:r>
          </w:p>
        </w:tc>
        <w:tc>
          <w:tcPr>
            <w:tcW w:w="5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1,597</w:t>
            </w:r>
          </w:p>
        </w:tc>
      </w:tr>
      <w:tr>
        <w:trPr>
          <w:trHeight w:val="270"/>
        </w:trPr>
        <w:tc>
          <w:tcPr>
            <w:tcW w:w="620" w:type="dxa"/>
            <w:vAlign w:val="bottom"/>
          </w:tcPr>
          <w:p>
            <w:pPr>
              <w:jc w:val="right"/>
              <w:ind w:right="128"/>
              <w:spacing w:after="0"/>
              <w:rPr>
                <w:sz w:val="20"/>
                <w:szCs w:val="20"/>
                <w:color w:val="auto"/>
              </w:rPr>
            </w:pPr>
            <w:r>
              <w:rPr>
                <w:rFonts w:ascii="Arial" w:cs="Arial" w:eastAsia="Arial" w:hAnsi="Arial"/>
                <w:sz w:val="14"/>
                <w:szCs w:val="14"/>
                <w:color w:val="auto"/>
                <w:w w:val="90"/>
              </w:rPr>
              <w:t>(1,138)</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(1,094)</w:t>
            </w:r>
          </w:p>
        </w:tc>
      </w:tr>
      <w:tr>
        <w:trPr>
          <w:trHeight w:val="276"/>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259</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r>
      <w:tr>
        <w:trPr>
          <w:trHeight w:val="250"/>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614</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r>
      <w:tr>
        <w:trPr>
          <w:trHeight w:val="244"/>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76"/>
        </w:trPr>
        <w:tc>
          <w:tcPr>
            <w:tcW w:w="62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50"/>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76</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37"/>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690</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815</w:t>
            </w:r>
          </w:p>
        </w:tc>
      </w:tr>
      <w:tr>
        <w:trPr>
          <w:trHeight w:val="20"/>
        </w:trPr>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-1045845</wp:posOffset>
            </wp:positionV>
            <wp:extent cx="7246620" cy="1046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-1388745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180"/>
          </w:cols>
          <w:pgMar w:left="240" w:top="288" w:right="23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86"/>
              </w:rPr>
              <w:t>Six Months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3"/>
                <w:szCs w:val="13"/>
                <w:b w:val="1"/>
                <w:bCs w:val="1"/>
                <w:color w:val="auto"/>
                <w:w w:val="85"/>
              </w:rPr>
              <w:t>June 30, 2017</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Currency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Adjustments</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Plans Adjustment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4"/>
                <w:szCs w:val="14"/>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1,663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29"/>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6"/>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40"/>
              <w:spacing w:after="0"/>
              <w:rPr>
                <w:sz w:val="20"/>
                <w:szCs w:val="20"/>
                <w:color w:val="auto"/>
              </w:rPr>
            </w:pPr>
            <w:r>
              <w:rPr>
                <w:rFonts w:ascii="Arial" w:cs="Arial" w:eastAsia="Arial" w:hAnsi="Arial"/>
                <w:sz w:val="14"/>
                <w:szCs w:val="14"/>
                <w:color w:val="auto"/>
              </w:rPr>
              <w:t>Balance, June 30, 2017</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1,894</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7620</wp:posOffset>
            </wp:positionV>
            <wp:extent cx="4562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-98425</wp:posOffset>
            </wp:positionV>
            <wp:extent cx="4562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93" w:lineRule="exact"/>
        <w:rPr>
          <w:sz w:val="20"/>
          <w:szCs w:val="20"/>
          <w:color w:val="auto"/>
        </w:rPr>
      </w:pPr>
    </w:p>
    <w:p>
      <w:pPr>
        <w:ind w:left="5620" w:right="3100" w:hanging="5612"/>
        <w:spacing w:after="0" w:line="559" w:lineRule="auto"/>
        <w:tabs>
          <w:tab w:leader="none" w:pos="4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 54</w:t>
      </w:r>
    </w:p>
    <w:p>
      <w:pPr>
        <w:sectPr>
          <w:pgSz w:w="11900" w:h="16838" w:orient="portrait"/>
          <w:cols w:equalWidth="0" w:num="1">
            <w:col w:w="11420"/>
          </w:cols>
          <w:pgMar w:left="240" w:top="288" w:right="239" w:bottom="1440" w:gutter="0" w:footer="0" w:header="0"/>
          <w:type w:val="continuous"/>
        </w:sectPr>
      </w:pPr>
    </w:p>
    <w:bookmarkStart w:id="56" w:name="page57"/>
    <w:bookmarkEnd w:id="5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Notes to the Interim Condensed Consolidated and Combined Financial Statements (Unaudited)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AOCI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926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680" w:hanging="161"/>
        <w:spacing w:after="0" w:line="253" w:lineRule="auto"/>
        <w:rPr>
          <w:sz w:val="20"/>
          <w:szCs w:val="20"/>
          <w:color w:val="auto"/>
        </w:rPr>
      </w:pPr>
      <w:r>
        <w:rPr>
          <w:rFonts w:ascii="Arial" w:cs="Arial" w:eastAsia="Arial" w:hAnsi="Arial"/>
          <w:sz w:val="14"/>
          <w:szCs w:val="14"/>
          <w:color w:val="auto"/>
        </w:rPr>
        <w:t>Net unrealized investment gains (losses), before income tax</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840" w:right="300" w:hanging="125"/>
        <w:spacing w:after="0" w:line="253" w:lineRule="auto"/>
        <w:rPr>
          <w:sz w:val="20"/>
          <w:szCs w:val="20"/>
          <w:color w:val="auto"/>
        </w:rPr>
      </w:pPr>
      <w:r>
        <w:rPr>
          <w:rFonts w:ascii="Arial" w:cs="Arial" w:eastAsia="Arial" w:hAnsi="Arial"/>
          <w:sz w:val="14"/>
          <w:szCs w:val="14"/>
          <w:color w:val="auto"/>
        </w:rPr>
        <w:t>Net unrealized investment gains (losses), net of income tax</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Unrealized gains (losses) on derivatives - cash flow hedges: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Gains (losses) on cash flow hedges, before income tax</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840" w:right="640" w:hanging="161"/>
        <w:spacing w:after="0" w:line="253" w:lineRule="auto"/>
        <w:rPr>
          <w:sz w:val="20"/>
          <w:szCs w:val="20"/>
          <w:color w:val="auto"/>
        </w:rPr>
      </w:pPr>
      <w:r>
        <w:rPr>
          <w:rFonts w:ascii="Arial" w:cs="Arial" w:eastAsia="Arial" w:hAnsi="Arial"/>
          <w:sz w:val="14"/>
          <w:szCs w:val="14"/>
          <w:color w:val="auto"/>
        </w:rPr>
        <w:t>Gains (losses) on cash flow hedges, net of income tax</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 reclassifications, net of income tax</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86"/>
              </w:rPr>
              <w:t>Consolidated and Combined Statements</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of Operations and</w:t>
            </w:r>
          </w:p>
        </w:tc>
      </w:tr>
      <w:tr>
        <w:trPr>
          <w:trHeight w:val="174"/>
        </w:trPr>
        <w:tc>
          <w:tcPr>
            <w:tcW w:w="8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center"/>
              <w:ind w:left="657"/>
              <w:spacing w:after="0"/>
              <w:rPr>
                <w:sz w:val="20"/>
                <w:szCs w:val="20"/>
                <w:color w:val="auto"/>
              </w:rPr>
            </w:pPr>
            <w:r>
              <w:rPr>
                <w:rFonts w:ascii="Arial" w:cs="Arial" w:eastAsia="Arial" w:hAnsi="Arial"/>
                <w:sz w:val="13"/>
                <w:szCs w:val="13"/>
                <w:b w:val="1"/>
                <w:bCs w:val="1"/>
                <w:color w:val="auto"/>
                <w:w w:val="88"/>
              </w:rPr>
              <w:t>Amounts Reclassified from AOCI</w:t>
            </w:r>
          </w:p>
        </w:tc>
        <w:tc>
          <w:tcPr>
            <w:tcW w:w="1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Comprehensive Income (Loss) Locations</w:t>
            </w:r>
          </w:p>
        </w:tc>
      </w:tr>
      <w:tr>
        <w:trPr>
          <w:trHeight w:val="144"/>
        </w:trPr>
        <w:tc>
          <w:tcPr>
            <w:tcW w:w="860" w:type="dxa"/>
            <w:vAlign w:val="bottom"/>
          </w:tcPr>
          <w:p>
            <w:pPr>
              <w:spacing w:after="0"/>
              <w:rPr>
                <w:sz w:val="12"/>
                <w:szCs w:val="12"/>
                <w:color w:val="auto"/>
              </w:rPr>
            </w:pPr>
          </w:p>
        </w:tc>
        <w:tc>
          <w:tcPr>
            <w:tcW w:w="1340" w:type="dxa"/>
            <w:vAlign w:val="bottom"/>
          </w:tcPr>
          <w:p>
            <w:pPr>
              <w:jc w:val="center"/>
              <w:ind w:right="297"/>
              <w:spacing w:after="0" w:line="144" w:lineRule="exact"/>
              <w:rPr>
                <w:sz w:val="20"/>
                <w:szCs w:val="20"/>
                <w:color w:val="auto"/>
              </w:rPr>
            </w:pPr>
            <w:r>
              <w:rPr>
                <w:rFonts w:ascii="Arial" w:cs="Arial" w:eastAsia="Arial" w:hAnsi="Arial"/>
                <w:sz w:val="13"/>
                <w:szCs w:val="13"/>
                <w:b w:val="1"/>
                <w:bCs w:val="1"/>
                <w:color w:val="auto"/>
                <w:w w:val="91"/>
              </w:rPr>
              <w:t>Three Months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940" w:type="dxa"/>
            <w:vAlign w:val="bottom"/>
            <w:gridSpan w:val="3"/>
          </w:tcPr>
          <w:p>
            <w:pPr>
              <w:jc w:val="center"/>
              <w:ind w:right="3097"/>
              <w:spacing w:after="0" w:line="144" w:lineRule="exact"/>
              <w:rPr>
                <w:sz w:val="20"/>
                <w:szCs w:val="20"/>
                <w:color w:val="auto"/>
              </w:rPr>
            </w:pPr>
            <w:r>
              <w:rPr>
                <w:rFonts w:ascii="Arial" w:cs="Arial" w:eastAsia="Arial" w:hAnsi="Arial"/>
                <w:sz w:val="13"/>
                <w:szCs w:val="13"/>
                <w:b w:val="1"/>
                <w:bCs w:val="1"/>
                <w:color w:val="auto"/>
                <w:w w:val="89"/>
              </w:rPr>
              <w:t>Six Months</w:t>
            </w:r>
          </w:p>
        </w:tc>
      </w:tr>
      <w:tr>
        <w:trPr>
          <w:trHeight w:val="135"/>
        </w:trPr>
        <w:tc>
          <w:tcPr>
            <w:tcW w:w="860" w:type="dxa"/>
            <w:vAlign w:val="bottom"/>
          </w:tcPr>
          <w:p>
            <w:pPr>
              <w:spacing w:after="0"/>
              <w:rPr>
                <w:sz w:val="11"/>
                <w:szCs w:val="11"/>
                <w:color w:val="auto"/>
              </w:rPr>
            </w:pPr>
          </w:p>
        </w:tc>
        <w:tc>
          <w:tcPr>
            <w:tcW w:w="1340" w:type="dxa"/>
            <w:vAlign w:val="bottom"/>
          </w:tcPr>
          <w:p>
            <w:pPr>
              <w:jc w:val="center"/>
              <w:ind w:right="337"/>
              <w:spacing w:after="0" w:line="135" w:lineRule="exact"/>
              <w:rPr>
                <w:sz w:val="20"/>
                <w:szCs w:val="20"/>
                <w:color w:val="auto"/>
              </w:rPr>
            </w:pPr>
            <w:r>
              <w:rPr>
                <w:rFonts w:ascii="Arial" w:cs="Arial" w:eastAsia="Arial" w:hAnsi="Arial"/>
                <w:sz w:val="13"/>
                <w:szCs w:val="13"/>
                <w:b w:val="1"/>
                <w:bCs w:val="1"/>
                <w:color w:val="auto"/>
                <w:w w:val="85"/>
              </w:rPr>
              <w:t>Ended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940" w:type="dxa"/>
            <w:vAlign w:val="bottom"/>
            <w:gridSpan w:val="3"/>
          </w:tcPr>
          <w:p>
            <w:pPr>
              <w:jc w:val="center"/>
              <w:ind w:right="3137"/>
              <w:spacing w:after="0" w:line="135" w:lineRule="exact"/>
              <w:rPr>
                <w:sz w:val="20"/>
                <w:szCs w:val="20"/>
                <w:color w:val="auto"/>
              </w:rPr>
            </w:pPr>
            <w:r>
              <w:rPr>
                <w:rFonts w:ascii="Arial" w:cs="Arial" w:eastAsia="Arial" w:hAnsi="Arial"/>
                <w:sz w:val="13"/>
                <w:szCs w:val="13"/>
                <w:b w:val="1"/>
                <w:bCs w:val="1"/>
                <w:color w:val="auto"/>
                <w:w w:val="85"/>
              </w:rPr>
              <w:t>Ended</w:t>
            </w:r>
          </w:p>
        </w:tc>
      </w:tr>
      <w:tr>
        <w:trPr>
          <w:trHeight w:val="174"/>
        </w:trPr>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b w:val="1"/>
                <w:bCs w:val="1"/>
                <w:color w:val="auto"/>
                <w:w w:val="88"/>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697"/>
              <w:spacing w:after="0"/>
              <w:rPr>
                <w:sz w:val="20"/>
                <w:szCs w:val="20"/>
                <w:color w:val="auto"/>
              </w:rPr>
            </w:pPr>
            <w:r>
              <w:rPr>
                <w:rFonts w:ascii="Arial" w:cs="Arial" w:eastAsia="Arial" w:hAnsi="Arial"/>
                <w:sz w:val="13"/>
                <w:szCs w:val="13"/>
                <w:b w:val="1"/>
                <w:bCs w:val="1"/>
                <w:color w:val="auto"/>
                <w:w w:val="88"/>
              </w:rPr>
              <w:t>June 30,</w:t>
            </w:r>
          </w:p>
        </w:tc>
        <w:tc>
          <w:tcPr>
            <w:tcW w:w="2400" w:type="dxa"/>
            <w:vAlign w:val="bottom"/>
            <w:gridSpan w:val="2"/>
          </w:tcPr>
          <w:p>
            <w:pPr>
              <w:spacing w:after="0"/>
              <w:rPr>
                <w:sz w:val="15"/>
                <w:szCs w:val="15"/>
                <w:color w:val="auto"/>
              </w:rPr>
            </w:pPr>
          </w:p>
        </w:tc>
      </w:tr>
      <w:tr>
        <w:trPr>
          <w:trHeight w:val="264"/>
        </w:trPr>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2018</w:t>
            </w:r>
          </w:p>
        </w:tc>
        <w:tc>
          <w:tcPr>
            <w:tcW w:w="15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41"/>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0"/>
              </w:rPr>
              <w:t>(In millions)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10160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c>
          <w:tcPr>
            <w:tcW w:w="1840" w:type="dxa"/>
            <w:vAlign w:val="bottom"/>
          </w:tcPr>
          <w:p>
            <w:pPr>
              <w:ind w:left="140"/>
              <w:spacing w:after="0"/>
              <w:rPr>
                <w:sz w:val="20"/>
                <w:szCs w:val="20"/>
                <w:color w:val="auto"/>
              </w:rPr>
            </w:pPr>
            <w:r>
              <w:rPr>
                <w:rFonts w:ascii="Arial" w:cs="Arial" w:eastAsia="Arial" w:hAnsi="Arial"/>
                <w:sz w:val="14"/>
                <w:szCs w:val="14"/>
                <w:color w:val="auto"/>
                <w:w w:val="91"/>
              </w:rPr>
              <w:t>Net investment gains (losses)</w:t>
            </w:r>
          </w:p>
        </w:tc>
      </w:tr>
      <w:tr>
        <w:trPr>
          <w:trHeight w:val="270"/>
        </w:trPr>
        <w:tc>
          <w:tcPr>
            <w:tcW w:w="54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5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325"/>
        </w:trPr>
        <w:tc>
          <w:tcPr>
            <w:tcW w:w="5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840" w:type="dxa"/>
            <w:vAlign w:val="bottom"/>
          </w:tcPr>
          <w:p>
            <w:pPr>
              <w:spacing w:after="0"/>
              <w:rPr>
                <w:sz w:val="24"/>
                <w:szCs w:val="24"/>
                <w:color w:val="auto"/>
              </w:rPr>
            </w:pPr>
          </w:p>
        </w:tc>
      </w:tr>
      <w:tr>
        <w:trPr>
          <w:trHeight w:val="276"/>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840" w:type="dxa"/>
            <w:vAlign w:val="bottom"/>
          </w:tcPr>
          <w:p>
            <w:pPr>
              <w:spacing w:after="0"/>
              <w:rPr>
                <w:sz w:val="24"/>
                <w:szCs w:val="24"/>
                <w:color w:val="auto"/>
              </w:rPr>
            </w:pPr>
          </w:p>
        </w:tc>
      </w:tr>
      <w:tr>
        <w:trPr>
          <w:trHeight w:val="331"/>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840" w:type="dxa"/>
            <w:vAlign w:val="bottom"/>
          </w:tcPr>
          <w:p>
            <w:pPr>
              <w:spacing w:after="0"/>
              <w:rPr>
                <w:sz w:val="24"/>
                <w:szCs w:val="24"/>
                <w:color w:val="auto"/>
              </w:rPr>
            </w:pPr>
          </w:p>
        </w:tc>
      </w:tr>
      <w:tr>
        <w:trPr>
          <w:trHeight w:val="528"/>
        </w:trPr>
        <w:tc>
          <w:tcPr>
            <w:tcW w:w="5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70"/>
        </w:trPr>
        <w:tc>
          <w:tcPr>
            <w:tcW w:w="5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0"/>
        </w:trPr>
        <w:tc>
          <w:tcPr>
            <w:tcW w:w="54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70"/>
        </w:trPr>
        <w:tc>
          <w:tcPr>
            <w:tcW w:w="54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44"/>
        </w:trPr>
        <w:tc>
          <w:tcPr>
            <w:tcW w:w="54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840" w:type="dxa"/>
            <w:vAlign w:val="bottom"/>
          </w:tcPr>
          <w:p>
            <w:pPr>
              <w:spacing w:after="0"/>
              <w:rPr>
                <w:sz w:val="21"/>
                <w:szCs w:val="21"/>
                <w:color w:val="auto"/>
              </w:rPr>
            </w:pPr>
          </w:p>
        </w:tc>
      </w:tr>
      <w:tr>
        <w:trPr>
          <w:trHeight w:val="276"/>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840" w:type="dxa"/>
            <w:vAlign w:val="bottom"/>
          </w:tcPr>
          <w:p>
            <w:pPr>
              <w:spacing w:after="0"/>
              <w:rPr>
                <w:sz w:val="24"/>
                <w:szCs w:val="24"/>
                <w:color w:val="auto"/>
              </w:rPr>
            </w:pPr>
          </w:p>
        </w:tc>
      </w:tr>
      <w:tr>
        <w:trPr>
          <w:trHeight w:val="331"/>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840" w:type="dxa"/>
            <w:vAlign w:val="bottom"/>
          </w:tcPr>
          <w:p>
            <w:pPr>
              <w:spacing w:after="0"/>
              <w:rPr>
                <w:sz w:val="24"/>
                <w:szCs w:val="24"/>
                <w:color w:val="auto"/>
              </w:rPr>
            </w:pPr>
          </w:p>
        </w:tc>
      </w:tr>
      <w:tr>
        <w:trPr>
          <w:trHeight w:val="277"/>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-2752090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-2409190</wp:posOffset>
            </wp:positionV>
            <wp:extent cx="72466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-2014855</wp:posOffset>
            </wp:positionV>
            <wp:extent cx="72466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-1611630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-1268730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-925830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-582295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-187960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160"/>
            <w:col w:w="7520"/>
          </w:cols>
          <w:pgMar w:left="240" w:top="288"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88" w:right="239" w:bottom="1440" w:gutter="0" w:footer="0" w:header="0"/>
          <w:type w:val="continuous"/>
        </w:sectPr>
      </w:pPr>
    </w:p>
    <w:bookmarkStart w:id="57" w:name="page58"/>
    <w:bookmarkEnd w:id="5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are based on a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revenues consisted primarily of 12b-1 fees of $91 million and $184 million for the three months and six months ended June 30, 2018, respectively, and $96 million and $169 million for the three months and six months ended June 30, 2017, respectively, of which substantially all were reported in the Annuities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3"/>
              </w:rPr>
              <w:t>Six Months</w:t>
            </w:r>
          </w:p>
        </w:tc>
        <w:tc>
          <w:tcPr>
            <w:tcW w:w="84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421"/>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left="361"/>
              <w:spacing w:after="0" w:line="14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tcPr>
          <w:p>
            <w:pPr>
              <w:spacing w:after="0"/>
              <w:rPr>
                <w:sz w:val="12"/>
                <w:szCs w:val="12"/>
                <w:color w:val="auto"/>
              </w:rPr>
            </w:pP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Commissions</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390</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Related party expenses on ceded and assumed reinsurance</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DAC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taxes, licenses and fees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88</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 and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274</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Commissions and capitalization of DAC include the impact of related party reinsurance transactions. See Note 12 for a discussion of related party expenses included in the table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34" w:right="239" w:bottom="1440" w:gutter="0" w:footer="0" w:header="0"/>
        </w:sectPr>
      </w:pPr>
    </w:p>
    <w:bookmarkStart w:id="58" w:name="page59"/>
    <w:bookmarkEnd w:id="5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earnings per share (“EPS”):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1740" w:type="dxa"/>
            <w:vAlign w:val="bottom"/>
            <w:gridSpan w:val="3"/>
          </w:tcPr>
          <w:p>
            <w:pPr>
              <w:jc w:val="center"/>
              <w:ind w:left="804"/>
              <w:spacing w:after="0"/>
              <w:rPr>
                <w:sz w:val="20"/>
                <w:szCs w:val="20"/>
                <w:color w:val="auto"/>
              </w:rPr>
            </w:pPr>
            <w:r>
              <w:rPr>
                <w:rFonts w:ascii="Arial" w:cs="Arial" w:eastAsia="Arial" w:hAnsi="Arial"/>
                <w:sz w:val="14"/>
                <w:szCs w:val="14"/>
                <w:b w:val="1"/>
                <w:bCs w:val="1"/>
                <w:color w:val="auto"/>
                <w:w w:val="93"/>
              </w:rPr>
              <w:t>Six Months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3"/>
          </w:tcPr>
          <w:p>
            <w:pPr>
              <w:jc w:val="center"/>
              <w:ind w:left="864"/>
              <w:spacing w:after="0" w:line="149" w:lineRule="exact"/>
              <w:rPr>
                <w:sz w:val="20"/>
                <w:szCs w:val="20"/>
                <w:color w:val="auto"/>
              </w:rPr>
            </w:pPr>
            <w:r>
              <w:rPr>
                <w:rFonts w:ascii="Arial" w:cs="Arial" w:eastAsia="Arial" w:hAnsi="Arial"/>
                <w:sz w:val="14"/>
                <w:szCs w:val="14"/>
                <w:b w:val="1"/>
                <w:bCs w:val="1"/>
                <w:color w:val="auto"/>
                <w:w w:val="93"/>
              </w:rPr>
              <w:t>Ended</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center"/>
              <w:ind w:left="744"/>
              <w:spacing w:after="0" w:line="149"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904"/>
              <w:spacing w:after="0"/>
              <w:rPr>
                <w:sz w:val="20"/>
                <w:szCs w:val="20"/>
                <w:color w:val="auto"/>
              </w:rPr>
            </w:pPr>
            <w:r>
              <w:rPr>
                <w:rFonts w:ascii="Arial" w:cs="Arial" w:eastAsia="Arial" w:hAnsi="Arial"/>
                <w:sz w:val="14"/>
                <w:szCs w:val="14"/>
                <w:b w:val="1"/>
                <w:bCs w:val="1"/>
                <w:color w:val="auto"/>
                <w:w w:val="92"/>
              </w:rPr>
              <w:t>June 30,</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restart"/>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3"/>
                <w:szCs w:val="13"/>
                <w:color w:val="auto"/>
              </w:rPr>
            </w:pPr>
          </w:p>
        </w:tc>
        <w:tc>
          <w:tcPr>
            <w:tcW w:w="1240" w:type="dxa"/>
            <w:vAlign w:val="bottom"/>
            <w:vMerge w:val="restart"/>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2017 (1)</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share and per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Net income (loss) available to Brighthouse Financial, Inc.’s common</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119,773,106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119,773,106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119,773,106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119,773,106</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0"/>
              <w:spacing w:after="0"/>
              <w:rPr>
                <w:sz w:val="20"/>
                <w:szCs w:val="20"/>
                <w:color w:val="auto"/>
              </w:rPr>
            </w:pPr>
            <w:r>
              <w:rPr>
                <w:rFonts w:ascii="Arial" w:cs="Arial" w:eastAsia="Arial" w:hAnsi="Arial"/>
                <w:sz w:val="16"/>
                <w:szCs w:val="16"/>
                <w:color w:val="auto"/>
              </w:rPr>
              <w:t>Earnings per common share:</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August 4, 2017, following the completion of the Separation, 119,773,106 shares of Brighthouse Financial, Inc. common stock were outstanding and are utilized to calculate EPS for the three months and six months ended June 30, 2017.</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Basic loss per common share equaled diluted loss per common share for the three months and six months ended June 30, 2018. The diluted shares were not utilized in the per share calculation, as the inclusion of such shares would have an antidilutive effect.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June 30, 2018, the Company estimates the aggregate range of reasonably possible losses in excess of amounts accrued, if any, for these matters to be $0 to $10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34" w:right="239" w:bottom="1440" w:gutter="0" w:footer="0" w:header="0"/>
        </w:sectPr>
      </w:pPr>
    </w:p>
    <w:bookmarkStart w:id="59" w:name="page60"/>
    <w:bookmarkEnd w:id="5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Diversified Lending Group Litigations</w:t>
      </w:r>
    </w:p>
    <w:p>
      <w:pPr>
        <w:spacing w:after="0" w:line="17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Hartshorne v. NELICO, et al. </w:t>
      </w:r>
      <w:r>
        <w:rPr>
          <w:rFonts w:ascii="Arial" w:cs="Arial" w:eastAsia="Arial" w:hAnsi="Arial"/>
          <w:sz w:val="18"/>
          <w:szCs w:val="18"/>
          <w:color w:val="auto"/>
        </w:rPr>
        <w:t>(Los Angeles County Superior Court, filed March 25, 2015). Plaintiffs have named New England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(“NELICO”), MetLife, Inc. and MetLife Securities, Inc. in twelve related lawsuits in California state court alleging various causes of action including multiple negligence and statutory claims relating to the Diversified Lending Group Ponzi scheme. As of May 2, 2018, all of the claims have been resolved.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mutual funds or other products. The Company continues to defend vigorously against the claims in these matters. The Company believes adequate provision has been made in its consolidated and combined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Unclaimed Property Litigation</w:t>
      </w:r>
    </w:p>
    <w:p>
      <w:pPr>
        <w:spacing w:after="0" w:line="117" w:lineRule="exact"/>
        <w:rPr>
          <w:sz w:val="20"/>
          <w:szCs w:val="20"/>
          <w:color w:val="auto"/>
        </w:rPr>
      </w:pPr>
    </w:p>
    <w:p>
      <w:pPr>
        <w:jc w:val="both"/>
        <w:ind w:left="340" w:firstLine="324"/>
        <w:spacing w:after="0" w:line="287" w:lineRule="auto"/>
        <w:rPr>
          <w:sz w:val="20"/>
          <w:szCs w:val="20"/>
          <w:color w:val="auto"/>
        </w:rPr>
      </w:pPr>
      <w:r>
        <w:rPr>
          <w:rFonts w:ascii="Arial" w:cs="Arial" w:eastAsia="Arial" w:hAnsi="Arial"/>
          <w:sz w:val="16"/>
          <w:szCs w:val="16"/>
          <w:i w:val="1"/>
          <w:iCs w:val="1"/>
          <w:color w:val="auto"/>
        </w:rPr>
        <w:t xml:space="preserve">Total Asset Recovery Services, LLC on its own behalf and on behalf of the State of New York v. Brighthouse Financial, Inc., et al. </w:t>
      </w:r>
      <w:r>
        <w:rPr>
          <w:rFonts w:ascii="Arial" w:cs="Arial" w:eastAsia="Arial" w:hAnsi="Arial"/>
          <w:sz w:val="16"/>
          <w:szCs w:val="16"/>
          <w:color w:val="auto"/>
        </w:rPr>
        <w:t>(Supreme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County, NY, second amended complaint filed November 17, 2017). Total Asset Recovery Services, LLC (the “Relator”) has brought a qui tam action against Brighthouse Financial, Inc. and its subsidiaries and affiliates under the New York False Claims Act seeking to recover damages on behalf of the State of New York. The action originally was filed under seal on or about December 3, 2010. The State of New York declined to intervene in the action, and the Relator is now prosecuting the action. The Relator alleges that from on or about April 1, 1986 and continuing annually through on or about September 10, 2017, the defendants violated New York State Finance Law Section 189 (1) (g) by failing to timely report and deliver unclaimed insurance property to the State of New York. The Relator is seeking, among other things, treble damages, penalties, expenses and attorneys’ fees and prejudgment interest. No specific dollar amount of damages is specified by the Relator who also is suing numerous insurance companies and John Doe defendants. Brighthouse Financial, Inc. filed a motion to dismiss. The Court has entered an order of voluntary discontinuance without prejudice pursuant to which the Relator dismissed Brighthouse Financial, Inc. without prejudice but reserved its right to file a motion to amend to name other Brighthouse entities as defendants. If other Brighthouse entities are named, the Brighthouse defendants intend to defend this action vigorously.</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Group Annuity Class Action</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i w:val="1"/>
          <w:iCs w:val="1"/>
          <w:color w:val="auto"/>
        </w:rPr>
        <w:t xml:space="preserve">Edward Roycroft v. Brighthouse Financial, Inc., et al. </w:t>
      </w:r>
      <w:r>
        <w:rPr>
          <w:rFonts w:ascii="Arial" w:cs="Arial" w:eastAsia="Arial" w:hAnsi="Arial"/>
          <w:sz w:val="18"/>
          <w:szCs w:val="18"/>
          <w:color w:val="auto"/>
        </w:rPr>
        <w:t>(U.S. District Court, Southern District of New York, filed June 18, 2018). Edward Roycroft</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purported class action against Brighthouse Financial, Inc., MetLife, Inc., and Metropolitan Life Insurance Company. The complaint alleges plaintiff is a beneficiary of a Martindale-Hubbell group annuity contract and did not receive payments plaintiff claims he was entitled to upon his retirement in 1999. Plaintiff seeks to represent a class of all beneficiaries who were due annuity benefits pursuant to group annuity contracts and whose annuity benefits were released from reserves. Plaintiff’s causes of action are for conversion, unjust enrichment, an accounting and for a constructive trust. Plaintiff seeks damages, attorneys’ fees, declaratory and injunctive relief and other equitable remedies. Brighthouse Financial, Inc. intends to defend this action vigorously.</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and combined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34" w:right="239" w:bottom="1440" w:gutter="0" w:footer="0" w:header="0"/>
        </w:sectPr>
      </w:pPr>
    </w:p>
    <w:bookmarkStart w:id="60" w:name="page61"/>
    <w:bookmarkEnd w:id="6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and combined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$371 million and $388 million at June 30,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and Private Corporate Bond Investments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private corporate bond investments. The amounts of these unfunded commitments were $1.5 billion and $1.4 billion at June 30,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$169 million, with a cumulative maximum of $175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The Company’s recorded liabilities were $2 million at both June 30, 2018 and December 31, 2017 for indemnities, guarantees and commitments.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had not historically operated as a standalone business prior to the Separation, and as a result had various existing arrangements with MetLife for services necessary to conduct its activities. Subsequent to the Separation, certain of such services continued, as provided for under a master service agreement and various transition services agreements entered into in connection with the Separation. MetLife was no longer considered a related party upon the completion of the MetLife Divestiture on June 14, 2018. See Note 1 for information regarding the MetLife Divestiture.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and expense from transactions with MetLife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center"/>
              <w:ind w:left="3"/>
              <w:spacing w:after="0"/>
              <w:rPr>
                <w:sz w:val="20"/>
                <w:szCs w:val="20"/>
                <w:color w:val="auto"/>
              </w:rPr>
            </w:pPr>
            <w:r>
              <w:rPr>
                <w:rFonts w:ascii="Arial" w:cs="Arial" w:eastAsia="Arial" w:hAnsi="Arial"/>
                <w:sz w:val="14"/>
                <w:szCs w:val="14"/>
                <w:b w:val="1"/>
                <w:bCs w:val="1"/>
                <w:color w:val="auto"/>
                <w:w w:val="93"/>
              </w:rPr>
              <w:t>Six Months</w:t>
            </w:r>
          </w:p>
        </w:tc>
        <w:tc>
          <w:tcPr>
            <w:tcW w:w="1020" w:type="dxa"/>
            <w:vAlign w:val="bottom"/>
          </w:tcPr>
          <w:p>
            <w:pPr>
              <w:spacing w:after="0"/>
              <w:rPr>
                <w:sz w:val="14"/>
                <w:szCs w:val="14"/>
                <w:color w:val="auto"/>
              </w:rPr>
            </w:pPr>
          </w:p>
        </w:tc>
      </w:tr>
      <w:tr>
        <w:trPr>
          <w:trHeight w:val="149"/>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20" w:type="dxa"/>
            <w:vAlign w:val="bottom"/>
            <w:gridSpan w:val="2"/>
          </w:tcPr>
          <w:p>
            <w:pPr>
              <w:jc w:val="center"/>
              <w:ind w:right="442"/>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tcPr>
          <w:p>
            <w:pPr>
              <w:spacing w:after="0"/>
              <w:rPr>
                <w:sz w:val="12"/>
                <w:szCs w:val="12"/>
                <w:color w:val="auto"/>
              </w:rPr>
            </w:pPr>
          </w:p>
        </w:tc>
      </w:tr>
      <w:tr>
        <w:trPr>
          <w:trHeight w:val="192"/>
        </w:trPr>
        <w:tc>
          <w:tcPr>
            <w:tcW w:w="49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402"/>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0"/>
        </w:trPr>
        <w:tc>
          <w:tcPr>
            <w:tcW w:w="4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4"/>
          </w:tcPr>
          <w:p>
            <w:pPr>
              <w:jc w:val="center"/>
              <w:ind w:right="663"/>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(101)</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(182)</w:t>
            </w:r>
          </w:p>
        </w:tc>
        <w:tc>
          <w:tcPr>
            <w:tcW w:w="56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Expense</w:t>
            </w:r>
          </w:p>
        </w:tc>
        <w:tc>
          <w:tcPr>
            <w:tcW w:w="108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4"/>
              <w:spacing w:after="0"/>
              <w:rPr>
                <w:sz w:val="20"/>
                <w:szCs w:val="20"/>
                <w:color w:val="auto"/>
              </w:rPr>
            </w:pPr>
            <w:r>
              <w:rPr>
                <w:rFonts w:ascii="Arial" w:cs="Arial" w:eastAsia="Arial" w:hAnsi="Arial"/>
                <w:sz w:val="16"/>
                <w:szCs w:val="16"/>
                <w:color w:val="auto"/>
              </w:rPr>
              <w:t>55</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133</w:t>
            </w:r>
          </w:p>
        </w:tc>
        <w:tc>
          <w:tcPr>
            <w:tcW w:w="5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180</w:t>
            </w:r>
          </w:p>
        </w:tc>
      </w:tr>
      <w:tr>
        <w:trPr>
          <w:trHeight w:val="357"/>
        </w:trPr>
        <w:tc>
          <w:tcPr>
            <w:tcW w:w="6680" w:type="dxa"/>
            <w:vAlign w:val="bottom"/>
            <w:gridSpan w:val="3"/>
          </w:tcPr>
          <w:p>
            <w:pPr>
              <w:ind w:left="340"/>
              <w:spacing w:after="0"/>
              <w:rPr>
                <w:sz w:val="20"/>
                <w:szCs w:val="20"/>
                <w:color w:val="auto"/>
              </w:rPr>
            </w:pPr>
            <w:r>
              <w:rPr>
                <w:rFonts w:ascii="Arial" w:cs="Arial" w:eastAsia="Arial" w:hAnsi="Arial"/>
                <w:sz w:val="18"/>
                <w:szCs w:val="18"/>
                <w:color w:val="auto"/>
                <w:w w:val="92"/>
              </w:rPr>
              <w:t>The following table summarizes assets and liabilities from transactions with MetLife at:</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1"/>
        </w:trPr>
        <w:tc>
          <w:tcPr>
            <w:tcW w:w="4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4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center"/>
              <w:ind w:left="281"/>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center"/>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2,907</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jc w:val="center"/>
              <w:ind w:left="281"/>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560" w:type="dxa"/>
            <w:vAlign w:val="bottom"/>
          </w:tcPr>
          <w:p>
            <w:pPr>
              <w:jc w:val="center"/>
              <w:ind w:right="36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2,178</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MetLife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affiliates. The Company participates in reinsurance activities in order to limit losses, minimize exposure to significant risks and provide additional capacity for future growth.</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has reinsurance agreements with certain MetLife, Inc. subsidiaries, including MLIC, Metropolitan Tower Life Insurance Company and MetLife Reinsurance Company of Vermont, all of which were related parties until the completion of the MetLife Divestiture.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34" w:right="239" w:bottom="1440" w:gutter="0" w:footer="0" w:header="0"/>
        </w:sectPr>
      </w:pPr>
    </w:p>
    <w:bookmarkStart w:id="62" w:name="page63"/>
    <w:bookmarkEnd w:id="6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interim condensed consolidated and combined statements of operations and comprehensive income (loss)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Six Months</w:t>
            </w:r>
          </w:p>
        </w:tc>
        <w:tc>
          <w:tcPr>
            <w:tcW w:w="94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521"/>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left="461"/>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premiums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73"/>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universal life and investment-type product policy fees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r>
      <w:tr>
        <w:trPr>
          <w:trHeight w:val="73"/>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other revenues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r>
      <w:tr>
        <w:trPr>
          <w:trHeight w:val="73"/>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policyholder benefits and claims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interim condensed consolidated balance sheets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w w:val="92"/>
              </w:rPr>
              <w:t>June 30, 2018</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Assumed</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Ceded</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1"/>
              </w:rPr>
              <w:t>Assumed</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Ceded</w:t>
            </w:r>
          </w:p>
        </w:tc>
      </w:tr>
      <w:tr>
        <w:trPr>
          <w:trHeight w:val="250"/>
        </w:trPr>
        <w:tc>
          <w:tcPr>
            <w:tcW w:w="5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(In millions)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3,410</w:t>
            </w:r>
          </w:p>
        </w:tc>
      </w:tr>
      <w:tr>
        <w:trPr>
          <w:trHeight w:val="33"/>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policy-related balances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1,674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401</w:t>
            </w:r>
          </w:p>
        </w:tc>
      </w:tr>
      <w:tr>
        <w:trPr>
          <w:trHeight w:val="33"/>
        </w:trPr>
        <w:tc>
          <w:tcPr>
            <w:tcW w:w="5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Company cedes risks to MLIC related to guaranteed minimum benefits written directly by the Company. The ceded reinsurance agreements contain embedded derivatives and changes in the estimated fair value are also included within net derivative gains (losses). The embedded derivatives associated with the cessions are included within premiums, reinsurance and other receivables and were $0 and $2 million at June 30, 2018 and December 31, 2017, respectively. Net derivative gains (losses) associated with the embedded derivatives were less than ($1) million for both three months and six months ended June 30, 2018, and $0 and ($263) million for the three months and six months ended June 30, 2017, respectively.</w:t>
      </w:r>
    </w:p>
    <w:p>
      <w:pPr>
        <w:spacing w:after="0" w:line="50"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In May 2017, the Company recaptured from MLIC risks related to multiple life products ceded under yearly renewable term and coinsurance agreements. This recapture resulted in an increase in cash and cash equivalents of $214 million and a decrease in premiums, reinsurance and other receivables of $189 million. The Company recognized a gain of $17 million, net of income tax, as a result of this reinsurance termination.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34" w:right="239" w:bottom="1440" w:gutter="0" w:footer="0" w:header="0"/>
        </w:sectPr>
      </w:pPr>
    </w:p>
    <w:bookmarkStart w:id="63" w:name="page64"/>
    <w:bookmarkEnd w:id="6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January 2017, the Company executed a novation and assignment of a reinsurance agreements under which MLIC reinsured certain variable annuities, including guaranteed minimum benefits, issued by Brighthouse Insurance Company of NY (“BHNY”) and NELICO. As a result of the novation and assignment, the reinsurance agreement is now between Brighthouse Life Insurance Company and BHNY and NELICO. The transaction is treated as a termination of the existing reinsurance agreement with recognition of a loss and a new reinsurance agreement with no recognition of a gain or loss. The transaction resulted in an increase in other liabilities of $274 million. The Company recognized a loss of $178 million, net of income tax, as a result of this transaction.</w:t>
      </w:r>
    </w:p>
    <w:p>
      <w:pPr>
        <w:spacing w:after="0" w:line="85"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January 2017, MLIC recaptured risks related to guaranteed minimum benefits written by MLIC that were reinsured by the Company. This recapture resulted in a decrease in investments and cash and cash equivalents of $568 million, a decrease in future policy benefits of $106 million, and a decrease in policyholder account balances of $460 million. In June 2017, there was an adjustment to the recapture amounts of this transaction, which resulted in an increase in premiums, reinsurance and other receivables of $140 million at June 30, 2017. The Company recognized a gain of $91 million and $89 million, net of income tax, for the three months and six months ended June 30, 2018, respectively, as a result of this transaction.</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Arrangements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the Separation, the Company had collateral financing arrangements with MetLife that were used to support reinsurance obligations arising under previously affiliated reinsurance agreements. The Company recognized interest expense for such arrangements of $24 million and $55 million for the three months and six months ended June 30, 2017, respectively. These arrangements were terminated in April 2017.</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the Company had previously transferred invested assets, primarily consisting of fixed maturity securities, to and from former affiliates. See Note 4 for further discussion of the related party investment transactions.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MetLife provides the Company certain services, which include, but are not limited to, treasury, financial planning and analysis, legal, human resources, tax planning, internal audit, financial reporting, and information technology. The Company is charged for these services through a transition services agreement and allocated to the legal entities and products within the Company.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Expenses incurred with MetLife related to these arrangements, recorded in other expenses, were $92 million and $186 million for the three months and six months ended June 30, 2018, respectively, and $98 million and $195 million for the three months and six months ended June 30, 2017,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5, 2018, Brighthouse Financial, Inc.’s Board of Directors authorized the repurchase of up to $200 million of common stock. Repurchases made under such authorization may be made through open market purchases, pursuant to 10b5-1 plans, or pursuant to accelerated stock repurchase plans from time to time at management's discretion in accordance with applicable federal securities laws. No common stock repurchases have been made as of August 7,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34"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gridSpan w:val="3"/>
          </w:tcPr>
          <w:p>
            <w:pPr>
              <w:spacing w:after="0" w:line="170" w:lineRule="exact"/>
              <w:rPr>
                <w:rFonts w:ascii="Arial" w:cs="Arial" w:eastAsia="Arial" w:hAnsi="Arial"/>
                <w:sz w:val="18"/>
                <w:szCs w:val="18"/>
                <w:color w:val="0000EE"/>
              </w:rPr>
            </w:pPr>
            <w:hyperlink w:anchor="page66">
              <w:r>
                <w:rPr>
                  <w:rFonts w:ascii="Arial" w:cs="Arial" w:eastAsia="Arial" w:hAnsi="Arial"/>
                  <w:sz w:val="18"/>
                  <w:szCs w:val="18"/>
                  <w:color w:val="0000EE"/>
                </w:rPr>
                <w:t>Introduction</w:t>
              </w:r>
            </w:hyperlink>
          </w:p>
        </w:tc>
        <w:tc>
          <w:tcPr>
            <w:tcW w:w="3300" w:type="dxa"/>
            <w:vAlign w:val="bottom"/>
            <w:gridSpan w:val="9"/>
          </w:tcPr>
          <w:p>
            <w:pPr>
              <w:spacing w:after="0"/>
              <w:rPr>
                <w:sz w:val="16"/>
                <w:szCs w:val="16"/>
                <w:color w:val="auto"/>
              </w:rPr>
            </w:pPr>
          </w:p>
        </w:tc>
        <w:tc>
          <w:tcPr>
            <w:tcW w:w="6580" w:type="dxa"/>
            <w:vAlign w:val="bottom"/>
            <w:gridSpan w:val="4"/>
          </w:tcPr>
          <w:p>
            <w:pPr>
              <w:jc w:val="center"/>
              <w:ind w:left="6310"/>
              <w:spacing w:after="0" w:line="170"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7"/>
        </w:trPr>
        <w:tc>
          <w:tcPr>
            <w:tcW w:w="82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1460" w:type="dxa"/>
            <w:vAlign w:val="bottom"/>
            <w:gridSpan w:val="5"/>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Executive Summary</w:t>
              </w:r>
            </w:hyperlink>
          </w:p>
        </w:tc>
        <w:tc>
          <w:tcPr>
            <w:tcW w:w="2980" w:type="dxa"/>
            <w:vAlign w:val="bottom"/>
            <w:gridSpan w:val="7"/>
          </w:tcPr>
          <w:p>
            <w:pPr>
              <w:spacing w:after="0"/>
              <w:rPr>
                <w:sz w:val="22"/>
                <w:szCs w:val="22"/>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Industry Trends</w:t>
              </w:r>
            </w:hyperlink>
          </w:p>
        </w:tc>
        <w:tc>
          <w:tcPr>
            <w:tcW w:w="320" w:type="dxa"/>
            <w:vAlign w:val="bottom"/>
            <w:gridSpan w:val="2"/>
          </w:tcPr>
          <w:p>
            <w:pPr>
              <w:spacing w:after="0"/>
              <w:rPr>
                <w:sz w:val="21"/>
                <w:szCs w:val="21"/>
                <w:color w:val="auto"/>
              </w:rPr>
            </w:pPr>
          </w:p>
        </w:tc>
        <w:tc>
          <w:tcPr>
            <w:tcW w:w="2980" w:type="dxa"/>
            <w:vAlign w:val="bottom"/>
            <w:gridSpan w:val="7"/>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44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Summary of Critical Accounting Estimates</w:t>
              </w:r>
            </w:hyperlink>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220" w:type="dxa"/>
            <w:vAlign w:val="bottom"/>
            <w:gridSpan w:val="10"/>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Non-GAAP and Other Financial Disclosures</w:t>
              </w:r>
            </w:hyperlink>
          </w:p>
        </w:tc>
        <w:tc>
          <w:tcPr>
            <w:tcW w:w="1220" w:type="dxa"/>
            <w:vAlign w:val="bottom"/>
            <w:gridSpan w:val="2"/>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220" w:type="dxa"/>
            <w:vAlign w:val="bottom"/>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Segment Capital</w:t>
              </w:r>
            </w:hyperlink>
          </w:p>
        </w:tc>
        <w:tc>
          <w:tcPr>
            <w:tcW w:w="1220" w:type="dxa"/>
            <w:vAlign w:val="bottom"/>
            <w:gridSpan w:val="2"/>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6"/>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Results of Operations</w:t>
              </w:r>
            </w:hyperlink>
          </w:p>
        </w:tc>
        <w:tc>
          <w:tcPr>
            <w:tcW w:w="2880" w:type="dxa"/>
            <w:vAlign w:val="bottom"/>
            <w:gridSpan w:val="6"/>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Investments</w:t>
              </w:r>
            </w:hyperlink>
          </w:p>
        </w:tc>
        <w:tc>
          <w:tcPr>
            <w:tcW w:w="2880" w:type="dxa"/>
            <w:vAlign w:val="bottom"/>
            <w:gridSpan w:val="6"/>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color w:val="0000EE"/>
                <w:w w:val="87"/>
              </w:rPr>
            </w:pPr>
            <w:hyperlink w:anchor="page99">
              <w:r>
                <w:rPr>
                  <w:rFonts w:ascii="Arial" w:cs="Arial" w:eastAsia="Arial" w:hAnsi="Arial"/>
                  <w:sz w:val="18"/>
                  <w:szCs w:val="18"/>
                  <w:color w:val="0000EE"/>
                  <w:w w:val="87"/>
                </w:rPr>
                <w:t>Derivatives</w:t>
              </w:r>
            </w:hyperlink>
          </w:p>
        </w:tc>
        <w:tc>
          <w:tcPr>
            <w:tcW w:w="3620" w:type="dxa"/>
            <w:vAlign w:val="bottom"/>
            <w:gridSpan w:val="11"/>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Off Balance Sheet Arrangements</w:t>
              </w:r>
            </w:hyperlink>
          </w:p>
        </w:tc>
        <w:tc>
          <w:tcPr>
            <w:tcW w:w="2120" w:type="dxa"/>
            <w:vAlign w:val="bottom"/>
            <w:gridSpan w:val="4"/>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168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Policyholder Liabilities</w:t>
              </w:r>
            </w:hyperlink>
          </w:p>
        </w:tc>
        <w:tc>
          <w:tcPr>
            <w:tcW w:w="2120" w:type="dxa"/>
            <w:vAlign w:val="bottom"/>
            <w:gridSpan w:val="4"/>
          </w:tcPr>
          <w:p>
            <w:pPr>
              <w:spacing w:after="0"/>
              <w:rPr>
                <w:sz w:val="21"/>
                <w:szCs w:val="21"/>
                <w:color w:val="auto"/>
              </w:rPr>
            </w:pPr>
          </w:p>
        </w:tc>
        <w:tc>
          <w:tcPr>
            <w:tcW w:w="6940" w:type="dxa"/>
            <w:vAlign w:val="bottom"/>
            <w:gridSpan w:val="6"/>
          </w:tcPr>
          <w:p>
            <w:pPr>
              <w:jc w:val="center"/>
              <w:ind w:left="5950"/>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100</w:t>
              </w:r>
            </w:hyperlink>
          </w:p>
        </w:tc>
      </w:tr>
      <w:tr>
        <w:trPr>
          <w:trHeight w:val="20"/>
        </w:trPr>
        <w:tc>
          <w:tcPr>
            <w:tcW w:w="168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Liquidity and Capital Resources</w:t>
              </w:r>
            </w:hyperlink>
          </w:p>
        </w:tc>
        <w:tc>
          <w:tcPr>
            <w:tcW w:w="2120" w:type="dxa"/>
            <w:vAlign w:val="bottom"/>
            <w:gridSpan w:val="4"/>
          </w:tcPr>
          <w:p>
            <w:pPr>
              <w:spacing w:after="0"/>
              <w:rPr>
                <w:sz w:val="21"/>
                <w:szCs w:val="21"/>
                <w:color w:val="auto"/>
              </w:rPr>
            </w:pPr>
          </w:p>
        </w:tc>
        <w:tc>
          <w:tcPr>
            <w:tcW w:w="6940" w:type="dxa"/>
            <w:vAlign w:val="bottom"/>
            <w:gridSpan w:val="6"/>
          </w:tcPr>
          <w:p>
            <w:pPr>
              <w:jc w:val="center"/>
              <w:ind w:left="595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r>
      <w:tr>
        <w:trPr>
          <w:trHeight w:val="20"/>
        </w:trPr>
        <w:tc>
          <w:tcPr>
            <w:tcW w:w="2320" w:type="dxa"/>
            <w:vAlign w:val="bottom"/>
            <w:gridSpan w:val="8"/>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440" w:type="dxa"/>
            <w:vAlign w:val="bottom"/>
            <w:gridSpan w:val="1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Note Regarding Forward-Looking Statements</w:t>
              </w:r>
            </w:hyperlink>
          </w:p>
        </w:tc>
        <w:tc>
          <w:tcPr>
            <w:tcW w:w="6620" w:type="dxa"/>
            <w:vAlign w:val="bottom"/>
            <w:gridSpan w:val="5"/>
          </w:tcPr>
          <w:p>
            <w:pPr>
              <w:jc w:val="center"/>
              <w:ind w:left="627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320" w:type="dxa"/>
            <w:vAlign w:val="bottom"/>
          </w:tcPr>
          <w:p>
            <w:pPr>
              <w:spacing w:after="0"/>
              <w:rPr>
                <w:sz w:val="21"/>
                <w:szCs w:val="2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040" w:type="dxa"/>
            <w:vAlign w:val="bottom"/>
          </w:tcPr>
          <w:p>
            <w:pPr>
              <w:jc w:val="right"/>
              <w:ind w:right="463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purposes of this discussion, “Brighthouse,” the “Company,” “we,” “our” and “us” refer to Brighthouse Financial, Inc. a corporation incorporated in Delaware in 2016, and its subsidiaries. Brighthouse Financial, Inc. was formerly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w:t>
      </w:r>
    </w:p>
    <w:p>
      <w:pPr>
        <w:spacing w:after="0" w:line="2" w:lineRule="exact"/>
        <w:rPr>
          <w:sz w:val="20"/>
          <w:szCs w:val="20"/>
          <w:color w:val="auto"/>
        </w:rPr>
      </w:pPr>
    </w:p>
    <w:p>
      <w:pPr>
        <w:jc w:val="both"/>
        <w:ind w:firstLine="8"/>
        <w:spacing w:after="0" w:line="254" w:lineRule="auto"/>
        <w:tabs>
          <w:tab w:leader="none" w:pos="2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unaudited interim condensed consolidated and combined financial statements and related notes included elsewhere herein; (ii) our Annual Report on Form 10-K for the year ended December 31, 2017, filed with the U.S. Securities and Exchange Commission (“SEC”) on March 16, 2018 (the “2017 Annual Report”); (iii) our Quarterly Report on Form 10-Q for the quarter ended March 31, 2018 (the “First Quarter Form 10-Q”) filed with the SEC on May 9, 2018; and (iv) our current reports on Form 8-K filed in 2018.</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term “Separation” refers to the separation of MetLife, Inc.’s former Brighthouse Financial segment from MetLife’s other businesses and the creation of a separate, publicly traded company, Brighthouse Financial, Inc., to hold the assets (including the equity interests of certain MetLife, Inc. subsidiaries) and liabilities associated with MetLife, Inc.’s former Brighthouse Financial segment from and after the Distribution; the term “Distribution” refers to the distribution on August 4, 2017 of 96,776,670, or 80.8%, of the 119,773,106 shares of Brighthouse Financial, Inc. common stock outstanding immediately prior to the Distribution date by MetLife, Inc. to shareholders of MetLife, Inc. as of the record date for the Distribution. The term “MetLife Divestiture” refers to the disposition by MetLife, Inc. on June 14, 2018 of all its remaining shares of Brighthouse Financial, Inc. common stock. Effective with the MetLife Divestiture, MetLife and its subsidiaries and affiliates are no longer considered related parties to Brighthouse Financial, Inc. and its subsidiaries and affiliates.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Summary” contains the following sub-sections: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“Overview” provides information regarding our business, segments and results as discussed in the Results of Operations.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“Background” presents details of the Company’s legal entity structure.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2017 Annual Report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8"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a major provider of annuity products and life insurance in the United States through multiple independent distribution channels and marketing arrangements with a diverse network of distribution partners.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not included in the segments in Corporate &amp; Other.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 Executive Summary — Overview,” and “Business — Segments and Corporate &amp; Other” included in the 2017 Annual Report along with Note 2 of the Notes to the Interim Condensed Consolidated and Combined Financial Statements for further information on our segments and Corporate &amp; Other.</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presents a summary of our net income (loss) and adjusted earnings. For a detailed discussion of our results see “— Results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14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6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5"/>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(269)</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780" w:type="dxa"/>
            <w:vAlign w:val="bottom"/>
          </w:tcPr>
          <w:p>
            <w:pPr>
              <w:spacing w:after="0"/>
              <w:rPr>
                <w:sz w:val="20"/>
                <w:szCs w:val="20"/>
                <w:color w:val="auto"/>
              </w:rPr>
            </w:pP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(166)</w:t>
            </w:r>
          </w:p>
        </w:tc>
      </w:tr>
      <w:tr>
        <w:trPr>
          <w:trHeight w:val="33"/>
        </w:trPr>
        <w:tc>
          <w:tcPr>
            <w:tcW w:w="61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5"/>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818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780" w:type="dxa"/>
            <w:vAlign w:val="bottom"/>
          </w:tcPr>
          <w:p>
            <w:pPr>
              <w:spacing w:after="0"/>
              <w:rPr>
                <w:sz w:val="20"/>
                <w:szCs w:val="20"/>
                <w:color w:val="auto"/>
              </w:rPr>
            </w:pPr>
          </w:p>
        </w:tc>
        <w:tc>
          <w:tcPr>
            <w:tcW w:w="48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22"/>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214</w:t>
            </w:r>
          </w:p>
        </w:tc>
      </w:tr>
      <w:tr>
        <w:trPr>
          <w:trHeight w:val="33"/>
        </w:trPr>
        <w:tc>
          <w:tcPr>
            <w:tcW w:w="61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three months ended June 30, 2018, we had a net loss available to shareholders of $239 million and adjusted earnings of $153 million, compared to net income available to shareholders of $246 million and adjusted earnings of $324 million for the three months ended June 30, 2017. The net loss available to shareholders for the three months ended June 30, 2018 resulted from net derivative losses in our variable annuity hedging program resulting from strong equity market performance. The net income available to shareholders for the three months ended June 30, 2017 was driven by favorable impacts from reinsurance recapture activity as well as net derivative gains primarily from the impact of interest rate declines on freestanding interest rate hedges of our ULSG liabilities, partially offset by net unfavorable results in our variable annuity rider program. For the six months ended June 30, 2018, we had a net loss available to shareholders of $306 million and adjusted earnings of $436 million, compared to a net loss available to shareholders of $103 million and adjusted earnings of $604 million for the six months ended June 30, 2017. The net loss available to shareholders for the six months ended June 30, 2018 resulted primarily from net derivative losses due to the impact of strong equity market performance on our variable annuity hedging program as well as the effect of rising interest rates on our freestanding interest rate derivatives. The net loss available to shareholders for the six months ended June 30, 2017 was driven primarily by equity hedge losses in our variable annuity exposure management program from higher equity markets.</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Interim Condensed Consolidated and Combined Financial Statements for information regarding the adoption of new accounting pronouncements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In addition to Brighthouse Financial, Inc., the companies and businesses included in the results of operations, financial condition and cash flows are:</w:t>
      </w:r>
    </w:p>
    <w:p>
      <w:pPr>
        <w:spacing w:after="0" w:line="127"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Brighthouse Life Insurance Company (together with its subsidiaries and affiliates, “BLIC”), formerly MetLife Insurance Company USA, our largest insurance operating entity, domiciled in Delaware and licensed to write business in 49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50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Brighthouse Life Insurance Company of NY (“BHNY”), formerly First MetLife Investors Insurance Company, domiciled in New York and licensed to write business in New York, which is a subsidiary of Brighthouse Life Insurance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single reinsurance company licensed in Delaware, which is a subsidiary of Brighthouse Life Insurance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Brighthouse Investment Advisers, LLC, formerly MetLife Advisers, LLC, serving as investment advisor to certain proprietary mutual funds that are underlying investments under our and MetLife’s variable insurance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Brighthouse Services, LLC, an internal services and payroll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Brighthouse Securities, LLC, registered as a broker-dealer with the SEC, approved as a member of the Financial Industry Regulatory Authority, Inc. (“FINRA”) and registered as a broker-dealer and licensed as an insurance agency in all required states;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Brighthouse Holdings, LLC (“BH Holdings”), a wholly-owned holding company subsidiary of Brighthouse Financial, Inc., domiciled in Delaware.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2017 Annual Report, as amended or supplemented by such information in the First Quarter Form 10-Q,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Capital Reform</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support our variable annuity contracts with assets which are $2.0 billion to $3.0 billion in excess of the amount of assets required under CTE95 (defined as the amount of assets required to satisfy contract holder obligations across market environments in the average of the worst five percent of 1,000 capital market scenarios over the life of the contracts (“CTE95”)); see “Business — Risk Management Strategies — Variable Annuity Statutory Reserving Requirements and Exposure Management” in our 2017 Annual Report. At June 30, 2018, assets above CTE95 were $2.7 billion, or more than $500 million above CTE98 (defined as the amount of assets required to satisfy contract holder obligations across market environments in the average of the worst two percent of 1,000 capital market scenarios over the life of the contracts (“CTE98”)).</w:t>
      </w:r>
    </w:p>
    <w:p>
      <w:pPr>
        <w:spacing w:after="0" w:line="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7, 2018, the National Association of Insurance Commissioners (the “NAIC”) approved the framework for variable annuity capital reform, as well as modifications to the calculation of risk-based capital (“RBC”), and various NAIC committees will now begin the process of clarifying certain implementation guidelines. The effective date of the reform is January 1, 2020. For capital management purposes and our CTE95 and CTE98 calculations, we intend to incorporate the new framework, including the equity and interest rate scenarios and behavioral assumptions, in our 2018 annual actuarial review process in the third quarter of 2018. We expect to continue to support our variable annuity contracts with assets which are $2.0 billion to $3.0 billion in excess of the amount of assets required under CTE95, which we expect will be above CTE98. For statutory reporting purposes, we will incorporate the new framework when permitted, which is expected to be either in 2019 through early adoption or by the effective date in 2020. See “— Regulatory Developments</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NAIC” below. It is not possible at this time to predict the extent to which the new framework would impact the effectiveness and design of our risk mitigation and hedging programs, and our historical estimates of the sensitivity of our variable annuity cash flows to capital market changes do not reflect the impact of variable annuity capital reform or the reduction in the federal corporate income tax rate pursuant to the Tax Cuts and Jobs 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financial statements are subject to the application of GAAP, which is periodically revised by the Financial Accounting Standards Board (“FASB”).</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FASB exposed several proposed amendments to the accounting for long-duration insurance contracts in 2016, and on June 6, 2018 voted to issue a final accounting standards update (“ASU”) effective January 1, 2021. The proposed ASU would require all guarantees associated with our variable annuity business to be accounted for at fair value, with changes in fair value reported in net income (excluding the change in fair value attributable to nonperformance risk, which would be reported in other comprehensive income). The proposed ASU would also require more frequent updating of assumptions for other long-duration insurance contract liabilities and changes to the amortization of deferred acquisition costs. It is not possible at this time to predict the impact to our financial statements from the proposed ASU as the final guidance has not been issued and the implementation will likely take several years to complete. Any required adoption of changes to long-duration insurance contracts could have a material adverse effect on our stockholders’ equity and results of operations, including our net income.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life insurance companies are regulated primarily at the state level, with some products and services also subject to federal regulation. In addition, Brighthouse Financial, Inc. and its insurance subsidiaries are subject to regulation under the insurance holding company laws of various U.S. jurisdictions. Furthermore, some of our operations, products and services are subject to the Employee Retirement Income Security Act of 1974 (“ERISA”), consumer protection laws, securities, broker-dealer and investment advisor regulations, and environmental and unclaimed property laws and regulations.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NAIC</w:t>
      </w:r>
    </w:p>
    <w:p>
      <w:pPr>
        <w:spacing w:after="0" w:line="117" w:lineRule="exact"/>
        <w:rPr>
          <w:sz w:val="20"/>
          <w:szCs w:val="20"/>
          <w:color w:val="auto"/>
        </w:rPr>
      </w:pPr>
    </w:p>
    <w:p>
      <w:pPr>
        <w:jc w:val="both"/>
        <w:ind w:left="180" w:firstLine="324"/>
        <w:spacing w:after="0" w:line="267" w:lineRule="auto"/>
        <w:rPr>
          <w:sz w:val="20"/>
          <w:szCs w:val="20"/>
          <w:color w:val="auto"/>
        </w:rPr>
      </w:pPr>
      <w:r>
        <w:rPr>
          <w:rFonts w:ascii="Arial" w:cs="Arial" w:eastAsia="Arial" w:hAnsi="Arial"/>
          <w:sz w:val="17"/>
          <w:szCs w:val="17"/>
          <w:color w:val="auto"/>
        </w:rPr>
        <w:t>In 2015, the NAIC commissioned an initiative to identify changes to the statutory framework for variable annuities that can remove or mitigate the motivation for insurers to engage in captive reinsurance transactions. In September 2015, a third-party consultant engaged by the NAIC provided the NAIC with a preliminary report identifying motivations for using variable annuity captives. In August 2016, the third-party consultant released several sets of recommendations regarding Actuarial Guideline 43 (“AG 43”) and Life Risk-Based Capital Phase II Instructions (“RBC C3 Phase II”) reserve requirements. These recommendations generally focus on (i) mitigating the asset-liability accounting mismatch between hedge instruments and statutory instruments and statutory liabilities, (ii) removing the non-economic volatility in statutory capital charges and the resulting solvency ratios and (iii) facilitating greater harmonization across insurers and their products for greater comparability. After considering recommendations from the third-party consultant and industry, the NAIC requested the third-party consultant to undertake a study to evaluate and parameterize the recommended structural revisions further. That work occurred between February and October 2017, and in December 2017, the third-party consultant issued a report containing 28 recommended revisions to AG 43 and RBC C3 Phase II reserve requirements. Over the next few months, the NAIC held multiple public conference calls to allow state insurance regulators, industry representatives, actuaries and the third-party consultant to discuss and refine the proposed recommendations. In July 2018, the regulators on the NAIC working group and committee overseeing the revised framework proposal reached consensus on the proposed recommendations and presented such revisions for adoption by the NAIC Executive and Plenary (the “Plenary”), a body comprised of all U.S. state insurance commissioners and the NAIC Executive Committee. On August 7, 2018 the Plenary formally approved the revised framework proposal as amended by the regulators during their discussion. After adoption by the Plenary, other NAIC working groups and task forces will consider specific revisions to AG 43 and RBC C3 Phase II reserve requirements in order to implement the agreed-upon recommendations. The adopted framework will apply to all of our existing variable annuity business and may materially change the sensitivity of reserve and capital requirements to capital markets including interest rate, equity markets and volatility, our estimates of which historically did not reflect the impact of variable annuity capital reform or changes in tax rates, as well as prescribed assumptions for policyholder behavior. Since the implementation details are very early in their development, it is not possible to predict what impacts this reform will have on current risk mitigation and hedging programs. See “Risk Factors — Regulatory and Legal Risks — We may be required to hold additional statutory reserves against our variable annuities as a result of AG 43, which could impair our ability to make distributions to our shareholders” and “Risk Factors — Regulatory and Legal Risks — Our insurance business is highly regulated, and changes in regulation and in supervisory and enforcement policies may materially impact our capitalization or cash flows, reduce our profitability and limit our growth” included in the 2017 Annual Report.</w:t>
      </w:r>
    </w:p>
    <w:p>
      <w:pPr>
        <w:spacing w:after="0" w:line="75"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 addition, following the reduction in the federal corporate income tax rate pursuant to the Tax Cuts and Jobs Act, the NAIC reviewed the methodology by which taxes are incorporated into the RBC calculation. On August 7, 2018 the NAIC Plenary adopted changes to the RBC calculation effective December 31, 2018 to reflect lower corporate income tax rates, which will result in a reduction to our insurance subsidiaries’ RBC ratios. If such revisions to the NAIC’s RBC calculation would result in a reduction in the RBC ratio for one or more of our insurance subsidiaries below certain prescribed levels, we may be required to hold additional capital in such subsidiary or subsidiaries. “Risk Factors — Regulatory and Legal Risks — 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 included in the 2017 Annual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The NAIC has adopted a new approach for the calculation of life insurance reserves, known as principle-based reserving (“PBR”). PBR became operative on January 1, 2017 in those states where it has been adopted, to be followed by a three-year phase-in period for business issued on or after this date. With respect to the states in which our insurance subsidiaries are domiciled, the Delaware Department of Insurance implemented PBR on January 1, 2017, and the New York Department of Financial Services (“NYDFS”) has publicly stated its intention to implement this approach, subject to a working group of the NYDFS establishing the necessary reserves safeguards and the adopting of enabling legislation by the New York legislature. The New York legislature enacted legislation adopting PBR in June 2018, but the legislation has not yet been delivered to the Governor for approval or veto. Massachusetts has not yet adopted PBR. See “Risk Factors — Regulatory and Legal Risks — Our insurance business is highly regulated, and changes in regulation and in supervisory and enforcement policies may materially impact our capitalization or cash flows, reduce our profitability and limit our growth” included in the 2017 Annual Report.</w:t>
      </w:r>
    </w:p>
    <w:p>
      <w:pPr>
        <w:spacing w:after="0" w:line="74"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NAIC is considering revisions to RBC factors for bonds and real estate, as well as developing RBC charges for longevity risk. We cannot predict the impact of any potential proposals that may result from these studies.</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We can give no assurances that any of our expectations will be met regarding the capital and reserve impacts or compliance costs, if any, that may result from the above initiatives.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New York Regulation 187</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NAIC, as well as certain state regulators, are currently considering implementing regulations that would apply an impartial conduct standard to recommendations made in connection with certain annuities and, in the case of New York, life insurance policies. In particular, on July 18, 2018, the NYDFS issued a final version of Regulation 187, which adopts a “best interest” standard for the sale of life insurance and annuity products in New York. The regulation requires a consumer’s best interest, and not the financial interests of a producer or insurer, to influence a producer’s recommendation as to which life insurance or annuity product a consumer should purchase. Regulation 187 will become effective for annuity products on August 1, 2019 and for life insurance products on February 1, 2020. We are continuing to assess the impact of the regulation on our business. The regulation, when implemented, may have adverse effects on our business and consolidated results of operations.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Department of Labor and ERISA Considerations</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We manufacture annuities for third parties to sell to tax-qualified pension plans, retirement plans and individual retirement accounts and annuities (“IRAs”), as well as individual retirement annuities sold to individuals that are subject to ERISA or the Internal Revenue Code of 1986, as amended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of a Plan subject to Title I of ERISA (an “ERISA Plan”) must perform their duties solely in the interests of the ERISA Plan participants and beneficiaries, and those fiduciaries may not cause a covered plan to engage in certain prohibited transactions. The applicable provisions of ERISA and the Code are subject to enforcement by the Department of Labor (“DOL”), the Internal Revenue Service (“IRS”) and the Pension Benefit Guaranty Corporation.</w:t>
      </w:r>
    </w:p>
    <w:p>
      <w:pPr>
        <w:spacing w:after="0" w:line="7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addition, the prohibited transaction rules of ERISA and the Code generally restrict the provision of investment advice to ERISA qualified plans, plan participants and IRAs if the investment recommendation results in fees paid to an individual advisor, the firm that employs the advisor or their affiliates that vary according to the investment recommendation chosen. Similarly, without an exemption, fiduciary advisors are prohibited from receiving compensation from third parties in connection with their advice. ERISA also affects certain of our in-force insurance policies and annuity contracts, as well as insurance policies and annuity contracts we may sell in the future.</w:t>
      </w:r>
    </w:p>
    <w:p>
      <w:pPr>
        <w:spacing w:after="0" w:line="80"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DOL issued regulations (the “Fiduciary Rule”) that became applicable on June 9, 2017 but were subsequently vacated by the Fifth Circuit Court of Appeals effective June 21, 2018. While the Fiduciary Rule was effective, it substantially expanded the definition of “investment advice,” thereby broadening the circumstances under which distributors and manufacturers could be considered fiduciaries under ERISA or the Code, and subject to an impartial or “best interests” standard in providing such advice. Under the rule, certain communications with plans, plan participants and IRA holders, including the marketing of products, and marketing of investment management or advisory services, were deemed fiduciary investment advice, thus, causing increased exposure to fiduciary liability if the distributor did not recommend what was in the client’s best interests.</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It is uncertain whether the DOL will propose new investment advice fiduciary regulations to replace the nullified Fiduciary Rule. We cannot predict what other proposals may be made, what legislation or regulations may be introduced or enacted, or what impact any such legislation or regulations may have on our business, results of operations and financial condition. See “—NAIC” above and “Risk Factors — Regulatory and Legal Risks — NAIC — Existing and proposed insurance regulation” in our 2017 Annual Report for a discussion of efforts by the NAIC and state regulators to include a “best interest” standard as part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80" w:firstLine="162"/>
        <w:spacing w:after="0" w:line="375" w:lineRule="auto"/>
        <w:rPr>
          <w:sz w:val="20"/>
          <w:szCs w:val="20"/>
          <w:color w:val="auto"/>
        </w:rPr>
      </w:pPr>
      <w:r>
        <w:rPr>
          <w:rFonts w:ascii="Arial" w:cs="Arial" w:eastAsia="Arial" w:hAnsi="Arial"/>
          <w:sz w:val="18"/>
          <w:szCs w:val="18"/>
          <w:color w:val="auto"/>
        </w:rPr>
        <w:t xml:space="preserve">of their suitability requirements. This uncertainty could create confusion among our distribution partners, which could negatively impact product sales. </w:t>
      </w:r>
      <w:r>
        <w:rPr>
          <w:rFonts w:ascii="Arial" w:cs="Arial" w:eastAsia="Arial" w:hAnsi="Arial"/>
          <w:sz w:val="18"/>
          <w:szCs w:val="18"/>
          <w:b w:val="1"/>
          <w:bCs w:val="1"/>
          <w:color w:val="auto"/>
        </w:rPr>
        <w:t>Summary of Critical Accounting Estimates</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and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capitalization and amortization of deferred policy acquisition costs (“DAC”) and the establishment and amortization of value of business acquired (“VOBA”);</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above critical accounting estimates are described in “Management’s Discussion and Analysis of Financial Condition and Results of Operations — Summary of Critical Accounting Estimates” and Note 1 of the Notes to the Consolidated and Combined Financial Statements included in the 2017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this report, we present adjusted earnings, which excludes net income (loss) attributable to noncontrolling interests,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 as well as businesses that have been or will be sold or exited by us, referred to as divested businesses.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the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the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tax impact of the adjustments mentioned are calculated net of the U.S. statutory tax rate, which could differ from our effective tax rate.</w:t>
      </w:r>
    </w:p>
    <w:p>
      <w:pPr>
        <w:spacing w:after="0" w:line="129"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80" w:type="dxa"/>
            <w:vAlign w:val="bottom"/>
            <w:tcBorders>
              <w:bottom w:val="single" w:sz="8" w:color="CCEEFF"/>
            </w:tcBorders>
            <w:shd w:val="clear" w:color="auto" w:fill="CCEEFF"/>
          </w:tcPr>
          <w:p>
            <w:pPr>
              <w:jc w:val="right"/>
              <w:ind w:right="4590"/>
              <w:spacing w:after="0"/>
              <w:rPr>
                <w:sz w:val="20"/>
                <w:szCs w:val="20"/>
                <w:color w:val="auto"/>
              </w:rPr>
            </w:pPr>
            <w:r>
              <w:rPr>
                <w:rFonts w:ascii="Arial" w:cs="Arial" w:eastAsia="Arial" w:hAnsi="Arial"/>
                <w:sz w:val="16"/>
                <w:szCs w:val="16"/>
                <w:b w:val="1"/>
                <w:bCs w:val="1"/>
                <w:color w:val="auto"/>
              </w:rPr>
              <w:t>How Derived from GAAP (1)</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and (b) GMIB Fees) plus </w:t>
            </w:r>
            <w:r>
              <w:rPr>
                <w:rFonts w:ascii="Arial" w:cs="Arial" w:eastAsia="Arial" w:hAnsi="Arial"/>
                <w:sz w:val="18"/>
                <w:szCs w:val="18"/>
                <w:i w:val="1"/>
                <w:iCs w:val="1"/>
                <w:color w:val="auto"/>
              </w:rPr>
              <w:t>Other revenues</w:t>
            </w:r>
            <w:r>
              <w:rPr>
                <w:rFonts w:ascii="Arial" w:cs="Arial" w:eastAsia="Arial" w:hAnsi="Arial"/>
                <w:sz w:val="18"/>
                <w:szCs w:val="18"/>
                <w:color w:val="auto"/>
              </w:rPr>
              <w:t xml:space="preserve"> (excluding other revenues associated with</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(excluding securitization entities income) plus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Hedge Adjustments and interest received on ceded fixed annuity reinsurance deposit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funds reduced by </w:t>
            </w:r>
            <w:r>
              <w:rPr>
                <w:rFonts w:ascii="Arial" w:cs="Arial" w:eastAsia="Arial" w:hAnsi="Arial"/>
                <w:sz w:val="18"/>
                <w:szCs w:val="18"/>
                <w:i w:val="1"/>
                <w:iCs w:val="1"/>
                <w:color w:val="auto"/>
              </w:rPr>
              <w:t>Interest credited to policyholder account balances</w:t>
            </w:r>
            <w:r>
              <w:rPr>
                <w:rFonts w:ascii="Arial" w:cs="Arial" w:eastAsia="Arial" w:hAnsi="Arial"/>
                <w:sz w:val="18"/>
                <w:szCs w:val="18"/>
                <w:color w:val="auto"/>
              </w:rPr>
              <w:t xml:space="preserve"> and interest on</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future policy benefits.</w:t>
            </w: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of deferred gain on reinsurance) plus the pass 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 Amortization of DAC and VOBA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jc w:val="right"/>
              <w:ind w:right="1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 and securitization entities expense.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Consistent with GAAP guidance for segment reporting, adjusted earnings is also our GAAP measure of segment performance. Accordingly, we report adjusted earnings by segment in Note 2 of the Notes to the Interim Condensed Consolidated and Combined Financial Statements.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and excluding the incremental net investment income of consolidated securitization entities (“CSEs”). For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reconciliation of adjusted investment income to net investment income, the most directly comparable GAAP measure, please see footnote 3 to the summary yield table located in “— Investments — Current Environment — Investment Portfolio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 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8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Allocated equity is the portion of common stockholders’ equity that management allocated to each of its segments prior to 2018. See “— Segment Capital” and Note 2 of the Notes to the Interim Condensed Consolidated and Combined Financial Statements for further information.</w:t>
      </w:r>
    </w:p>
    <w:p>
      <w:pPr>
        <w:spacing w:after="0" w:line="3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collateral received from derivative counterparties and the effects of consolidating under GAAP certain variable interest entities (“VIEs”) that are treated as CSEs.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Capital</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Beginning in the first quarter of 2018, we changed the methodology for how capital is allocated to segments and, in some cases, products. Segment investment and capitalization targets are now based on statutory oriented risk principles and metrics. Segment invested assets backing liabilities are based on net statutory liabilities plus excess capital. For our variable annuity business, the excess capital held is based on the target statutory total asset requirement consistent with our variable annuity risk management strategy discussed in the 2017 Annual Report. For insurance businesses other than variable annuities, excess capital held is based on a percentage of required statutory RBC. Assets in excess of those allocated to the segments, if any, are held in Corporate &amp; Other. Segment net investment income reflects the performance of each segment’s respective invested assets.</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refer to this change in methodology as the “Portfolio Realignment.” While this change had no effect on our consolidated net income (loss) or adjusted earnings, it did, and we expect will continue to, impact segment results. Prior period segment results were not recast for this change in methodology as the inventory of assets has changed over time. Therefore, it is not reasonably possible to replicate the asset transfers as of prior periods and estimating such would not provide a meaningful comparison. In the future, management will evaluate, on a periodic basis, the excess capital held by each segment and may rebalance or move capital between segments based on market changes or changes in our statutory metrics.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Previously, invested assets held in the segments were based on net GAAP liabilities. Excess capital was retained in Corporate &amp; Other and allocated to segments based on an internally developed statistics based capital model intended to capture the material risks to which we were exposed (referred to as “allocated equity”). Surplus assets in excess of the combined allocations to the segments were held in Corporate &amp; Other with net investment income being credited back to the segments at a predetermined rate. Any excess or shortfall in net investment income from surplus assets was recognized in Corporate &amp; Other.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is responsible for the periodic review and enhancement of the capital allocation model to ensure it remains consistent with the Company’s overall objectives and emerging industry practices.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Six Months Ended June 30, 2018 and 2017</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We continue to evaluate our product offerings with the goal to provide new products that are simpler, more transparent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value to our advisors, clients and shareholders. New business efforts in both 2017 and 2018 centered on the sale of our suite of structured annuities consisting of products marketed under various names (collectively, “Shield Annuities”), which increased 41% compared to the first half of 2017. In addition, as part of our distribution agreement with Massachusetts Mutual Life Insurance Company (“MassMutual”), we launched a new fixed index annuity product in the second half of 2017.</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3"/>
          </w:tcPr>
          <w:p>
            <w:pPr>
              <w:jc w:val="center"/>
              <w:ind w:left="721"/>
              <w:spacing w:after="0"/>
              <w:rPr>
                <w:sz w:val="20"/>
                <w:szCs w:val="20"/>
                <w:color w:val="auto"/>
              </w:rPr>
            </w:pPr>
            <w:r>
              <w:rPr>
                <w:rFonts w:ascii="Arial" w:cs="Arial" w:eastAsia="Arial" w:hAnsi="Arial"/>
                <w:sz w:val="14"/>
                <w:szCs w:val="14"/>
                <w:b w:val="1"/>
                <w:bCs w:val="1"/>
                <w:color w:val="auto"/>
                <w:w w:val="93"/>
              </w:rPr>
              <w:t>Three Months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93"/>
              </w:rPr>
              <w:t>Six Months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3"/>
          </w:tcPr>
          <w:p>
            <w:pPr>
              <w:jc w:val="center"/>
              <w:ind w:left="661"/>
              <w:spacing w:after="0" w:line="149" w:lineRule="exact"/>
              <w:rPr>
                <w:sz w:val="20"/>
                <w:szCs w:val="20"/>
                <w:color w:val="auto"/>
              </w:rPr>
            </w:pPr>
            <w:r>
              <w:rPr>
                <w:rFonts w:ascii="Arial" w:cs="Arial" w:eastAsia="Arial" w:hAnsi="Arial"/>
                <w:sz w:val="14"/>
                <w:szCs w:val="14"/>
                <w:b w:val="1"/>
                <w:bCs w:val="1"/>
                <w:color w:val="auto"/>
                <w:w w:val="93"/>
              </w:rPr>
              <w:t>Ended</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left="541"/>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89"/>
              </w:rPr>
              <w:t>June 30,</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Premiums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42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42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17"/>
        </w:trPr>
        <w:tc>
          <w:tcPr>
            <w:tcW w:w="492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3,517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42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Capitalization of DAC</w:t>
            </w:r>
          </w:p>
        </w:tc>
        <w:tc>
          <w:tcPr>
            <w:tcW w:w="42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DAC and VOBA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42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7"/>
        </w:trPr>
        <w:tc>
          <w:tcPr>
            <w:tcW w:w="492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3,259</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42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Net income (loss) available to Brighthouse Financial, Inc.’s common</w:t>
            </w: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shareholders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6" w:right="2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shows the components of net income (loss) available to shareholders, in addition to adjusted earnings.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5"/>
              </w:rPr>
              <w:t>Three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3"/>
              </w:rPr>
              <w:t>Six Months</w:t>
            </w:r>
          </w:p>
        </w:tc>
        <w:tc>
          <w:tcPr>
            <w:tcW w:w="84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422"/>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left="362"/>
              <w:spacing w:after="0" w:line="14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tcPr>
          <w:p>
            <w:pPr>
              <w:spacing w:after="0"/>
              <w:rPr>
                <w:sz w:val="12"/>
                <w:szCs w:val="12"/>
                <w:color w:val="auto"/>
              </w:rPr>
            </w:pP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196"/>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derivative instruments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Overview</w:t>
      </w:r>
      <w:r>
        <w:rPr>
          <w:rFonts w:ascii="Arial" w:cs="Arial" w:eastAsia="Arial" w:hAnsi="Arial"/>
          <w:sz w:val="16"/>
          <w:szCs w:val="16"/>
          <w:color w:val="auto"/>
        </w:rPr>
        <w:t>. We had a pre-tax net loss in the current period compared to pre-tax net income in the prior period. The decrease of $639 million ($485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net of income tax) was driven primarily by a decline in pre-tax adjusted earnings, as well as unfavorable changes in GMLB Riders, other derivative instruments, and net investment gains (losses). The decrease was partially offset by favorable changes described in other adjustments below.</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Results from GMLB Riders reflect (i) changes in the carrying value of guaranteed minimum living benefits (“GMLBs”)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GMIBs, guaranteed minimum withdrawal benefits (“GMWBs”) and guaranteed minimum accumulation benefits (“GMABs”); (ii) changes in the fair value of the hedges and reinsurance of GMLB liabilities; (iii) the fees earned from GMLB liabilities; and (iv) the related DAC and VOBA amortization offsets to each of the preceding components (collectively, “GMLB Riders”).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GMLB Riders had an unfavorable impact on comparative results of $212 million as unfavorable results from the related hedges were partially offset by favorable changes in the GMLB liabilities and benefits. For a detailed discussion of GMLB Riders, see “— GMLB Riders — Three Months Ended June 30, 2018 Compared with the Three Months Ended June 30, 2017.”</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GMLB Riders,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changes in fair value are recognized in net derivative gains (losses). Changes in the fair value of other derivative instruments had an unfavorable impact on comparative results of $156 million.</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had an unfavorable impact on comparative results of $229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changes in interest rates on the fair value of our interest rate swaps.</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Changes in the fair value of embedded derivatives had a favorable impact on comparative results of $73 million,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unfavorable impact in the prior period on our Shield Annuities liabilities from an increase in underlying equity index levels. In connection with the transition to our new variable annuity hedging program, changes in the fair value of the Shield Annuities liabilities are included in the hedging program component of GMLB Riders beginning in the third quarter of 2017 on a prospective basis.</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Net Investment Gains (Losses). </w:t>
      </w:r>
      <w:r>
        <w:rPr>
          <w:rFonts w:ascii="Arial" w:cs="Arial" w:eastAsia="Arial" w:hAnsi="Arial"/>
          <w:sz w:val="17"/>
          <w:szCs w:val="17"/>
          <w:color w:val="auto"/>
        </w:rPr>
        <w:t>Net investment gains (losses) had an unfavorable impact on comparative results of $75 million, primarily due to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net losses on sales of U.S. Treasuries due to portfolio repositioning actions and current period net losses on commercial mortgage loans.</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Adjustments. </w:t>
      </w:r>
      <w:r>
        <w:rPr>
          <w:rFonts w:ascii="Arial" w:cs="Arial" w:eastAsia="Arial" w:hAnsi="Arial"/>
          <w:sz w:val="17"/>
          <w:szCs w:val="17"/>
          <w:color w:val="auto"/>
        </w:rPr>
        <w:t>Other adjustments to determine adjusted earnings had a favorable impact on comparative results of $51 million,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lower policyholder benefits and claims resulting from the adjustment for market performance related to participating products in our Run-off segment and expenses recognized in the prior period in connection with the sale of MetLife Premier Client Group (“MPCG”) to MassMutual.</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Pre-tax Adjusted Earnings</w:t>
      </w:r>
      <w:r>
        <w:rPr>
          <w:rFonts w:ascii="Arial" w:cs="Arial" w:eastAsia="Arial" w:hAnsi="Arial"/>
          <w:sz w:val="17"/>
          <w:szCs w:val="17"/>
          <w:color w:val="auto"/>
        </w:rPr>
        <w:t>. Pre-tax adjusted earnings, less net income attributable to noncontrolling interests, decreased $247 million ($171 million, net</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tax) for the three months ended June 30, 2018, compared to the prior period. Adjusted earnings are discussed in greater detail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June 30, 2018 was $79 million, or 25% of net income (loss)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before provision for income tax, compared to an expense of $75 million, or 23% of net income (loss) available to shareholders before provision for income tax, for the three months ended June 30, 2017. Our effective tax rates typically differ from the U.S. statutory rates primarily due to the impacts of the dividend received deductions and utilization of tax credits.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The net loss available to shareholders before provision for income tax increased $164 million ($203 million, net of income tax). This larger</w:t>
      </w:r>
      <w:r>
        <w:rPr>
          <w:rFonts w:ascii="Arial" w:cs="Arial" w:eastAsia="Arial" w:hAnsi="Arial"/>
          <w:sz w:val="18"/>
          <w:szCs w:val="18"/>
          <w:i w:val="1"/>
          <w:iCs w:val="1"/>
          <w:color w:val="auto"/>
        </w:rPr>
        <w:t xml:space="preserve"> </w:t>
      </w:r>
      <w:r>
        <w:rPr>
          <w:rFonts w:ascii="Arial" w:cs="Arial" w:eastAsia="Arial" w:hAnsi="Arial"/>
          <w:sz w:val="18"/>
          <w:szCs w:val="18"/>
          <w:color w:val="auto"/>
        </w:rPr>
        <w:t>loss was driven primarily by net unfavorable changes in other derivative instruments and lower pre-tax adjusted earnings, partially offset by net favorable changes in GMLB Riders and favorable changes described in other adjustments below.</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GMLB Riders had a favorable impact on comparative results of $442 million as net favorable results from the related hedges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increases from DAC offsets. For a detailed discussion of GMLB Riders see “— GMLB Riders — Six Months Ended June 30, 2018 Compared with the Six Months Ended June 30, 2017.”</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Changes in the fair value of other derivative instruments had an unfavorable impact on comparative results of $371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had an unfavorable impact on comparative results of $566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changes in interest rates on the fair value of our interest rate swaps.</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Changes in the fair value of embedded derivatives had a favorable impact on comparative results of $195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unfavorable impact in the prior period on our Shield Annuities liabilities from an increase in underlying equity index levels. In connection with the transition to our new variable annuity hedging program, changes in the fair value of the Shield Annuities liabilities are included in the hedging program component of GMLB Riders beginning in the third quarter of 2017 on a prospective basis.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had an unfavorable impact on comparative results of $24 million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period net losses on sales of U.S. Treasuries due to portfolio repositioning actions and higher current period net losses on commercial mortgage loans. These unfavorable impacts were partially offset by higher current period net gains on real estate joint ventures and prior period net losses on disposals of other limited partnership interests.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Adjustments. </w:t>
      </w:r>
      <w:r>
        <w:rPr>
          <w:rFonts w:ascii="Arial" w:cs="Arial" w:eastAsia="Arial" w:hAnsi="Arial"/>
          <w:sz w:val="18"/>
          <w:szCs w:val="18"/>
          <w:color w:val="auto"/>
        </w:rPr>
        <w:t>Other adjustments to determine adjusted earnings had a favorable impact on comparative results of $100 million,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policyholder benefits and claims resulting from the adjustment for market performance related to participating products in our Run-off segment and expenses recognized in the prior period in connection with the sale of MPCG to MassMutual.</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Pre-tax Adjusted Earnings</w:t>
      </w:r>
      <w:r>
        <w:rPr>
          <w:rFonts w:ascii="Arial" w:cs="Arial" w:eastAsia="Arial" w:hAnsi="Arial"/>
          <w:sz w:val="16"/>
          <w:szCs w:val="16"/>
          <w:color w:val="auto"/>
        </w:rPr>
        <w:t>. Pre-tax adjusted earnings, less net income attributable to noncontrolling interests, decreased $311 million (decreased $168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of income tax) for the six months ended June 30, 2018, compared to the prior period. Adjusted earnings are discussed in greater detail below.</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six months ended June 30, 2018 was $127 million, or 29% of net income (loss)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before provision for income tax, compared to a benefit of $166 million, or 62% of net income (loss) available to shareholders before provision for income tax, for the six months ended June 30, 2017. Our effective tax rates typically differ from the U.S. statutory rates primarily due to the impacts of the dividend received deductions and utilization of tax credits.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Annuities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14"/>
                <w:szCs w:val="1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Less: GMLB Riders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Less: Net investment gains (losses)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5500" w:type="dxa"/>
            <w:vAlign w:val="bottom"/>
            <w:gridSpan w:val="4"/>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Adjusted earnings</w:t>
            </w:r>
          </w:p>
        </w:tc>
        <w:tc>
          <w:tcPr>
            <w:tcW w:w="26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Three Months Ended June 30, 2017</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Annuities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24"/>
                <w:szCs w:val="2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Less: GMLB Riders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Less: Net investment gains (losses)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5500" w:type="dxa"/>
            <w:vAlign w:val="bottom"/>
            <w:gridSpan w:val="4"/>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Adjusted earnings</w:t>
            </w:r>
          </w:p>
        </w:tc>
        <w:tc>
          <w:tcPr>
            <w:tcW w:w="26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Six Months Ended June 30, 2018</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Annuities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24"/>
                <w:szCs w:val="2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Less: GMLB Riders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Less: Net investment gains (losses)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5500" w:type="dxa"/>
            <w:vAlign w:val="bottom"/>
            <w:gridSpan w:val="4"/>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5500" w:type="dxa"/>
            <w:vAlign w:val="bottom"/>
            <w:gridSpan w:val="4"/>
          </w:tcPr>
          <w:p>
            <w:pPr>
              <w:ind w:left="40"/>
              <w:spacing w:after="0"/>
              <w:rPr>
                <w:sz w:val="20"/>
                <w:szCs w:val="20"/>
                <w:color w:val="auto"/>
              </w:rPr>
            </w:pPr>
            <w:r>
              <w:rPr>
                <w:rFonts w:ascii="Arial" w:cs="Arial" w:eastAsia="Arial" w:hAnsi="Arial"/>
                <w:sz w:val="16"/>
                <w:szCs w:val="16"/>
                <w:color w:val="auto"/>
              </w:rPr>
              <w:t>Adjusted earnings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14"/>
                <w:szCs w:val="1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w w:val="97"/>
              </w:rPr>
              <w:t>Pre-tax adjusted earnings, less net income attributable to noncontrolling interests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Six Months Ended June 30, 2018 and 2017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w:t>
      </w:r>
    </w:p>
    <w:p>
      <w:pPr>
        <w:spacing w:after="0" w:line="312" w:lineRule="exact"/>
        <w:rPr>
          <w:sz w:val="20"/>
          <w:szCs w:val="20"/>
          <w:color w:val="auto"/>
        </w:rPr>
      </w:pPr>
    </w:p>
    <w:tbl>
      <w:tblPr>
        <w:tblLayout w:type="fixed"/>
        <w:tblInd w:w="56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520" w:type="dxa"/>
            <w:vAlign w:val="bottom"/>
          </w:tcPr>
          <w:p>
            <w:pPr>
              <w:jc w:val="center"/>
              <w:ind w:right="388"/>
              <w:spacing w:after="0"/>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920" w:type="dxa"/>
            <w:vAlign w:val="bottom"/>
          </w:tcPr>
          <w:p>
            <w:pPr>
              <w:spacing w:after="0"/>
              <w:rPr>
                <w:sz w:val="12"/>
                <w:szCs w:val="12"/>
                <w:color w:val="auto"/>
              </w:rPr>
            </w:pPr>
          </w:p>
        </w:tc>
        <w:tc>
          <w:tcPr>
            <w:tcW w:w="152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w w:val="89"/>
              </w:rPr>
              <w:t>June 30,</w:t>
            </w:r>
          </w:p>
        </w:tc>
      </w:tr>
      <w:tr>
        <w:trPr>
          <w:trHeight w:val="264"/>
        </w:trPr>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44"/>
        </w:trPr>
        <w:tc>
          <w:tcPr>
            <w:tcW w:w="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6"/>
          <w:szCs w:val="16"/>
          <w:color w:val="auto"/>
        </w:rPr>
        <w:t>Fee income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expenses, net of DAC capitalization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Pre-tax adjusted earnings, less net income attributable to noncontrolling interests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00"/>
        <w:spacing w:after="0"/>
        <w:tabs>
          <w:tab w:leader="none" w:pos="5620" w:val="left"/>
        </w:tabs>
        <w:rPr>
          <w:sz w:val="20"/>
          <w:szCs w:val="20"/>
          <w:color w:val="auto"/>
        </w:rPr>
      </w:pPr>
      <w:r>
        <w:rPr>
          <w:rFonts w:ascii="Arial" w:cs="Arial" w:eastAsia="Arial" w:hAnsi="Arial"/>
          <w:sz w:val="16"/>
          <w:szCs w:val="16"/>
          <w:color w:val="auto"/>
        </w:rPr>
        <w:t>Adjusted earnings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990</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2,002</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330</w:t>
            </w:r>
          </w:p>
        </w:tc>
        <w:tc>
          <w:tcPr>
            <w:tcW w:w="5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685</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(295)</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(150)</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(695)</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(1,147)</w:t>
            </w:r>
          </w:p>
        </w:tc>
      </w:tr>
      <w:tr>
        <w:trPr>
          <w:trHeight w:val="257"/>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5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7"/>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179</w:t>
            </w:r>
          </w:p>
        </w:tc>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818</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153</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33"/>
        </w:trPr>
        <w:tc>
          <w:tcPr>
            <w:tcW w:w="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-8255</wp:posOffset>
            </wp:positionV>
            <wp:extent cx="8832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860" w:space="720"/>
            <w:col w:w="4840"/>
          </w:cols>
          <w:pgMar w:left="240" w:top="126" w:right="2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$171 million, due to an increase in expenses, higher costs from insurance-related activities and lower fee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income taxes. Lower income taxes reflect the impacts in the current period from the change in the U.S. statutory rates due to tax reform.</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decreased $49 million, primarily due to the unfavorable impacts from reinsurance recapture activity recognized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our Annuities and Life segments.</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Net Investment Spread. </w:t>
      </w:r>
      <w:r>
        <w:rPr>
          <w:rFonts w:ascii="Arial" w:cs="Arial" w:eastAsia="Arial" w:hAnsi="Arial"/>
          <w:sz w:val="16"/>
          <w:szCs w:val="16"/>
          <w:color w:val="auto"/>
        </w:rPr>
        <w:t>Net investment spread increased $26 million primarily due to the impact from repositioning a portion of our portfolio into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yielding assets, higher interest rates and an increase in average invested assets resulting from positive net flows in the general account. This increase was partially offset by lower income on other limited partnership interests and lower income on derivatives due to the termination of interest rate swaps.</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Net costs from insurance-related activities increased $90 million primarily due to unfavorable mortality experience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Run-off segment and higher guaranteed minimum death benefits (“GMDBs”) costs in our Annuities segment. These unfavorable impacts were partially offset by favorable underwriting experience in our Life segment as a result of reinsurance recapture activity.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Higher amortization of DAC and VOBA in our Annuities and Life segments had an unfavorable impact on comparative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$25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$108 million, primarily in Corporate &amp; Other and our Annuities segment,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a decrease in our Run-off segment.</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June 30, 2018 was $26 million, or 15% of pre-tax adjusted earnings, less</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noncontrolling interests, compared to $102 million, or 24% of pre-tax adjusted earnings, less net income attributable to noncontrolling interests, for the three months ended June 30, 2017. In 2018, our effective tax rate reflects the impact of tax reform, which lowered the U.S. statutory rate however reduced the tax benefit for the dividend received deductions.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$168 million, primarily due to higher expenses, higher costs from insurance related activities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DAC and VOBA, partially offset by lower income taxes. Lower income taxes reflect the impacts in the current period from the change in the U.S. statutory rates due to tax reform.</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$24 million, primarily due to impacts from reinsurance recapture activity in our Life and Run-off segments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sharing, net of the unfavorable impact from a reinsurance recapture in our Annuities segment.</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$11 million primarily due to lower income on derivatives due to the termination of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swaps and lower returns on other limited partnership interests. This decrease was partially offset by the impact from repositioning a portion of our portfolio into higher yielding assets and higher average invested assets resulting from positive net flows in the general account.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Net costs from insurance-related activities increased $103 million primarily due to unfavorable mortality experience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Run-off segment and higher GMDB costs in our Annuities segment. These unfavorable impacts were partially offset by favorable underwriting experience in our Life segment as a result of reinsurance recapture activity.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Higher amortization of DAC and VOBA in our Annuities segment had an unfavorable impact on comparative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$166 million, primarily in Corporate &amp; Other and our Annuities segment,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decreases in our Life and Run-off segments.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six months ended June 30, 2018 was $71 million, or 14% of pre-tax adjusted earnings, less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attributable to noncontrolling interests, compared to $214 million, or 26% of pre-tax adjusted earnings, less net income attributable to noncontrolling interests, for the six months ended June 30, 2017. In 2018, our effective tax rate reflects the impact of tax reform, which lowered the U.S. statutory rate however reduced the tax benefit for the dividend received deductions.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Three Months and Six Months Ended June 30, 2018 and 2017 — Adjusted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Annuities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3"/>
              </w:rPr>
              <w:t>Six Months</w:t>
            </w:r>
          </w:p>
        </w:tc>
        <w:tc>
          <w:tcPr>
            <w:tcW w:w="94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522"/>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3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249</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623</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454</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significant portion of our adjusted earnings is driven by separate account balances related to our variable annuity business. Most directly, these balances determine asset-based fee income but they also impact DAC amortization and asset-based commissions. Separate account balances are driven by sales, market movements, withdrawals, surrenders, benefit payments, policy charges and transfers. Below is a rollforward of our variable annuities separate account balances. Variable annuities separate account balances decreased for the three months and six months ended June 30, 2018 driven by negative net flows, partially offset by increases from equity market performance.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3"/>
              </w:rPr>
              <w:t>Six Months</w:t>
            </w:r>
          </w:p>
        </w:tc>
        <w:tc>
          <w:tcPr>
            <w:tcW w:w="94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522"/>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106,110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107,136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109,889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104,857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692</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Withdrawals, surrenders and contract benefits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(4,876)</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flows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(4,184)</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performance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8,201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Policy charges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transfers from (to) general account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Balance,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104,649</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107,603</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104,649</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107,603</w:t>
            </w:r>
          </w:p>
        </w:tc>
      </w:tr>
      <w:tr>
        <w:trPr>
          <w:trHeight w:val="73"/>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78"/>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Average balance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105,954</w:t>
            </w:r>
          </w:p>
        </w:tc>
        <w:tc>
          <w:tcPr>
            <w:tcW w:w="12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107,720</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107,704</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107,250</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$5 million, primarily driven by higher expenses, lower fee income and higher net costs from insurance-related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partially offset by higher net investment income and lower income taxes.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decreased $37 million, primarily due to the impact from the final settlement of certain ceded and assumed variable annuity</w:t>
      </w:r>
      <w:r>
        <w:rPr>
          <w:rFonts w:ascii="Arial" w:cs="Arial" w:eastAsia="Arial" w:hAnsi="Arial"/>
          <w:sz w:val="18"/>
          <w:szCs w:val="18"/>
          <w:i w:val="1"/>
          <w:iCs w:val="1"/>
          <w:color w:val="auto"/>
        </w:rPr>
        <w:t xml:space="preserve"> </w:t>
      </w:r>
      <w:r>
        <w:rPr>
          <w:rFonts w:ascii="Arial" w:cs="Arial" w:eastAsia="Arial" w:hAnsi="Arial"/>
          <w:sz w:val="18"/>
          <w:szCs w:val="18"/>
          <w:color w:val="auto"/>
        </w:rPr>
        <w:t>reinsurance agreements with Metropolitan Life Insurance Company (“MLIC”), a former affiliate, in the prior year and lower asset based-fees resulting from lower average separate account balances in our variable annuity business.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Net investment spread increased adjusted earnings $70 million, primarily due to higher net investment income driven by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impact from the Portfolio Realignment, the repositioning of a portion of our portfolio into higher yielding assets and higher average invested assets resulting from positive net flows in the general account.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$27 million, primarily due to:</w:t>
      </w:r>
    </w:p>
    <w:p>
      <w:pPr>
        <w:spacing w:after="0" w:line="117" w:lineRule="exact"/>
        <w:rPr>
          <w:sz w:val="20"/>
          <w:szCs w:val="20"/>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$21 million unfavorable change from higher GMDB costs driven by an increase in liability balances resulting from growth in in-force and higher claims in the current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$9 million unfavorable change from the fair value of the underlying ceded separate account assets from a related party reinsurance agreement for certain variable annuity contracts; partially offset by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$6 million favorable underwriting experience in our indexed annuity business.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had an unfavorable impact on comparative results of $12 million,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lower profits resulting from lower than expected separate account returns in the current period as well as changes in in-force and actuarial model refinements.</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Other Expenses, Net of DAC Capitalization. </w:t>
      </w:r>
      <w:r>
        <w:rPr>
          <w:rFonts w:ascii="Arial" w:cs="Arial" w:eastAsia="Arial" w:hAnsi="Arial"/>
          <w:sz w:val="16"/>
          <w:szCs w:val="16"/>
          <w:color w:val="auto"/>
        </w:rPr>
        <w:t>Expenses increased $41 million, primarily due to an increase in pass-through variable annuity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higher operating costs as a result of being a stand-alone company, partially offset by the impact of a reallocation of corporate branding costs to Corporate &amp; Other. With respect to the variable annuity pass-through expenses, we had an increase of $27 million driven by Separation related changes to arrangements with third parties impacting the recognition of pass-through investment management expenses, most of which is offset by an increase in fee income.</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June 30, 2018 was $45 million, or 17%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$87 million, or 28% of pre-tax adjusted earnings, for the three months ended June 30, 2017. Our effective tax rates in both periods differ from the U.S. statutory rates primarily due to the impacts of the dividend received deductions.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$7 million primarily due to increases in expenses, DAC amortization and net costs from insurance-related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partially offset by higher net investment income and lower income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decreased $8 million, primarily due to:</w:t>
      </w:r>
    </w:p>
    <w:p>
      <w:pPr>
        <w:spacing w:after="0" w:line="117"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$27 million unfavorable impact from the final settlement of certain ceded and assumed variable annuity reinsurance agreements with MLIC recognized in the prior period; partially offset by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$18 million favorable impact from revenue sharing fees resulting from Separation related changes and were passed through to third parties with a corresponding offset in other expenses.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Net investment spread increased $112 million, primarily due to higher net investment income driven by (i) the impact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Realignment as well as the repositioning of a portion of our portfolio into higher yielding assets, (ii) higher returns on other limited partnership interests driven by an improvement in equity market performance, (iii) higher returns on real estate joint ventures and (iv) higher average invested assets resulting from positive net flows in the general account. These increases were partially offset by lower income on derivatives as a result of the termination of certain interest rate swaps.</w:t>
      </w:r>
    </w:p>
    <w:p>
      <w:pPr>
        <w:spacing w:after="0" w:line="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$39 million, primarily due to higher GMDB costs driven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liability balances resulting from growth in in-force and higher claims. This was partially offset by a favorable change from the fair value of the underlying ceded separate account assets from a related party reinsurance agreement for certain variable annuity contracts.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had an unfavorable impact on comparative results of $61 million,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impacts from lower profits resulting from lower than expected separate account returns in the current period as well as changes in in-force and actuarial model refinements.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$89 million, primarily due to an increase in pass-through variable annuity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operating costs as a result of being a stand-alone company, partially offset by the impact of expenses incurred in the prior period related to reinsurance recapture activity. With respect to the variable annuity pass-through expenses, we had an increase of $79 million driven by Separation related changes to arrangements with third parties impacting the recognition of pass-through investment management and revenue sharing fees, most of which is offset by an increase in fee income.</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six months ended June 30, 2018 was $91 million, or 17%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$169 million, or 27% of pre-tax adjusted earnings, for the six months ended June 30, 2017. Our effective tax rates in both periods differ from the U.S. statutory rates primarily due to the impacts of the dividend received deductions.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Life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3"/>
              </w:rPr>
              <w:t>Six Months</w:t>
            </w:r>
          </w:p>
        </w:tc>
        <w:tc>
          <w:tcPr>
            <w:tcW w:w="94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gridSpan w:val="3"/>
          </w:tcPr>
          <w:p>
            <w:pPr>
              <w:jc w:val="center"/>
              <w:ind w:right="402"/>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r>
      <w:tr>
        <w:trPr>
          <w:trHeight w:val="192"/>
        </w:trPr>
        <w:tc>
          <w:tcPr>
            <w:tcW w:w="5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82"/>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Adjusted earnings increased $25 million, primarily due to higher net investment spread, favorable insurance-related activities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partially offset by lower fee income and higher amortization of DAC and VOBA.</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Fee income decreased $17 million, primarily due to the recapture from MLIC of a yearly renewable term reinsurance agreement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life contracts (“YRT Recapture”) in the prior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increased $49 million, primarily driven by an increase in income on fixed maturity securities and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due to the Portfolio Realignment.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Insurance-related activities had a favorable impact on comparative results of $15 million, primarily due to ongoing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current period from the YRT Recapture.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Higher amortization of DAC and VOBA had an unfavorable impact on comparative results of $16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adjustment in the prior period for deferred marketing allowances, which is largely offset in other expenses.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$8 million primarily due to the impact of an allocation in the prior period of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fees from Corporate &amp; Other in connection with the creation of BRCD as well as higher costs as a result of being a stand-alone company. These increases were partially offset by an adjustment in the prior period for deferred marketing allowances, which is largely offset in amortization of DAC and VOBA.</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three months ended June 30, 2018 was $9 million, or 20% of adjusted earnings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for income tax, compared to $11 million, or 48% of adjusted earnings before provision for income tax, for the three months ended June 30, 2017. Our effective tax rates typically differ from the U.S. statutory rates primarily due to the impacts of the dividend received deductions.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Adjusted earnings increased $98 million, primarily due to favorable insurance-related activities, higher net investment spread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Fee income was largely unchanged.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increased $43 million, primarily driven by the impact from the Portfolio Realignment which led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income on fixed maturity securities and mortgage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Insurance-related activities had a favorable impact on comparative results of $59 million, primarily due to the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in the current period of the YRT Recapture, partially offset by unfavorable mortality.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Amortization of DAC and VOBA was unchanged. A favorable ceded DAC adjustment in the prior period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whole life business reinsured to a former affiliate and lower operating amortization due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declining block of business were offset by an adjustment in the prior year for deferred marketing allowances, which was mostly offset in other expenses.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$14 million primarily due to an adjustment in the prior year for deferred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which is mostly offset in amortization of DAC and VOBA.</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six months ended June 30, 2018 was $24 million, or 19% of adjusted earnings before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for income tax, compared to $3 million, or 38% of adjusted earnings before provision for income tax, for the six months ended June 30, 2017. Our effective tax rates typically differ from the U.S. statutory rates primarily due to the impacts of the dividend received deductions.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Run-off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3"/>
              </w:rPr>
              <w:t>Six Months</w:t>
            </w:r>
          </w:p>
        </w:tc>
        <w:tc>
          <w:tcPr>
            <w:tcW w:w="94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522"/>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3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257</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$58 million primarily due to higher net costs from insurance-related activities combined with lower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spread, partially offset by lower income taxes, lower expenses and higher fee income.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$46 million, primarily due to (i) the impact of the Portfolio Realignment, (ii) lower returns 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limited partnership interests driven by a decline in equity market performance and (iii) lower income on derivatives due to the termination of certain interest rates swaps.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$73 million, primarily due to</w:t>
      </w:r>
    </w:p>
    <w:p>
      <w:pPr>
        <w:spacing w:after="0" w:line="11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$49 million unfavorable mortality experience from higher claim severity in our ULSG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$13 million unfavorable ongoing loss recognition testing reserves in ULSG;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$11 million unfavorable mortality resulting from lower claim incidences in our structured settlements business.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$26 million, primarily due to lower costs related to reinsurance financing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terminated in the second quarter of 2017 as well as lower commissions.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June 30, 2018 was $2 million, or 25%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expense of $27 million, or 34% of pre-tax adjusted earnings for the three months ended June 30, 2017. Our effective tax rates typically differ from the U.S. statutory rates primarily due to the impacts of the dividend received deductions.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$57 million primarily due to higher net costs from insurance-related activities and lower net investment spread,</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expenses, higher fee income and lower income taxes.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$30 million, primarily due to the reimbursement of fees for previously recaptured universal life business and net</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impacts in the current period from the YRT Recapture.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$64 million, primarily due to lower net investment income from (i) the impact of the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Realignment, (ii) lower income on derivatives due to the termination of certain interest rates swaps and (iii) lower income from our securities lending program, as a result of a reduction in program size and lower margins due to the impact of a flatter yield curve.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$114 million, primarily due to:</w:t>
      </w:r>
    </w:p>
    <w:p>
      <w:pPr>
        <w:spacing w:after="0" w:line="11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$85 million unfavorable mortality experience in our ULSG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$12 million unfavorable growth in ULSG insurance liabilities;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 million lower incidences in our structured settlements business.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$44 million, primarily due to lower costs related to reinsurance financing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terminated in the second quarter of 2017 as well as lower commissions.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six months ended June 30, 2018 was $11 million, or 20%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$52 million, or 34% of pre-tax adjusted earnings for the six months ended June 30, 2017. Our effective tax rates typically differ from the U.S. statutory rates primarily due to the impacts of the dividend received deductions.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Corporate &amp; Other:</w:t>
      </w:r>
    </w:p>
    <w:p>
      <w:pPr>
        <w:spacing w:after="0" w:line="258" w:lineRule="exact"/>
        <w:rPr>
          <w:sz w:val="20"/>
          <w:szCs w:val="20"/>
          <w:color w:val="auto"/>
        </w:rPr>
      </w:pPr>
    </w:p>
    <w:tbl>
      <w:tblPr>
        <w:tblLayout w:type="fixed"/>
        <w:tblInd w:w="56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520" w:type="dxa"/>
            <w:vAlign w:val="bottom"/>
          </w:tcPr>
          <w:p>
            <w:pPr>
              <w:jc w:val="center"/>
              <w:ind w:right="388"/>
              <w:spacing w:after="0"/>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920" w:type="dxa"/>
            <w:vAlign w:val="bottom"/>
          </w:tcPr>
          <w:p>
            <w:pPr>
              <w:spacing w:after="0"/>
              <w:rPr>
                <w:sz w:val="12"/>
                <w:szCs w:val="12"/>
                <w:color w:val="auto"/>
              </w:rPr>
            </w:pPr>
          </w:p>
        </w:tc>
        <w:tc>
          <w:tcPr>
            <w:tcW w:w="152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w w:val="89"/>
              </w:rPr>
              <w:t>June 30,</w:t>
            </w:r>
          </w:p>
        </w:tc>
      </w:tr>
      <w:tr>
        <w:trPr>
          <w:trHeight w:val="264"/>
        </w:trPr>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44"/>
        </w:trPr>
        <w:tc>
          <w:tcPr>
            <w:tcW w:w="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6"/>
          <w:szCs w:val="16"/>
          <w:color w:val="auto"/>
        </w:rPr>
        <w:t>Fee income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expenses, net of DAC capitalization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right="420" w:firstLine="162"/>
        <w:spacing w:after="0" w:line="352" w:lineRule="auto"/>
        <w:rPr>
          <w:sz w:val="20"/>
          <w:szCs w:val="20"/>
          <w:color w:val="auto"/>
        </w:rPr>
      </w:pPr>
      <w:r>
        <w:rPr>
          <w:rFonts w:ascii="Arial" w:cs="Arial" w:eastAsia="Arial" w:hAnsi="Arial"/>
          <w:sz w:val="16"/>
          <w:szCs w:val="16"/>
          <w:color w:val="auto"/>
        </w:rPr>
        <w:t>Pre-tax adjusted earnings, less net income attributable to noncontrolling interests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200"/>
        <w:spacing w:after="0"/>
        <w:tabs>
          <w:tab w:leader="none" w:pos="5620" w:val="left"/>
        </w:tabs>
        <w:rPr>
          <w:sz w:val="20"/>
          <w:szCs w:val="20"/>
          <w:color w:val="auto"/>
        </w:rPr>
      </w:pPr>
      <w:r>
        <w:rPr>
          <w:rFonts w:ascii="Arial" w:cs="Arial" w:eastAsia="Arial" w:hAnsi="Arial"/>
          <w:sz w:val="16"/>
          <w:szCs w:val="16"/>
          <w:color w:val="auto"/>
        </w:rPr>
        <w:t>Adjusted earnings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5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(133)</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(125)</w:t>
            </w:r>
          </w:p>
        </w:tc>
        <w:tc>
          <w:tcPr>
            <w:tcW w:w="5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-8255</wp:posOffset>
            </wp:positionV>
            <wp:extent cx="8832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860" w:space="720"/>
            <w:col w:w="4840"/>
          </w:cols>
          <w:pgMar w:left="240" w:top="126" w:right="2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Adjusted earnings decreased $133 million, primarily due to higher expenses, lower net investment spread and unfavorable income tax impacts.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$47 million, primarily driven by the impact from the Portfolio Realignment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income on derivatives due to the termination of interest rate swaps.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Other Expenses, Net of DAC Capitalization. </w:t>
      </w:r>
      <w:r>
        <w:rPr>
          <w:rFonts w:ascii="Arial" w:cs="Arial" w:eastAsia="Arial" w:hAnsi="Arial"/>
          <w:sz w:val="16"/>
          <w:szCs w:val="16"/>
          <w:color w:val="auto"/>
        </w:rPr>
        <w:t>Expenses increased $85 million, primarily due to higher establishment costs related to planned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and branding investments, as well as higher interest on debt which was issued in the latter part of the second quarter of 2017. These increases were partially offset by a charge in the prior period related to sale of MPCG to MassMutual and lower letter of credit fees. Letter of credit fees decreased as a result of the issuance of debt in the second quarter of 2017, which more than offset the impact of an allocation to the Life segment in the prior period.</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benefit for the three months ended June 30, 2018 was $26 million, or 21% of pre-tax adjusted earnings less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attributable to noncontrolling interests, compared to $23 million, or 209% of pre-tax adjusted earnings less net income attributable to noncontrolling interests, for the three months ended June 30, 2017. Our effective tax rates typically differ from the U.S. statutory rates primarily due to the utilization of tax credits. On a comparative basis, our relative tax benefit was unfavorably impacted due to an incremental tax benefit of $26 million recognized in the prior period, primarily due to additional tax credits and an adjustment recorded to accrue to our annualized effective tax rate. In addition, our comparative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income taxes were further unfavorably impacted by a lower relative tax benefit resulting from the change in the U.S. statutory rate due to tax reform.</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$202 million, primarily due to higher expenses and lower net investment spread, offset by tax credits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2017.</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$102 million, primarily driven by the impact from the Portfolio Realignment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income on derivatives due to the termination of interest rate swaps.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$135 million, primarily due to higher establishment costs related to planned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branding investments, as well as higher interest on debt which was issued in the second quarter of 2017. These increases were partially offset by a charge in the prior period related to sale of MPCG to MassMutual and lower letter of credit fees.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six months ended June 30, 2018 was $55 million, or 26% of pre-tax adjusted earnings less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attributable to noncontrolling interests, compared to a benefit of $10 million, or 29% of pre-tax adjusted earnings less net income attributable to noncontrolling interests, for the six months ended June 30, 2017. Our effective tax rates typically differ from the U.S. statutory rates primarily due to the utilization of tax credits. On a comparative basis, our relative tax benefit was unfavorably impacted due to an incremental tax benefit of $22 million recognized in the prior period, primarily due to additional tax credits and an adjustment recorded to accrue to our annualized effective tax rate. In addition, our comparative income taxes were further unfavorably impacted by a lower relative tax benefit resulting from the change in the U.S. statutory rate due to tax reform.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center"/>
              <w:ind w:left="721"/>
              <w:spacing w:after="0"/>
              <w:rPr>
                <w:sz w:val="20"/>
                <w:szCs w:val="20"/>
                <w:color w:val="auto"/>
              </w:rPr>
            </w:pPr>
            <w:r>
              <w:rPr>
                <w:rFonts w:ascii="Arial" w:cs="Arial" w:eastAsia="Arial" w:hAnsi="Arial"/>
                <w:sz w:val="14"/>
                <w:szCs w:val="14"/>
                <w:b w:val="1"/>
                <w:bCs w:val="1"/>
                <w:color w:val="auto"/>
                <w:w w:val="95"/>
              </w:rPr>
              <w:t>Three Months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3"/>
              </w:rPr>
              <w:t>Six Months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3"/>
          </w:tcPr>
          <w:p>
            <w:pPr>
              <w:jc w:val="center"/>
              <w:ind w:left="681"/>
              <w:spacing w:after="0" w:line="149" w:lineRule="exact"/>
              <w:rPr>
                <w:sz w:val="20"/>
                <w:szCs w:val="20"/>
                <w:color w:val="auto"/>
              </w:rPr>
            </w:pPr>
            <w:r>
              <w:rPr>
                <w:rFonts w:ascii="Arial" w:cs="Arial" w:eastAsia="Arial" w:hAnsi="Arial"/>
                <w:sz w:val="14"/>
                <w:szCs w:val="14"/>
                <w:b w:val="1"/>
                <w:bCs w:val="1"/>
                <w:color w:val="auto"/>
                <w:w w:val="93"/>
              </w:rPr>
              <w:t>Ended</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gridSpan w:val="3"/>
          </w:tcPr>
          <w:p>
            <w:pPr>
              <w:jc w:val="center"/>
              <w:ind w:left="621"/>
              <w:spacing w:after="0" w:line="149" w:lineRule="exact"/>
              <w:rPr>
                <w:sz w:val="20"/>
                <w:szCs w:val="20"/>
                <w:color w:val="auto"/>
              </w:rPr>
            </w:pPr>
            <w:r>
              <w:rPr>
                <w:rFonts w:ascii="Arial" w:cs="Arial" w:eastAsia="Arial" w:hAnsi="Arial"/>
                <w:sz w:val="14"/>
                <w:szCs w:val="14"/>
                <w:b w:val="1"/>
                <w:bCs w:val="1"/>
                <w:color w:val="auto"/>
                <w:w w:val="93"/>
              </w:rPr>
              <w:t>Ended</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92"/>
              </w:rPr>
              <w:t>June 30,</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89"/>
              </w:rPr>
              <w:t>June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Liabilities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Assumed Reinsurance Liabilities</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Hedging Program (2)</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4240" w:type="dxa"/>
            <w:vAlign w:val="bottom"/>
          </w:tcPr>
          <w:p>
            <w:pPr>
              <w:ind w:left="180"/>
              <w:spacing w:after="0"/>
              <w:rPr>
                <w:sz w:val="20"/>
                <w:szCs w:val="20"/>
                <w:color w:val="auto"/>
              </w:rPr>
            </w:pPr>
            <w:r>
              <w:rPr>
                <w:rFonts w:ascii="Arial" w:cs="Arial" w:eastAsia="Arial" w:hAnsi="Arial"/>
                <w:sz w:val="16"/>
                <w:szCs w:val="16"/>
                <w:color w:val="auto"/>
              </w:rPr>
              <w:t>Total Hedging Program and Reinsurance</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Fees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Assumed Reinsurance Fees</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Fees (3)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GMLB Riders before DAC Offsets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Offsets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44"/>
        </w:trPr>
        <w:tc>
          <w:tcPr>
            <w:tcW w:w="424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changes in fair value of the Shield Annuities embedded derivatives of ($127) million and ($69) million for the three months and six months ended June 30, 2018. Changes in the fair value of the Shield Annuities embedded derivatives were not included in GMLB results for the three months and six months ended June 30, 2017.</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hedges of GMIB insurance liabilities were historically reported in policyholder benefits and claims. Amounts reported in policyholder benefits and claims were ($87) million and ($267) million for the three months and six months ended June 30, 2017. Consistent with the hedge strategy now focused on a statutory target, with less emphasis on matching GAAP liabilities, all hedge program amounts are recorded in net derivative gains (losses) beginning in 2018.</w:t>
      </w:r>
    </w:p>
    <w:p>
      <w:pPr>
        <w:spacing w:after="0" w:line="7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$18 million and $36 million for the three months and six months ended June 30, 2018, respectively, and $18 million and $36 million for the three months and six months ended June 30,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with the Three Months Ended June 30, 2017</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Comparative results from GMLB Riders before provision for income tax were unfavorable by $212 million. Of this amount, an unfavorable change of $54 million was recorded in net derivative gains (losses).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GMLB Riders Liabilities. </w:t>
      </w:r>
      <w:r>
        <w:rPr>
          <w:rFonts w:ascii="Arial" w:cs="Arial" w:eastAsia="Arial" w:hAnsi="Arial"/>
          <w:sz w:val="18"/>
          <w:szCs w:val="18"/>
          <w:color w:val="auto"/>
        </w:rPr>
        <w:t>The change in the carrying value of GMLB Riders liabilities resulted in a favorable impact on comparative results of $87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due to favorable impacts from changes in interest rates in the current period compared to the prior period and the change in the nonperformance risk adjustment due in part to changing to use of our own creditworthiness post-Separation. These increases were partially offset by (i) less favorable changes in equity markets in the current period than in the prior period, (ii) an unfavorable change in fair value of the Shield Annuities embedded derivatives and (iii) in-force growth of GMIB insurance liabilities.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GMLB Riders Hedging Program and Reinsurance. </w:t>
      </w:r>
      <w:r>
        <w:rPr>
          <w:rFonts w:ascii="Arial" w:cs="Arial" w:eastAsia="Arial" w:hAnsi="Arial"/>
          <w:sz w:val="18"/>
          <w:szCs w:val="18"/>
          <w:color w:val="auto"/>
        </w:rPr>
        <w:t>The change in the fair value of GMLB Riders hedging program and reinsurance had an unfavorable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comparative results of $95 million, primarily due to:</w:t>
      </w:r>
    </w:p>
    <w:p>
      <w:pPr>
        <w:spacing w:after="0" w:line="62"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unfavorable change of $110 million resulting from the impact of a benefit upon final settlement recognized in the prior period in connection with the recapture from MLIC of certain ceded and assumed variable annuity insurance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unfavorable change in ceded reinsurance of $31 million; partially offset by</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favorable change of $47 million from lower negative impacts from interest rate and equity market factors in the current period, compared to the prior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unchanged.</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6" w:right="239" w:bottom="1440" w:gutter="0" w:footer="0" w:header="0"/>
          <w:type w:val="continuous"/>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which are inversely related to the changes in certain components of GMLB Riders discussed above, resulted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impact on comparative results of $205 million.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2018 Compared with the Six Months Ended June 30, 2017</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Comparative results from GMLB Riders before provision for income tax were favorable by $442 million. Of this amount, a favorable change of $859 million was recorded in net derivative gains (losses).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GMLB Riders Liabilities. </w:t>
      </w:r>
      <w:r>
        <w:rPr>
          <w:rFonts w:ascii="Arial" w:cs="Arial" w:eastAsia="Arial" w:hAnsi="Arial"/>
          <w:sz w:val="18"/>
          <w:szCs w:val="18"/>
          <w:color w:val="auto"/>
        </w:rPr>
        <w:t>The change in the carrying value of GMLB Riders liabilities resulted in a favorable impact on comparative results of $50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due to favorable impacts from changes in interest rates in the current period compared to the prior period and the change in the nonperformance risk adjustment due in part to changing to use our own creditworthiness post-Separation. These increases were partially offset by unfavorable impacts from (i) less favorable changes in equity markets in the current period, compared to the prior period, (ii) an unfavorable change in fair value of the Shield Annuities embedded derivatives and (iii) in-force growth of GMIB insurance liabilities.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GMLB Riders Hedging Program and Reinsurance</w:t>
      </w:r>
      <w:r>
        <w:rPr>
          <w:rFonts w:ascii="Arial" w:cs="Arial" w:eastAsia="Arial" w:hAnsi="Arial"/>
          <w:sz w:val="18"/>
          <w:szCs w:val="18"/>
          <w:color w:val="auto"/>
        </w:rPr>
        <w:t>. The change in the fair value of GMLB Riders hedging program and reinsurance had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comparative results of $1.0 billion, primarily due to:</w:t>
      </w:r>
    </w:p>
    <w:p>
      <w:pPr>
        <w:spacing w:after="0" w:line="62" w:lineRule="exact"/>
        <w:rPr>
          <w:sz w:val="20"/>
          <w:szCs w:val="20"/>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net favorable change of $926 million from the inverse impacts of the same interest rate and equity market factors that impacted GMLB Riders liabilities;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favorable change of $155 million resulting from a net charge recognized in the prior period in connection with the recapture from MLIC of certain ceded and assumed variable annuity insurance agreements; partially offset by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unfavorable change in ceded reinsurance of $44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largely unchanged.</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which are inversely related to the changes in certain components of GMLB Riders discussed above, resulted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impact on comparative results of $643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foreign denominated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2017 Annual Report.</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U.S. insurance company, we are affected by the monetary policy of the Federal Reserve Board in the United States. The Federal Open Market Committee has increased the federal funds rate five times since the start of 2017. The Federal Reserve may take further actions to influence interest rates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83"/>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10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3"/>
                <w:szCs w:val="13"/>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Yield% (1)</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Yield% (1)</w:t>
            </w:r>
          </w:p>
        </w:tc>
        <w:tc>
          <w:tcPr>
            <w:tcW w:w="160" w:type="dxa"/>
            <w:vAlign w:val="bottom"/>
          </w:tcPr>
          <w:p>
            <w:pPr>
              <w:spacing w:after="0"/>
              <w:rPr>
                <w:sz w:val="13"/>
                <w:szCs w:val="13"/>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Investment fees and expenses</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83"/>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investment income (2), (3)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41" w:lineRule="exact"/>
        <w:rPr>
          <w:sz w:val="20"/>
          <w:szCs w:val="20"/>
          <w:color w:val="auto"/>
        </w:rPr>
      </w:pPr>
    </w:p>
    <w:p>
      <w:pPr>
        <w:jc w:val="both"/>
        <w:ind w:left="340" w:hanging="332"/>
        <w:spacing w:after="0" w:line="279"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collateral received from derivative counterparties and the effects of consolidating certain VIEs under GAAP that are treated as CSEs.</w:t>
      </w:r>
    </w:p>
    <w:p>
      <w:pPr>
        <w:spacing w:after="0" w:line="63" w:lineRule="exact"/>
        <w:rPr>
          <w:rFonts w:ascii="Arial" w:cs="Arial" w:eastAsia="Arial" w:hAnsi="Arial"/>
          <w:sz w:val="17"/>
          <w:szCs w:val="17"/>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net investment income included in yield calculations includes investment hedge adjustments.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Adjusted net investment income presented in the yield table varies from the most directly comparable GAAP measure due to certain reclassifications and adjustments and excludes the effects of consolidating certain VIEs under GAAP that are treated as CSEs, as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income</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1,623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Less: Investment hedge adjustments</w:t>
            </w:r>
          </w:p>
        </w:tc>
        <w:tc>
          <w:tcPr>
            <w:tcW w:w="900" w:type="dxa"/>
            <w:vAlign w:val="bottom"/>
          </w:tcPr>
          <w:p>
            <w:pPr>
              <w:spacing w:after="0"/>
              <w:rPr>
                <w:sz w:val="20"/>
                <w:szCs w:val="20"/>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Incremental net investment income from CSEs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Adjusted net investment income — in the above yield table</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99"/>
              </w:rPr>
              <w:t>1,637</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1,650</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and Six Months Ended June 30, 2018 and 2017 — Adjusted Earnings” for an analysis of the period over period changes in net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 and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fixed maturity available-for-sale (“AFS”) and equity securities by type (public or private) held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June 30, 2018</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December 31, 2017</w:t>
            </w:r>
          </w:p>
        </w:tc>
        <w:tc>
          <w:tcPr>
            <w:tcW w:w="94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Estimated</w:t>
            </w: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19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Estimated</w:t>
            </w:r>
          </w:p>
        </w:tc>
        <w:tc>
          <w:tcPr>
            <w:tcW w:w="94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300" w:type="dxa"/>
            <w:vAlign w:val="bottom"/>
            <w:gridSpan w:val="6"/>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Fixed maturity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Publicly-traded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51,319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54,332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Privately-placed</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11,024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10,659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16.4</w:t>
            </w:r>
          </w:p>
        </w:tc>
      </w:tr>
      <w:tr>
        <w:trPr>
          <w:trHeight w:val="284"/>
        </w:trPr>
        <w:tc>
          <w:tcPr>
            <w:tcW w:w="50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fixed maturity securities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62,343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64,991</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5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Percentage of cash and invested 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Publicly-traded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Privately-held</w:t>
            </w:r>
          </w:p>
        </w:tc>
        <w:tc>
          <w:tcPr>
            <w:tcW w:w="26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3.1</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equity securities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5080" w:type="dxa"/>
            <w:vAlign w:val="bottom"/>
          </w:tcPr>
          <w:p>
            <w:pPr>
              <w:ind w:left="760"/>
              <w:spacing w:after="0"/>
              <w:rPr>
                <w:sz w:val="20"/>
                <w:szCs w:val="20"/>
                <w:color w:val="auto"/>
              </w:rPr>
            </w:pPr>
            <w:r>
              <w:rPr>
                <w:rFonts w:ascii="Arial" w:cs="Arial" w:eastAsia="Arial" w:hAnsi="Arial"/>
                <w:sz w:val="16"/>
                <w:szCs w:val="16"/>
                <w:color w:val="auto"/>
              </w:rPr>
              <w:t>Percentage of cash and invested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Valuation of Securities. </w:t>
      </w:r>
      <w:r>
        <w:rPr>
          <w:rFonts w:ascii="Arial" w:cs="Arial" w:eastAsia="Arial" w:hAnsi="Arial"/>
          <w:sz w:val="16"/>
          <w:szCs w:val="16"/>
          <w:color w:val="auto"/>
        </w:rPr>
        <w:t>We engage MetLife Investment Advisors, LLC, which was considered a related party investment manager until the completion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MetLife Divestiture, to execute on our valuation controls and policies to determine the estimated fair value of our investments. See “— Introduction” for information regarding the MetLife Divestiture. The estimated fair value of publicly-traded securities is determined after considering one of three primary sources of information: quoted market prices in active markets, independent pricing services, or independent broker quotations. The estimated fair value of privately-placed securities is determined after considering one of three primary sources of information: market standard internal matrix pricing, market standard internal discounted cash flow techniques, or independent pricing services (after the independent pricing services’ use of available observable market data is determined). For publicly-traded securities, the number of quotations obtained varies by instrument and depends on the liquidity of the particular instrument. Generally, prices are obtained from multiple pricing services to cover all asset classes and obtain multiple prices for certain securities, but ultimately use the price with the highest placement in the fair value hierarchy. Independent pricing services that value these instruments use market standard valuation methodologies based on data about market transactions and inputs from multiple pricing sources that are market observable or can be derived principally from or corroborated by observable market data. See Note 6 of the Notes to the Interim Condensed Consolidated and Combined Financial Statements for a discussion of the types of market standard valuation methodologies utilized and key assumptions and observable inputs used in applying these standard valuation methodologies. When a price is not available in the active market or through an independent pricing service, the security is priced primarily using non-binding quotations from independent brokers who are knowledgeable about these securities. Independent non-binding broker quotations use inputs that may be difficult to corroborate with observable market data. As shown in the following section, less than 1% of our fixed maturity securities were valued using non-binding quotations from independent brokers at June 30, 2018.</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 responsible for monitoring and providing the oversight over the valuation controls and policies, including reviewing and approving new transaction types and markets, for ensuring that observable market prices and market-based parameters are used for valuation, wherever possible, and for determining that valuation adjustments, when applied, are based upon established policies and are applied consistently over time. See Note 6 of the Notes to the Interim Condensed Consolidated and Combined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reviewed the significance and observability of inputs used in the valuation methodologies to determine the appropriate fair value hierarchy level for each of our securities. Based on the results of this review and investment class analysis, each instrument is categorized as Level 1, 2 or 3 based on the lowest level significant input to its valuation. See Note 6 of the Notes to the Interim Condensed Consolidated and Combined Financial Statements for information regarding the valuation techniques and inputs by level within the three-level fair value hierarchy by major classes of invested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of Fixed Maturity Securities AFS and Equity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Fixed maturity securities AFS and equity securities measured at estimated fair value on a recurring basis and their corresponding fair value pricing sources are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June 30,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5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gridSpan w:val="3"/>
          </w:tcPr>
          <w:p>
            <w:pPr>
              <w:jc w:val="center"/>
              <w:ind w:left="241"/>
              <w:spacing w:after="0" w:line="153" w:lineRule="exact"/>
              <w:rPr>
                <w:sz w:val="20"/>
                <w:szCs w:val="20"/>
                <w:color w:val="auto"/>
              </w:rPr>
            </w:pPr>
            <w:r>
              <w:rPr>
                <w:rFonts w:ascii="Arial" w:cs="Arial" w:eastAsia="Arial" w:hAnsi="Arial"/>
                <w:sz w:val="14"/>
                <w:szCs w:val="14"/>
                <w:b w:val="1"/>
                <w:bCs w:val="1"/>
                <w:color w:val="auto"/>
                <w:w w:val="98"/>
              </w:rPr>
              <w:t>Fixed Maturity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3"/>
          </w:tcPr>
          <w:p>
            <w:pPr>
              <w:jc w:val="center"/>
              <w:ind w:left="1"/>
              <w:spacing w:after="0" w:line="153"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3"/>
                <w:szCs w:val="13"/>
                <w:color w:val="auto"/>
              </w:rPr>
            </w:pPr>
          </w:p>
        </w:tc>
      </w:tr>
      <w:tr>
        <w:trPr>
          <w:trHeight w:val="192"/>
        </w:trPr>
        <w:tc>
          <w:tcPr>
            <w:tcW w:w="5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89"/>
              </w:rPr>
              <w:t>Securities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88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1</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Quoted prices in active markets for identical assets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4,940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53,654</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11.8</w:t>
            </w:r>
          </w:p>
        </w:tc>
      </w:tr>
      <w:tr>
        <w:trPr>
          <w:trHeight w:val="33"/>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tcPr>
          <w:p>
            <w:pPr>
              <w:ind w:left="360"/>
              <w:spacing w:after="0"/>
              <w:rPr>
                <w:sz w:val="20"/>
                <w:szCs w:val="20"/>
                <w:color w:val="auto"/>
              </w:rPr>
            </w:pPr>
            <w:r>
              <w:rPr>
                <w:rFonts w:ascii="Arial" w:cs="Arial" w:eastAsia="Arial" w:hAnsi="Arial"/>
                <w:sz w:val="16"/>
                <w:szCs w:val="16"/>
                <w:color w:val="auto"/>
              </w:rPr>
              <w:t>Significant other observable inputs</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54,255</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11.8</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3</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2,637</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76.4</w:t>
            </w:r>
          </w:p>
        </w:tc>
      </w:tr>
      <w:tr>
        <w:trPr>
          <w:trHeight w:val="33"/>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broker quotations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Significant unobservable inputs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78.4</w:t>
            </w:r>
          </w:p>
        </w:tc>
      </w:tr>
      <w:tr>
        <w:trPr>
          <w:trHeight w:val="217"/>
        </w:trPr>
        <w:tc>
          <w:tcPr>
            <w:tcW w:w="5120" w:type="dxa"/>
            <w:vAlign w:val="bottom"/>
          </w:tcPr>
          <w:p>
            <w:pPr>
              <w:ind w:left="40"/>
              <w:spacing w:after="0"/>
              <w:rPr>
                <w:sz w:val="20"/>
                <w:szCs w:val="20"/>
                <w:color w:val="auto"/>
              </w:rPr>
            </w:pPr>
            <w:r>
              <w:rPr>
                <w:rFonts w:ascii="Arial" w:cs="Arial" w:eastAsia="Arial" w:hAnsi="Arial"/>
                <w:sz w:val="16"/>
                <w:szCs w:val="16"/>
                <w:color w:val="auto"/>
              </w:rPr>
              <w:t>Total estimated fair value</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62,343</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the fixed maturity securities and equity securities AFS fair value hierarchy.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fair value pricing sources for and significant changes in Level 3 securities at June 30, 2018 are as follows:</w:t>
      </w:r>
    </w:p>
    <w:p>
      <w:pPr>
        <w:spacing w:after="0" w:line="117"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majority of the Level 3 fixed maturity securities AFS and equity securities were concentrated in three sectors: U.S. and foreign corporate securities and residential mortgage-backed securities (“RMBS”).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 fixed maturity securities are priced principally through market standard valuation methodologies, independent pricing services and, to a much lesser extent, independent non-binding broker quotations using inputs that are not market observable or cannot be derived principally from or corroborated by observable market data. Level 3 fixed maturity securities consist of less liquid securities with very limited trading activity or where less price transparency exists around the inputs to the valuation methodologies.</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three months ended June 30, 2018, Level 3 fixed maturity securities increased by $36 million, or 1%. The increase was driven by purchases in excess of sales, partially offset by net transfers out of Level 3 and a decrease in estimated fair value recognized in Other Comprehensive Income (“OCI”).</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During the six months ended June 30, 2018, Level 3 fixed maturity securities decreased by $84 million, or 3%. The decrease was driven by a decrease in estimated fair value recognized in OCI and net transfers out of Level 3, partially offset by purchases in excess of sales.</w:t>
      </w:r>
    </w:p>
    <w:p>
      <w:pPr>
        <w:spacing w:after="0" w:line="38"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a rollforward of the fair value measurements for fixed maturity securities and equity securities AFS measured at estimated fair value on a recurring basis using significant unobservable (Level 3) inputs; transfers into and/or out of Level 3; and further information about the valuation techniques and inputs by level by major classes of invested assets that affect the amounts reported above.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fixed maturity securities AFS by sector, contractual maturities and continuous gross unrealized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See “Management’s Discussion and Analysis of Financial Condition and Results of Operations — Investments — Fixed Maturity and Equity Securities AFS — Fixed Maturity Securities Credit Quality — Ratings” included in the 2017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revised methodologies adopted by the NAIC for certain structured securities.</w:t>
      </w:r>
    </w:p>
    <w:p>
      <w:pPr>
        <w:spacing w:after="0" w:line="46"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June 30, 2018</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NAIC</w:t>
            </w:r>
          </w:p>
        </w:tc>
        <w:tc>
          <w:tcPr>
            <w:tcW w:w="18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9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840" w:type="dxa"/>
            <w:vAlign w:val="bottom"/>
          </w:tcPr>
          <w:p>
            <w:pPr>
              <w:jc w:val="right"/>
              <w:ind w:right="20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Designation</w:t>
            </w:r>
          </w:p>
        </w:tc>
        <w:tc>
          <w:tcPr>
            <w:tcW w:w="1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3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84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40,577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42,643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45,729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16,544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16,762</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16,250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Subtotal investment grade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57,121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59,405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57,235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61,979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Ba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Caa and lower</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 or near default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880" w:type="dxa"/>
            <w:vAlign w:val="bottom"/>
            <w:gridSpan w:val="4"/>
          </w:tcPr>
          <w:p>
            <w:pPr>
              <w:ind w:left="40"/>
              <w:spacing w:after="0"/>
              <w:rPr>
                <w:sz w:val="20"/>
                <w:szCs w:val="20"/>
                <w:color w:val="auto"/>
              </w:rPr>
            </w:pPr>
            <w:r>
              <w:rPr>
                <w:rFonts w:ascii="Arial" w:cs="Arial" w:eastAsia="Arial" w:hAnsi="Arial"/>
                <w:sz w:val="16"/>
                <w:szCs w:val="16"/>
                <w:color w:val="auto"/>
              </w:rPr>
              <w:t>Subtotal below investment grade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2,938</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3,012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60,081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62,343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64,991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12"/>
          </w:tcPr>
          <w:p>
            <w:pPr>
              <w:jc w:val="center"/>
              <w:ind w:left="58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Aaa/Aa/A</w:t>
            </w:r>
          </w:p>
        </w:tc>
        <w:tc>
          <w:tcPr>
            <w:tcW w:w="26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Baa</w:t>
            </w:r>
          </w:p>
        </w:tc>
        <w:tc>
          <w:tcPr>
            <w:tcW w:w="280" w:type="dxa"/>
            <w:vAlign w:val="bottom"/>
          </w:tcPr>
          <w:p>
            <w:pPr>
              <w:spacing w:after="0"/>
              <w:rPr>
                <w:sz w:val="13"/>
                <w:szCs w:val="13"/>
                <w:color w:val="auto"/>
              </w:rPr>
            </w:pPr>
          </w:p>
        </w:tc>
        <w:tc>
          <w:tcPr>
            <w:tcW w:w="7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3"/>
                <w:szCs w:val="13"/>
                <w:color w:val="auto"/>
              </w:rPr>
            </w:pPr>
          </w:p>
        </w:tc>
        <w:tc>
          <w:tcPr>
            <w:tcW w:w="10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Caa and</w:t>
            </w:r>
          </w:p>
        </w:tc>
        <w:tc>
          <w:tcPr>
            <w:tcW w:w="180" w:type="dxa"/>
            <w:vAlign w:val="bottom"/>
          </w:tcPr>
          <w:p>
            <w:pPr>
              <w:spacing w:after="0"/>
              <w:rPr>
                <w:sz w:val="13"/>
                <w:szCs w:val="13"/>
                <w:color w:val="auto"/>
              </w:rPr>
            </w:pPr>
          </w:p>
        </w:tc>
        <w:tc>
          <w:tcPr>
            <w:tcW w:w="9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 or Near</w:t>
            </w:r>
          </w:p>
        </w:tc>
        <w:tc>
          <w:tcPr>
            <w:tcW w:w="160" w:type="dxa"/>
            <w:vAlign w:val="bottom"/>
          </w:tcPr>
          <w:p>
            <w:pPr>
              <w:spacing w:after="0"/>
              <w:rPr>
                <w:sz w:val="13"/>
                <w:szCs w:val="13"/>
                <w:color w:val="auto"/>
              </w:rPr>
            </w:pPr>
          </w:p>
        </w:tc>
        <w:tc>
          <w:tcPr>
            <w:tcW w:w="90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Lower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10,264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11,029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1,437</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23,504</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12,458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7,677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7,859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6,964</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4,077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7"/>
        </w:trPr>
        <w:tc>
          <w:tcPr>
            <w:tcW w:w="338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42,643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16,762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62,343</w:t>
            </w:r>
          </w:p>
        </w:tc>
        <w:tc>
          <w:tcPr>
            <w:tcW w:w="0" w:type="dxa"/>
            <w:vAlign w:val="bottom"/>
          </w:tcPr>
          <w:p>
            <w:pPr>
              <w:spacing w:after="0"/>
              <w:rPr>
                <w:sz w:val="1"/>
                <w:szCs w:val="1"/>
                <w:color w:val="auto"/>
              </w:rPr>
            </w:pPr>
          </w:p>
        </w:tc>
      </w:tr>
      <w:tr>
        <w:trPr>
          <w:trHeight w:val="73"/>
        </w:trPr>
        <w:tc>
          <w:tcPr>
            <w:tcW w:w="3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0"/>
              <w:spacing w:after="0" w:line="177" w:lineRule="exact"/>
              <w:rPr>
                <w:sz w:val="20"/>
                <w:szCs w:val="20"/>
                <w:color w:val="auto"/>
              </w:rPr>
            </w:pPr>
            <w:r>
              <w:rPr>
                <w:rFonts w:ascii="Arial" w:cs="Arial" w:eastAsia="Arial" w:hAnsi="Arial"/>
                <w:sz w:val="16"/>
                <w:szCs w:val="16"/>
                <w:color w:val="auto"/>
              </w:rPr>
              <w:t>Percentage of total</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1,408</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22,957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16,292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4,181</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2,165</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64,991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Percentage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June 30, 2018 and December 31, 2017. The tables below present our U.S. and foreign corporate securities holdings by industry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2"/>
              </w:rPr>
              <w:t>June 30, 2018</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18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50"/>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21"/>
                <w:szCs w:val="21"/>
                <w:color w:val="auto"/>
              </w:rPr>
            </w:pPr>
          </w:p>
        </w:tc>
      </w:tr>
      <w:tr>
        <w:trPr>
          <w:trHeight w:val="25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9,459</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7,262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7,213</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24.1</w:t>
            </w:r>
          </w:p>
        </w:tc>
      </w:tr>
      <w:tr>
        <w:trPr>
          <w:trHeight w:val="3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19.4</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Utility</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4,451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4,333</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14.5</w:t>
            </w:r>
          </w:p>
        </w:tc>
      </w:tr>
      <w:tr>
        <w:trPr>
          <w:trHeight w:val="3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7.8</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2.7</w:t>
            </w:r>
          </w:p>
        </w:tc>
      </w:tr>
      <w:tr>
        <w:trPr>
          <w:trHeight w:val="33"/>
        </w:trPr>
        <w:tc>
          <w:tcPr>
            <w:tcW w:w="6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30,468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29,980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ind w:left="180" w:right="20" w:firstLine="324"/>
        <w:spacing w:after="0" w:line="308" w:lineRule="auto"/>
        <w:rPr>
          <w:sz w:val="20"/>
          <w:szCs w:val="20"/>
          <w:color w:val="auto"/>
        </w:rPr>
      </w:pPr>
      <w:r>
        <w:rPr>
          <w:rFonts w:ascii="Arial" w:cs="Arial" w:eastAsia="Arial" w:hAnsi="Arial"/>
          <w:sz w:val="17"/>
          <w:szCs w:val="17"/>
          <w:color w:val="auto"/>
        </w:rPr>
        <w:t>We held $14.0 billion and $13.2 billion of structured securities, at estimated fair value, at June 30, 2018 and December 31, 2017, respectively, as presented in the RMBS, commercial mortgage-backed securities (“CMBS”) and asset-backed securities (“ABS”) sections below.</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RMBS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2"/>
              </w:rPr>
              <w:t>June 30, 2018</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116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960" w:type="dxa"/>
            <w:vAlign w:val="bottom"/>
            <w:gridSpan w:val="3"/>
          </w:tcPr>
          <w:p>
            <w:pPr>
              <w:ind w:left="26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6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c>
          <w:tcPr>
            <w:tcW w:w="9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16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4"/>
              </w:rPr>
              <w:t>Net Unrealized</w:t>
            </w:r>
          </w:p>
        </w:tc>
      </w:t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Gains (Losses)</w:t>
            </w:r>
          </w:p>
        </w:tc>
      </w:tr>
      <w:tr>
        <w:trPr>
          <w:trHeight w:val="196"/>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type: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Collateralized mortgage obligations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4,412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4,623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219</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Pass-through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3,354</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17"/>
        </w:trPr>
        <w:tc>
          <w:tcPr>
            <w:tcW w:w="424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7,859</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r>
      <w:tr>
        <w:trPr>
          <w:trHeight w:val="73"/>
        </w:trPr>
        <w:tc>
          <w:tcPr>
            <w:tcW w:w="42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By risk profile: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Agency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5,423</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5,439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46</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Alt-A</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1,185</w:t>
            </w:r>
          </w:p>
        </w:tc>
        <w:tc>
          <w:tcPr>
            <w:tcW w:w="940" w:type="dxa"/>
            <w:vAlign w:val="bottom"/>
            <w:gridSpan w:val="2"/>
          </w:tcPr>
          <w:p>
            <w:pPr>
              <w:jc w:val="right"/>
              <w:ind w:right="83"/>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93</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Sub-prime</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1,020</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r>
      <w:tr>
        <w:trPr>
          <w:trHeight w:val="217"/>
        </w:trPr>
        <w:tc>
          <w:tcPr>
            <w:tcW w:w="424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7,859</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r>
      <w:tr>
        <w:trPr>
          <w:trHeight w:val="73"/>
        </w:trPr>
        <w:tc>
          <w:tcPr>
            <w:tcW w:w="42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Ratings profile: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Rated Aaa/AAA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5,670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Designated NAIC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7,677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33"/>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Historically, we have managed our exposure to sub-prime RMBS holdings by focusing primarily on senior tranche securities, stress 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$946 million and $976 million at June 30, 2018 and December 31,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respectively, with unrealized gains (losses) of $66 million and $65 million at June 30, 2018 and December 31, 2017,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CMBS holdings are diversified by vintage year. The following tables present our CMBS holdings by rating agency rating and by vintage year at: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6"/>
              </w:rPr>
              <w:t>June 30, 2018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560"/>
              <w:spacing w:after="0"/>
              <w:rPr>
                <w:sz w:val="20"/>
                <w:szCs w:val="20"/>
                <w:color w:val="auto"/>
              </w:rPr>
            </w:pPr>
            <w:r>
              <w:rPr>
                <w:rFonts w:ascii="Arial" w:cs="Arial" w:eastAsia="Arial" w:hAnsi="Arial"/>
                <w:sz w:val="11"/>
                <w:szCs w:val="11"/>
                <w:b w:val="1"/>
                <w:bCs w:val="1"/>
                <w:color w:val="auto"/>
                <w:w w:val="92"/>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440"/>
              <w:spacing w:after="0" w:line="122" w:lineRule="exact"/>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Aaa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8"/>
              </w:rPr>
              <w:t>Baa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b w:val="1"/>
                <w:bCs w:val="1"/>
                <w:color w:val="auto"/>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520" w:type="dxa"/>
            <w:vAlign w:val="bottom"/>
          </w:tcPr>
          <w:p>
            <w:pPr>
              <w:jc w:val="center"/>
              <w:ind w:left="226"/>
              <w:spacing w:after="0"/>
              <w:rPr>
                <w:sz w:val="20"/>
                <w:szCs w:val="20"/>
                <w:color w:val="auto"/>
              </w:rPr>
            </w:pPr>
            <w:r>
              <w:rPr>
                <w:rFonts w:ascii="Arial" w:cs="Arial" w:eastAsia="Arial" w:hAnsi="Arial"/>
                <w:sz w:val="11"/>
                <w:szCs w:val="11"/>
                <w:b w:val="1"/>
                <w:bCs w:val="1"/>
                <w:color w:val="auto"/>
                <w:w w:val="81"/>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2003 — 2010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870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2018</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2,948</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2,893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822</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807</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326</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319</w:t>
            </w:r>
          </w:p>
        </w:tc>
        <w:tc>
          <w:tcPr>
            <w:tcW w:w="620" w:type="dxa"/>
            <w:vAlign w:val="bottom"/>
            <w:gridSpan w:val="2"/>
            <w:vMerge w:val="restart"/>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4,099</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4,023</w:t>
            </w: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Ratings Distribution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December 31, 2017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560"/>
              <w:spacing w:after="0"/>
              <w:rPr>
                <w:sz w:val="20"/>
                <w:szCs w:val="20"/>
                <w:color w:val="auto"/>
              </w:rPr>
            </w:pPr>
            <w:r>
              <w:rPr>
                <w:rFonts w:ascii="Arial" w:cs="Arial" w:eastAsia="Arial" w:hAnsi="Arial"/>
                <w:sz w:val="11"/>
                <w:szCs w:val="11"/>
                <w:b w:val="1"/>
                <w:bCs w:val="1"/>
                <w:color w:val="auto"/>
                <w:w w:val="92"/>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440"/>
              <w:spacing w:after="0" w:line="122" w:lineRule="exact"/>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Aaa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8"/>
              </w:rPr>
              <w:t>Baa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b w:val="1"/>
                <w:bCs w:val="1"/>
                <w:color w:val="auto"/>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520" w:type="dxa"/>
            <w:vAlign w:val="bottom"/>
          </w:tcPr>
          <w:p>
            <w:pPr>
              <w:jc w:val="center"/>
              <w:ind w:left="226"/>
              <w:spacing w:after="0"/>
              <w:rPr>
                <w:sz w:val="20"/>
                <w:szCs w:val="20"/>
                <w:color w:val="auto"/>
              </w:rPr>
            </w:pPr>
            <w:r>
              <w:rPr>
                <w:rFonts w:ascii="Arial" w:cs="Arial" w:eastAsia="Arial" w:hAnsi="Arial"/>
                <w:sz w:val="11"/>
                <w:szCs w:val="11"/>
                <w:b w:val="1"/>
                <w:bCs w:val="1"/>
                <w:color w:val="auto"/>
                <w:w w:val="81"/>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2003 — 2010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1,064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91"/>
        </w:trPr>
        <w:tc>
          <w:tcPr>
            <w:tcW w:w="12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2,251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844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323</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3,423</w:t>
            </w:r>
          </w:p>
        </w:tc>
        <w:tc>
          <w:tcPr>
            <w:tcW w:w="0" w:type="dxa"/>
            <w:vAlign w:val="bottom"/>
          </w:tcPr>
          <w:p>
            <w:pPr>
              <w:spacing w:after="0"/>
              <w:rPr>
                <w:sz w:val="1"/>
                <w:szCs w:val="1"/>
                <w:color w:val="auto"/>
              </w:rPr>
            </w:pPr>
          </w:p>
        </w:tc>
      </w:tr>
      <w:tr>
        <w:trPr>
          <w:trHeight w:val="77"/>
        </w:trPr>
        <w:tc>
          <w:tcPr>
            <w:tcW w:w="12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60" w:type="dxa"/>
            <w:vAlign w:val="bottom"/>
          </w:tcPr>
          <w:p>
            <w:pPr>
              <w:ind w:left="40"/>
              <w:spacing w:after="0"/>
              <w:rPr>
                <w:sz w:val="20"/>
                <w:szCs w:val="20"/>
                <w:color w:val="auto"/>
              </w:rPr>
            </w:pPr>
            <w:r>
              <w:rPr>
                <w:rFonts w:ascii="Arial" w:cs="Arial" w:eastAsia="Arial" w:hAnsi="Arial"/>
                <w:sz w:val="13"/>
                <w:szCs w:val="13"/>
                <w:color w:val="auto"/>
              </w:rPr>
              <w:t>Ratings Distribution</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tables above reflect rating agency ratings assigned by NRSROs, including Moody’s Investors Service (“Moody’s”), Standard &amp; Poor’s Global Rating (“S&amp;P”), Fitch Ratings (“Fitch”) and Morningstar. CMBS designated NAIC 1 were 100.0% of total CMBS at both June 30, 2018 and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ABS are diversified both by collateral type and by issuer. The following table presents our ABS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w w:val="96"/>
              </w:rPr>
              <w:t>December 31, 2017</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18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Arial" w:cs="Arial" w:eastAsia="Arial" w:hAnsi="Arial"/>
                <w:sz w:val="16"/>
                <w:szCs w:val="16"/>
                <w:color w:val="auto"/>
              </w:rPr>
              <w:t>By collateral type: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Consumer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Automobile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Student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Credit card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Other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Ratings profile: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Rated Aaa/AAA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Designated NAIC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Fixed Maturity Securities AFS for OTTI and Evaluating Temporarily Impaired Fixed Maturity Securities AFS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the evaluation of fixed maturity securities and equity securities AFS for OTTI and evaluation of temporarily impaired AFS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OTTI Losses on Fixed Maturity Securities AFS Recognized in Earnings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OTTI losses and gross gains and gross losses on AFS securities sold.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Overview of Fixed Maturity Security OTTI Losses Recognized in Earnings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There were no impairments of fixed maturity securities for the three months and six months ended June 30, 2018. Impairments of fixed maturity securities were $1 million for both the three months and six months ended June 30,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Future Impairments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Future OTTI will depend primarily on economic fundamentals, issuer performance (including changes in the present value of future cash flows expected to be collected), and changes in credit ratings, collateral valuation, interest rates and credit spreads, as well as a change in our intention to hold or sell a security that is in an unrealized loss position. If economic fundamentals deteriorate or if there are adverse changes in the above factors, OTTI may be incurred in upcoming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Liquidity and Capital Resources — The Company — Liquidity and Capital Uses — Securities Lending” and Note 4 of the Notes to the Interim Condensed Consolidated and Combined Financial Statements for information regarding our securities lending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6"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June 30, 2018</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December 31, 2017</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Valuation</w:t>
            </w:r>
          </w:p>
        </w:tc>
        <w:tc>
          <w:tcPr>
            <w:tcW w:w="12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Valuation</w:t>
            </w:r>
          </w:p>
        </w:tc>
        <w:tc>
          <w:tcPr>
            <w:tcW w:w="1180" w:type="dxa"/>
            <w:vAlign w:val="bottom"/>
          </w:tcPr>
          <w:p>
            <w:pPr>
              <w:jc w:val="center"/>
              <w:ind w:left="4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Allowance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Allowance</w:t>
            </w:r>
          </w:p>
        </w:tc>
        <w:tc>
          <w:tcPr>
            <w:tcW w:w="118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8,085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7,260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234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12,292</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51</w:t>
            </w: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tables herein exclude mortgage loans where we elected the fair value option (“FVO”). Such amounts are presented in Note 4 of the Notes to the Interim Condensed Consolidated and Combined Financial Statements.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Of our commercial and agricultural mortgage loan portfolios, at both June 30, 2018 and December 31, 2017, 97% were collateralized by properties located in the U.S. and the remainder was collateralized by properties located outside of the U.S. The carrying value as a percentage of total commercial and agricultural mortgage loans for the top three states in the U.S. is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June 30, 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w:t>
            </w:r>
          </w:p>
        </w:tc>
        <w:tc>
          <w:tcPr>
            <w:tcW w:w="1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60"/>
        </w:trPr>
        <w:tc>
          <w:tcPr>
            <w:tcW w:w="622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r>
      <w:tr>
        <w:trPr>
          <w:trHeight w:val="237"/>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June 30, 2018 and December 31, 2017. The carrying value as a percentage of total residential mortgage loans for the top three states in the U.S. is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June 30, 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w:t>
            </w:r>
          </w:p>
        </w:tc>
        <w:tc>
          <w:tcPr>
            <w:tcW w:w="1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60"/>
        </w:trPr>
        <w:tc>
          <w:tcPr>
            <w:tcW w:w="622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r>
      <w:tr>
        <w:trPr>
          <w:trHeight w:val="237"/>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6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New York</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6"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4"/>
              </w:rPr>
              <w:t>June 30, 2018</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30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Region</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Pacific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1,955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Middle Atlantic</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1,699</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South Atlantic</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1,190</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South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777</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East North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Mountain</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West North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South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Multi-Region and Other</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8,085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valuation allowances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Property Type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Office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Retail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1,933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Apartment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683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8,085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valuation allowances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Mortgage Loan Credit Quality — Monitoring Process</w:t>
      </w:r>
      <w:r>
        <w:rPr>
          <w:rFonts w:ascii="Arial" w:cs="Arial" w:eastAsia="Arial" w:hAnsi="Arial"/>
          <w:sz w:val="17"/>
          <w:szCs w:val="17"/>
          <w:color w:val="auto"/>
        </w:rPr>
        <w:t>. We monitor our mortgage loan investments on an ongoing basis, including a review of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current, past due, restructured and under foreclosure. See Note 4 of the Notes to the Interim Condensed Consolidated and Combined Financial Statements for information on mortgage loans by credit quality indicator, past due and nonaccrual mortgage loans, as well as impaired mortgage loans.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review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the Consolidated and Combined Financial Statements included in the 2017 Annual Report for information on our evaluation of residential mortgage loans and related valuation allowance methodology.</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Loan-to-value ratios and debt service coverage ratios are common measures in the assessment of the quality of commercial mortgage loans. Loan-to-value ratios are a common measure in the assessment of the quality of agricultural mortgage loans.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6"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 service coverage ratio compares a property’s net operating income to amounts needed to service the principal and interest due under the loan. Generally, the lower the debt service coverage ratio, the higher the risk of experiencing a credit loss. For our commercial mortgage loans, our average loan-to-value ratio was 52% and 51% at June 30, 2018 and December 31, 2017, respectively, and our average debt service coverage ratio was 2.3x at both June 30, 2018 and December 31, 2017.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and 43% at June 30, 2018 and December 31, 2017, respectively. The values utilized in calculating the agricultural mortgage loan loan-to-value ratio are developed in connection with the ongoing review of the agricultural loan portfolio and are routinely updated.</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Valuation Allowances</w:t>
      </w:r>
      <w:r>
        <w:rPr>
          <w:rFonts w:ascii="Arial" w:cs="Arial" w:eastAsia="Arial" w:hAnsi="Arial"/>
          <w:sz w:val="18"/>
          <w:szCs w:val="18"/>
          <w:color w:val="auto"/>
        </w:rPr>
        <w:t>. Our valuation allowances are established both on a loan specific basis for those loans considered impaired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specific or market specific risk has been identified that could likely result in a future loss, as well as for pools of loans with similar risk characteristics where a property specific or market specific risk has not been identified, but for which we expect to incur a loss. Accordingly, a valuation allowance is provided to absorb these estimated probable credit losses.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determination of the amount of valuation allowances is based upon our periodic evaluation and assessment of known and inherent risks associated with our loan portfolios. Such evaluations and assessments are based upon several factors, including our experience for loan losses, defaults and loss severity, and loss expectations for loans with similar risk characteristics. These evaluations and assessments are revised as conditions change and new information becomes available, which can cause the valuation allowances to increase or decrease over time as such evaluations are revised. Negative credit migration, including an actual or expected increase in the level of problem loans, will result in an increase in the valuation allowance. Positive credit migration, including an actual or expected decrease in the level of problem loans, will result in a decrease in the valuation allowance.</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Notes 4 and 6 of the Notes to the Interim Condensed Consolidated and Combined Financial Statements for information about how valuation allowances are established and monitored, activity in and balances of the valuation allowance, and the estimated fair value of impaired mortgage loans and related impairments included within net investment gains (losses) at and for the six months ended June 30, 2018 and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Joint Ventures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Real estate joint ventures is comprised of joint ventures with interests in single property income-producing real estate, and to a lesser extent joint ventures with interests in multi-property projects with varying strategies ranging from the development of properties to the operation of income-producing properties, as well as a runoff portfolio of real estate private equity funds.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real estate joint venture and wholly owned real estate investment portfolios was $561 million and $594 million at June 30,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Limited Partnership Interests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limited partnership interests are comprised of private equity funds and hedge funds. The carrying value of other limited partnership interests was $1.7 billion at both June 30, 2018 and December 31, 2017, which included $103 million and $104 million of hedge funds at June 30, 2018 and December 31, 2017, respectively. Cash distributions on these investments are generated from investment gains, operating income from the underlying investments of the funds and liquidation of the underlying investments of the funds. We estimate that the underlying investments of the funds will be liquidated over the next 10 to 20 years.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6"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4"/>
              </w:rPr>
              <w:t>June 30, 2018</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December 31, 2017</w:t>
            </w:r>
          </w:p>
        </w:tc>
      </w:tr>
      <w:tr>
        <w:trPr>
          <w:trHeight w:val="220"/>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300" w:type="dxa"/>
            <w:vAlign w:val="bottom"/>
          </w:tcPr>
          <w:p>
            <w:pPr>
              <w:jc w:val="right"/>
              <w:ind w:right="421"/>
              <w:spacing w:after="0"/>
              <w:rPr>
                <w:sz w:val="20"/>
                <w:szCs w:val="20"/>
                <w:color w:val="auto"/>
              </w:rPr>
            </w:pPr>
            <w:r>
              <w:rPr>
                <w:rFonts w:ascii="Arial" w:cs="Arial" w:eastAsia="Arial" w:hAnsi="Arial"/>
                <w:sz w:val="14"/>
                <w:szCs w:val="14"/>
                <w:b w:val="1"/>
                <w:bCs w:val="1"/>
                <w:color w:val="auto"/>
              </w:rPr>
              <w:t>% of</w:t>
            </w:r>
          </w:p>
        </w:tc>
      </w:t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21"/>
                <w:szCs w:val="21"/>
                <w:color w:val="auto"/>
              </w:rPr>
            </w:pP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4.1</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FHLB Stock (1)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2.6</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r>
      <w:tr>
        <w:trPr>
          <w:trHeight w:val="217"/>
        </w:trPr>
        <w:tc>
          <w:tcPr>
            <w:tcW w:w="596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20955</wp:posOffset>
            </wp:positionV>
            <wp:extent cx="3430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-98425</wp:posOffset>
            </wp:positionV>
            <wp:extent cx="3430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reclassified FHLB stock in prior periods from equity securities to other invested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and Combined Financial Statements for:</w:t>
      </w:r>
    </w:p>
    <w:p>
      <w:pPr>
        <w:spacing w:after="0" w:line="7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comprehensive description of the nature of our derivatives, including the strategies for which derivatives are used in managing various risks.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June 30, 2018 and December 31, 2017.</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and six months ended June 30, 2018 and 2017.</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“Business — Segments and Corporate &amp; Other — Annuities,” “Business — Risk Management Strategies — ULSG Market Risk Exposure Management” and “Management’s Discussion and Analysis of Financial Condition and Results of Operations — Results of Operations — Actuarial Assumption Review” included in the 2017 Annual Report for more information about our use of derivatives by major hedge programs.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Derivatives categorized as Level 3 at June 30, 2018 include: credit default swaps priced using unobservable credit spreads, or that are priced through independent broker quotations; equity variance swaps with unobservable volatility inputs; and equity index options with unobservable correlation inputs. The estimated fair value of our derivatives priced through independent broker quotations were less than 1% and 1% at June 30, 2018 and December 31, 2017,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Interim Condensed Consolidated and Combined Financial Statements for a rollforward of the fair value measurements for derivatives measured at estimated fair value on a recurring basis using significant unobservable (Level 3) inputs.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6" w:right="2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gross notional amount and estimated fair value of credit default swaps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Credit Default Swaps</w:t>
            </w:r>
          </w:p>
        </w:tc>
        <w:tc>
          <w:tcPr>
            <w:tcW w:w="2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Notional</w:t>
            </w:r>
          </w:p>
        </w:tc>
        <w:tc>
          <w:tcPr>
            <w:tcW w:w="44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32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Gross Notional</w:t>
            </w:r>
          </w:p>
        </w:tc>
        <w:tc>
          <w:tcPr>
            <w:tcW w:w="300" w:type="dxa"/>
            <w:vAlign w:val="bottom"/>
          </w:tcPr>
          <w:p>
            <w:pPr>
              <w:spacing w:after="0"/>
              <w:rPr>
                <w:sz w:val="13"/>
                <w:szCs w:val="13"/>
                <w:color w:val="auto"/>
              </w:rPr>
            </w:pPr>
          </w:p>
        </w:tc>
        <w:tc>
          <w:tcPr>
            <w:tcW w:w="116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160" w:type="dxa"/>
            <w:vAlign w:val="bottom"/>
          </w:tcPr>
          <w:p>
            <w:pPr>
              <w:jc w:val="right"/>
              <w:ind w:right="24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5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Written</w:t>
            </w: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1,949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In addition, given the shorter tenor of the credit default swaps (generally five-year tenors) versus a long-dated corporate bond, we have more flexibility in managing our credit exposures.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information about the nonperformance risk adjustment included in the valuation of guaranteed minimum benefits accounted for as embedded derivatives.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information about embedded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a rollforward of the fair value measurements for embedded derivatives measured at estimated fair value on a recurring basis using significant unobservable (Level 3) inputs.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“Management’s Discussion and Analysis of Financial Condition and Results of Operations — Summary of Critical Accounting Estimates</w:t>
      </w:r>
    </w:p>
    <w:p>
      <w:pPr>
        <w:spacing w:after="0" w:line="35" w:lineRule="exact"/>
        <w:rPr>
          <w:sz w:val="20"/>
          <w:szCs w:val="20"/>
          <w:color w:val="auto"/>
        </w:rPr>
      </w:pPr>
    </w:p>
    <w:p>
      <w:pPr>
        <w:ind w:left="5620" w:right="1080" w:hanging="5616"/>
        <w:spacing w:after="0" w:line="542" w:lineRule="auto"/>
        <w:rPr>
          <w:sz w:val="20"/>
          <w:szCs w:val="20"/>
          <w:color w:val="auto"/>
        </w:rPr>
      </w:pPr>
      <w:r>
        <w:rPr>
          <w:rFonts w:ascii="Arial" w:cs="Arial" w:eastAsia="Arial" w:hAnsi="Arial"/>
          <w:sz w:val="18"/>
          <w:szCs w:val="18"/>
          <w:color w:val="auto"/>
        </w:rPr>
        <w:t>— Derivatives” included in the 2017 Annual Report for further information on the estimates and assumptions that affect embedded derivatives. 98</w:t>
      </w:r>
    </w:p>
    <w:p>
      <w:pPr>
        <w:sectPr>
          <w:pgSz w:w="11900" w:h="16838" w:orient="portrait"/>
          <w:cols w:equalWidth="0" w:num="1">
            <w:col w:w="11420"/>
          </w:cols>
          <w:pgMar w:left="240" w:top="126"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Committed Facilities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a senior unsecured revolving credit facility (the “Revolving Credit Facility”), as well as an unsecured delayed draw term loan agreement with a syndicate of banks (the “Term Loan Facility”). At June 30, 2018, there were no drawdowns under the Revolving Credit Facility and there was $600 million outstanding under the Term Loan Facility, resulting in unused commitments totaling $2.0 billion in comparison to the maximum capacity of $2.6 billion under these facilities. For the classification of expenses on such credit and committed facilities and the nature of the associated liability for letters of credit issued and drawdowns on these credit and committed facilities, see Note 9 of the Notes to the Consolidated and Combined Financial Statements included in the 2017 Annual Report.</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reinsurance subsidiary, BRCD, was formed to manage our capital and risk exposures and to support our various operations, through the use of affiliated reinsurance arrangements and related reserve financing. BRCD has a $10.0 billion reinsurance financing arrangement with a pool of highly rated third-party reinsurers. This financing arrangement consists of credit-linked notes that each have a term of 20 years. At June 30, 2018, there were no drawdowns on such notes and there was $9.5 billion of funding available under this financing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Repurchase Programs and Derivatives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balance sheets. The amount of this collateral was $56 million and $29 million at estimated fair value at June 30, 2018 and December 31, 2017, respectively. See Note 4 of the Notes to the Interim Condensed Consolidated and Combined Financial Statements, as well as “— Investments — Securities Lending” for discussion of our securities lending program, the classification of revenues and expenses, and the nature of the secured financing arrangement and associated liability.</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balance sheets. The amount of this non-cash collateral was $192 million, and $368 million at June 30, 2018 and December 31, 2017, respectively. See “— Liquidity and Capital Resources — The Company — Liquidity and Capital Uses — Pledged Collateral” and Note 5 of the Notes to the Interim Condensed Consolidated and Combined Financial Statements for information regarding the earned income on and the gross notional amount, estimated fair value of assets and liabilities and primary underlying risk exposure of our derivatives.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11 of the Notes to the Interim Condensed Consolidated and Combined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enter into commitments in the normal course of business for the purpose of enhancing the total return on our investment portfolio: mortgage loan commitments and commitments to fund partnerships, bank credit facilities and private corporate bond investments. See “Net Investment Income” and “Net Investment Gains (Losses)” in Note 4 of the Notes to the Interim Condensed Consolidated and Combined Financial Statements for information on the investment income, investment expense, gains and losses from such investments. See also “— Investments — Fixed Maturity AFS and Equity Securities” and “— Investments — Mortgage Loans” for information on our investments in fixed maturity securities and mortgage loans. See “— Investments — Real Estate Joint Ventures” and “— Investments — Other Limited Partnership Interests” for information on our partnership investments.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commitments disclosed in Note 11 of the Notes to the Interim Condensed Consolidated and Combined Financial Statements, there are no other material obligations or liabilities arising from the commitments to fund mortgage loans, partnerships,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2017 Annual Report.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6" w:right="2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the 2017 Annual Report. Except as otherwise discussed below, there have been no material changes to our actuarial liabilities.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establish liabilities for amounts payable under insurance policies. See Note 3 of the Notes to the Interim Condensed Consolidated and Combined Financial Statements. A discussion of future policy benefits by segment (as well as Corporate &amp; Other) can be found in “Management’s Discussion and Analysis of Financial Condition and Results of Operations — Policyholder Liabilities” included in the 2017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and Combined Financial Statements. A discussion of PABs by segment (as well as Corporate &amp; Other) can be found in “Management’s Discussion and Analysis of Financial Condition and Results of Operations — Policyholder Liabilities” included in the 2017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issue directly and assume from an affiliate through reinsurance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and Combined Financial Statements. See also “Quantitative and Qualitative Disclosures About Market Risk — Market Risk - Fair Value Exposures — Interest Rates” and “Business — Segments and Corporate &amp; Other — Annuities — Current Products — Variable Annuities” included in the 2017 Annual Report for additional information.</w:t>
      </w:r>
    </w:p>
    <w:p>
      <w:pPr>
        <w:spacing w:after="0" w:line="85"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amount at risk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NAR for the GMWB and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6"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Net Amount at Risk” included in the 2017 Annual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 values and NAR of contract owners by type of guaranteed minimum benefit for variable annuity contracts are summarized below at: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June 30, 2018 (1)</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2017 (1)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Account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3"/>
                <w:szCs w:val="13"/>
                <w:color w:val="auto"/>
              </w:rPr>
            </w:pPr>
          </w:p>
        </w:tc>
        <w:tc>
          <w:tcPr>
            <w:tcW w:w="70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 of Account</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80" w:type="dxa"/>
            <w:vAlign w:val="bottom"/>
          </w:tcPr>
          <w:p>
            <w:pPr>
              <w:spacing w:after="0"/>
              <w:rPr>
                <w:sz w:val="13"/>
                <w:szCs w:val="13"/>
                <w:color w:val="auto"/>
              </w:rPr>
            </w:pPr>
          </w:p>
        </w:tc>
        <w:tc>
          <w:tcPr>
            <w:tcW w:w="8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3"/>
                <w:szCs w:val="13"/>
                <w:color w:val="auto"/>
              </w:rPr>
            </w:pPr>
          </w:p>
        </w:tc>
        <w:tc>
          <w:tcPr>
            <w:tcW w:w="72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300" w:type="dxa"/>
            <w:vAlign w:val="bottom"/>
          </w:tcPr>
          <w:p>
            <w:pPr>
              <w:jc w:val="center"/>
              <w:ind w:left="21"/>
              <w:spacing w:after="0" w:line="153" w:lineRule="exact"/>
              <w:rPr>
                <w:sz w:val="20"/>
                <w:szCs w:val="20"/>
                <w:color w:val="auto"/>
              </w:rPr>
            </w:pPr>
            <w:r>
              <w:rPr>
                <w:rFonts w:ascii="Arial" w:cs="Arial" w:eastAsia="Arial" w:hAnsi="Arial"/>
                <w:sz w:val="14"/>
                <w:szCs w:val="14"/>
                <w:b w:val="1"/>
                <w:bCs w:val="1"/>
                <w:color w:val="auto"/>
                <w:w w:val="93"/>
              </w:rPr>
              <w:t>% of Account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Value In-the-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3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Value In-the-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Money (2)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3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12,314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3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13,035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&lt;0.1%</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3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4"/>
        </w:trPr>
        <w:tc>
          <w:tcPr>
            <w:tcW w:w="2880" w:type="dxa"/>
            <w:vAlign w:val="bottom"/>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109,725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6,534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2,860</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115,144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2,924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$4.4 billion at June 30, 2018,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$683 million at June 30, 2018,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$835 million at June 30, 2018. See “Management’s Discussion and Analysis of Financial Condition and Results of Operations — Summary of Critical Accounting Estimates” included in the 2017 Annual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6"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GAAP variable annuity reserve balances by guarantee type and accounting model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Future Policy</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Policyholder</w:t>
            </w:r>
          </w:p>
        </w:tc>
        <w:tc>
          <w:tcPr>
            <w:tcW w:w="12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Future Policy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120" w:type="dxa"/>
            <w:vAlign w:val="bottom"/>
          </w:tcPr>
          <w:p>
            <w:pPr>
              <w:spacing w:after="0"/>
              <w:rPr>
                <w:sz w:val="13"/>
                <w:szCs w:val="13"/>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Account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Account Balances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Benefits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GMIB</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3,492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GMWB4L</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4"/>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4,389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4,149</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gross notional amount and estimated fair value of the derivatives in our variable annuity hedging program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Primary Underlying Risk</w:t>
            </w: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Notional</w:t>
            </w: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2"/>
                <w:szCs w:val="2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Gross Notional</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1840" w:type="dxa"/>
            <w:vAlign w:val="bottom"/>
            <w:gridSpan w:val="2"/>
            <w:vMerge w:val="continue"/>
          </w:tcPr>
          <w:p>
            <w:pPr>
              <w:spacing w:after="0"/>
              <w:rPr>
                <w:sz w:val="6"/>
                <w:szCs w:val="6"/>
                <w:color w:val="auto"/>
              </w:rPr>
            </w:pPr>
          </w:p>
        </w:tc>
        <w:tc>
          <w:tcPr>
            <w:tcW w:w="28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Instrument Type</w:t>
            </w:r>
          </w:p>
        </w:tc>
        <w:tc>
          <w:tcPr>
            <w:tcW w:w="11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8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Exposure</w:t>
            </w: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14,586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Interest rate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Equity Market</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index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variance swaps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total return swaps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81,435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96,212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hedges of guarantees that are accounted for under the insurance accrual based model the change in estimated fair value of our derivatives is reported in policyholder benefits and claims. For hedges of guarantees that are accounted for as embedded derivatives the change in estimated fair value of our derivatives is recorded in net derivative gains (losses). Period to period changes in the estimated fair value of these hedges affect our net income, as well as stockholders’ equity and these effects can be material in any given period. See “Risk Factors — Risks Related to Our Business — Our variable annuity exposure management strategy may not be effective, may result in net income volatility and may negatively affect our statutory capital” and “Management’s Discussion and Analysis of Financial Condition and Results of Operations — Summary of Critical Accounting Estimates,” both included in the 2017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Liquidity refers to our ability to generate adequate cash flows from our normal operations to meet the cash requirements of our operating, investing and financing activities. Capital refers to our long-term financial resources available to support our business operations and contribute to future growth. Our ability to generate and maintain sufficient liquidity and capital depends on the profitability of our businesses, timing of cash flows from investments and products, general economic conditions and access to our credit facilities, repurchase facility and reinsurance financing arrangement, as well as access to the capital markets and the alternate sources of liquidity and capital described herein.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6"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Brighthouse Financial, Inc., from the cash flow needs of the combined group of companies. Brighthouse Financial, Inc. is largely dependent on cash flows from its insurance subsidiaries to meet its obligations. The principal sources of funds available to Brighthouse Financial, Inc. include dividends and returns of capital from its insurance subsidiaries, as well as its own cash and cash equivalents and short-term investments. Such funds are paid to Brighthouse Financial, Inc. by BH Holdings, its direct wholly-owned holding company subsidiary.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 Assets and Short-term Liquidity</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An integral part of our liquidity management includes managing our levels of liquid assets and short-term liquidity. Our non-insurance company liquid assets and short-term liquidity are generated primarily through borrowings, as well as through dividends and returns of capital from our insurance subsidiaries, offset by payments for certain services provided from our insurance and non-insurance subsidiaries, which include, but are not limited to, executive oversight, treasury, finance, legal, human resources, tax planning, internal audit, financial reporting, information technology, distribution services and investor relations. Insurance subsidiary dividends are subject to local insurance regulatory requirements, as discussed in “— The Company — Capital — Restrictions on Dividends and Returns of Capital from Insurance Company Subsidiaries.”</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Liquid assets and short-term liquidity were made available from the issuance of $3.0 billion of senior notes in June 2017 and from drawdowns under the Term Loan Facility in the third quarter of 2017. In addition, any undrawn capacity under the Revolving Credit Facility is a potential source of liquidity. In order to manage our capital more efficiently, we have established internal liquidity facilities to provide liquidity within and across our combined group of companies. At June 30, 2018 and December 31, 2017, total obligations outstanding under these internal liquidity facilities were $89 million and $136 million, respectively.</w:t>
      </w:r>
    </w:p>
    <w:p>
      <w:pPr>
        <w:spacing w:after="0" w:line="80"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At June 30, 2018 and December 31, 2017, Brighthouse Financial, Inc. and certain of its non-insurance subsidiaries had liquid assets of $569 million and $656 million, respectively, of which $491 million and $563 million, respectively, was held by Brighthouse Financial, Inc. Liquid assets include cash and cash equivalents, short-term investments and publicly-traded securities, excluding assets that are pledged or otherwise committed. Assets pledged or otherwise committed include amounts received in connection with derivatives and collateral financing arrangements.</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At June 30, 2018 and December 31, 2017, Brighthouse Financial, Inc. and certain of its non-insurance subsidiaries had short-term liquidity of $336 million and $419 million, respectively. Short-term liquidity includes cash and cash equivalents and short-term investments, excluding assets that are pledged or otherwise committed, including amounts received in connection with securities lending, repurchase agreements, derivatives and secured borrowings.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We expect to maintain adequate liquidity at Brighthouse Financial, Inc., a debt-to-capital ratio of approximately 25% and a funding of $2.0 billion to $3.0 billion of assets in excess of CTE95 to support our variable annuity contracts during normal markets. We monitor our financial leverage ratio based on an average of our key leverage calculations of A.M. Best, Fitch Ratings, Moody’s and Standard &amp; Poor’s. At June 30, 2018, assets above CTE95 were $2.7 billion, which is in excess of $500 million above CTE98. We do not expect that our ability to maintain adequate liquidity will be materially affected by tax reform, or by the NAIC’s current reform activities related to the statutory framework for variable annuities. See “— Industry Trends — Regulatory Developments — Variable Annuity Capital Reform” and “— Industry Trends — Regulatory Developments — NAIC” for further information.</w:t>
      </w:r>
    </w:p>
    <w:p>
      <w:pPr>
        <w:spacing w:after="0" w:line="57"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We may opportunistically look to pursue additional financing over time to reach our targeted debt-to-capital ratio of 25% and to refinance borrowings outstanding under the Term Loan Facility. Such financing may include the incurrence of term loans or the issuance of debt, equity or hybrid securities. There can be no assurance that we will be able to complete any such financing transactions on terms and conditions favorable to us or at all.</w:t>
      </w:r>
    </w:p>
    <w:p>
      <w:pPr>
        <w:spacing w:after="0" w:line="3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do not currently pay regular cash dividends on our common stock. Any future declaration and payment of dividends or other distributions of capital will be at the discretion of our Board of Directors and depend on and be subject to our financial conditions, results of operations, earnings, cash needs, regulatory and other constraints, capital requirements (including capital requirements of our subsidiaries), contractual restrictions and any other factors that our Board of Directors deems relevant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6"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making such a determination. Therefore, there can be no assurance that we will pay any dividends or make other distributions on our common stock, or as to the amount of any such dividends or distribution of capital.</w:t>
      </w:r>
    </w:p>
    <w:p>
      <w:pPr>
        <w:spacing w:after="0" w:line="62"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See “— The Company — Capital” for a discussion of how we manage our capital for the combined group of companies. See also “— The Company — Primary Uses of Liquidity and Capital — Common Stock Repurchases” for information regarding our common stock repurchase program.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Our principal sources of liquidity are insurance premiums and annuity considerations, net investment income and proceeds from the maturity and sale of investments. The primary uses of these funds are investing activities, payments of policyholder benefits, commissions and operational expenses, contract maturities, withdrawals and surrenders.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the primary sources and uses of liquidity and capital:</w:t>
      </w:r>
    </w:p>
    <w:p>
      <w:pPr>
        <w:spacing w:after="0" w:line="325"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Six Months</w:t>
      </w:r>
    </w:p>
    <w:p>
      <w:pPr>
        <w:ind w:left="980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1,017</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issued</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received from MetLife in connection with shareholder’s net investment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4"/>
              </w:rPr>
              <w:t>2,564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5,271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Uses: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repaid (1)</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 financing arrangements repaid</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paid to MetLife in connection with shareholder’s net investment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6,056</w:t>
            </w:r>
          </w:p>
        </w:tc>
        <w:tc>
          <w:tcPr>
            <w:tcW w:w="0" w:type="dxa"/>
            <w:vAlign w:val="bottom"/>
          </w:tcPr>
          <w:p>
            <w:pPr>
              <w:spacing w:after="0"/>
              <w:rPr>
                <w:sz w:val="1"/>
                <w:szCs w:val="1"/>
                <w:color w:val="auto"/>
              </w:rPr>
            </w:pP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33"/>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Represents long-term debt repayments related to CSEs.</w:t>
      </w:r>
    </w:p>
    <w:p>
      <w:pPr>
        <w:spacing w:after="0" w:line="117"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The principal cash inflows from our insurance activities come from insurance premiums, annuity considerations and net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income. The principal cash outflows are the result of various life insurance and annuity products, operating expenses and income tax, as well as interest expense. A primary liquidity concern with respect to these cash flows is the risk of early contract holder and policyholder withdrawal.</w:t>
      </w:r>
    </w:p>
    <w:p>
      <w:pPr>
        <w:spacing w:after="0" w:line="3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i w:val="1"/>
          <w:iCs w:val="1"/>
          <w:color w:val="auto"/>
        </w:rPr>
        <w:t xml:space="preserve">Cash Flows from Investments. </w:t>
      </w:r>
      <w:r>
        <w:rPr>
          <w:rFonts w:ascii="Arial" w:cs="Arial" w:eastAsia="Arial" w:hAnsi="Arial"/>
          <w:sz w:val="18"/>
          <w:szCs w:val="18"/>
          <w:color w:val="auto"/>
        </w:rPr>
        <w:t>The principal cash inflows from our investment activities come from repayments of principal, proceeds from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85"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i w:val="1"/>
          <w:iCs w:val="1"/>
          <w:color w:val="auto"/>
        </w:rPr>
        <w:t xml:space="preserve">Cash Flows from Financing, The Company. </w:t>
      </w:r>
      <w:r>
        <w:rPr>
          <w:rFonts w:ascii="Arial" w:cs="Arial" w:eastAsia="Arial" w:hAnsi="Arial"/>
          <w:sz w:val="18"/>
          <w:szCs w:val="18"/>
          <w:color w:val="auto"/>
        </w:rPr>
        <w:t>The principal cash inflows from our financing activities come from issuances of debt, deposits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policyholder account balances and lending of securities. The principal cash outflows</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6" w:right="239" w:bottom="1440" w:gutter="0" w:footer="0" w:header="0"/>
          <w:type w:val="continuous"/>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come from repayments of debt, withdrawals associated with policyholder account balances and the return of securities on loan. The primary liquidity concerns with respect to these cash flows are market disruption and the risk of early contract holder and policyholder withdrawal.</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Cash Flows from Financing, Parent Company. </w:t>
      </w:r>
      <w:r>
        <w:rPr>
          <w:rFonts w:ascii="Arial" w:cs="Arial" w:eastAsia="Arial" w:hAnsi="Arial"/>
          <w:sz w:val="18"/>
          <w:szCs w:val="18"/>
          <w:color w:val="auto"/>
        </w:rPr>
        <w:t>The principal cash inflows from parent company financing activities come from issuance of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from subsidiaries. The principal cash outflows from parent company financing activities relate to interest expense on and repayments of debt, and payment of dividends on and repurchases of common or preferred stock.</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Liquidity Management</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Based upon our capitalization, expectations regarding maintaining our ratings, business mix and funding sources available to us, we believe we have sufficient liquidity to meet business requirements under current market conditions and certain stress scenarios. We continuously monitor and adjust our liquidity and capital plans in light of market conditions, as well as changing needs and opportunities.</w:t>
      </w:r>
    </w:p>
    <w:p>
      <w:pPr>
        <w:spacing w:after="0" w:line="73"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include various scenarios of the potential increase to post or return collateral, reduction to new business sales, and risk of early contract holder and policyholder withdrawals, and lapses and surrenders of existing policies and contracts. We include provisions limiting withdrawal rights on many of our products. Certain of these provisions prevent the customer from making withdrawals prior to the maturity date of the product. In the event of significant cash requirements beyond anticipated liquidity needs, we have various alternatives available depending on market conditions and the amount and timing of the liquidity need. These potential available alternative sources of liquidity include cash flows from operations, sales of liquid assets, internal liquidity facilities, collateralized borrowing arrangements, such as from FHLB, and any undrawn capacity under the Revolving Credit Facility.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Consolidated Liquid Assets and Short-term Liquidity</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Consolidated liquid assets were $35.0 billion and $38.3 billion at June 30, 2018 and December 31, 2017, respectively. Consolidated short-term liquidity was $1.5 billion and $1.6 billion at June 30,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will be supported by our ability to generate cash flows within our insurance companies, our ability to effectively manage the risk of our businesses, and our expected ability to borrow funds and raise additional capital to meet operating and growth needs in the event of adverse market and economic conditions.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Capital Management</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Our Board of Directors and senior management are directly involved in the governance of the capital management process, including proposed changes to the annual capital plan and capital targets. In connection with the Separation, we undertook various capitalization activities. For example, we have eliminated intercompany financing arrangements with or guaranteed by MetLife. We are targeting a debt-to-total capitalization ratio commensurate with our parent company credit ratings and our insurance subsidiaries’ financial strength ratings.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 Primary Uses of Liquidity and Capital — Common Stock Repurchases” for information regarding our common stock repurchase program.</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companies have statutory surplus above the level needed to meet current regulatory requirements.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the date of the most recent annual statutory financial statements filed with insurance regulators, the total adjusted capital of each of these insurance subsidiaries subject to these requirements was in excess of each of those RBC levels.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Restrictions on Dividends and Returns of Capital from Insurance Subsidiaries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Our business is primarily conducted through our insurance subsidiaries. The insurance subsidiaries are subject to regulatory restrictions on the payment of dividends and other distributions imposed by the regulators of their respective state domiciles. For more information, see “Business — Regulation — Insurance Regulation — Holding Company Regulation” in our 2017 Annual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6"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Any requested payment of dividends by Brighthouse Life Insurance Company and NELICO to Brighthouse Financial, Inc., or by BHNY to Brighthouse Life Insurance Company, in excess of the 2018 limit on the permitted payment of dividends without approval would be considered an extraordinary dividend and would require prior approval from the Delaware Department of Insurance or the Massachusetts Division of Insurance, and the NYDFS, respectively. Statutory accounting practices, as prescribed by insurance regulators of various states in which we conduct business, differ in certain respects from accounting principles used in financial statements prepared in conformity with GAAP. The significant differences relate to the treatment of DAC, certain deferred income tax, required investment liabilities, statutory reserve calculation assumptions and surplus notes.</w:t>
      </w:r>
    </w:p>
    <w:p>
      <w:pPr>
        <w:spacing w:after="0" w:line="5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table below sets forth the dividends permitted to be paid in 2018 by our insurance subsidiaries without insurance regulatory approval and the respective dividends paid during the six months ended June 30, 2018.</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Company</w:t>
            </w:r>
          </w:p>
        </w:tc>
        <w:tc>
          <w:tcPr>
            <w:tcW w:w="11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Paid</w:t>
            </w:r>
          </w:p>
        </w:tc>
        <w:tc>
          <w:tcPr>
            <w:tcW w:w="5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Permitted without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Arial" w:cs="Arial" w:eastAsia="Arial" w:hAnsi="Arial"/>
                <w:sz w:val="14"/>
                <w:szCs w:val="14"/>
                <w:b w:val="1"/>
                <w:bCs w:val="1"/>
                <w:color w:val="auto"/>
              </w:rPr>
              <w:t>Approval (1)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2"/>
          </w:tcPr>
          <w:p>
            <w:pPr>
              <w:jc w:val="right"/>
              <w:ind w:right="102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New England Life Insurance Company</w:t>
            </w:r>
          </w:p>
        </w:tc>
        <w:tc>
          <w:tcPr>
            <w:tcW w:w="1180" w:type="dxa"/>
            <w:vAlign w:val="bottom"/>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65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 of NY (2)</w:t>
            </w: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4"/>
                <w:szCs w:val="14"/>
                <w:color w:val="auto"/>
              </w:rPr>
              <w:t>______________</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34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Reflects dividend amounts that may be paid during 2018 without prior regulatory approval. However, because dividend tests may be based on dividends previously paid over rolling 12-month periods, if paid before a specified date during 2018, some or all of such dividends may require regulatory approval.</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Dividends are not anticipated to be paid by BHNY in 2018.</w:t>
      </w:r>
    </w:p>
    <w:p>
      <w:pPr>
        <w:spacing w:after="0" w:line="11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Brighthouse Financial, Inc. received a $52 million cash distribution from BH Holdings during the six months ended June 30, 2018. There were no cash dividends or returns of capital paid by our non-insurance subsidiaries for the six months ended June 30,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Rating agencies use an “outlook statement” of “positive,” “stable,” ‘‘negative’’ or “developing” to indicate a medium- or long-term trend in credit fundamentals which, if continued, may lead to a rating change. A rating may have a “stable” outlook to indicate that the rating is not expected to change; however, a “stable” rating does not preclude a rating agency from changing a rating at any time, without notice. Certain rating agencies assign rating modifiers such as “CreditWatch” or “under review” to indicate their opinion regarding the potential direction of a rating. These ratings modifiers are generally assigned in connection with certain events such as potential mergers, acquisitions, dispositions or material changes in a company’s results, in order for the rating agency to perform its analysis to fully determine the rating implications of the event.</w:t>
      </w:r>
    </w:p>
    <w:p>
      <w:pPr>
        <w:spacing w:after="0" w:line="7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Information about financial strength ratings and credit ratings can be found in the 2017 Annual Report, as well as on the respective websites of the rating agencies.</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Rating agencies may continue to review and adjust our ratings. A downgrade in the credit ratings of Brighthouse Financial, Inc., the parent company, would likely impact us in many ways, including the cost and availability of financing for Brighthouse Financial, Inc., and its subsidiaries. See Note 5 of the Notes to the Interim Condensed Consolidated and Combined Financial Statements.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Downgrades in our financial strength ratings could have a material adverse effect on our financial condition and results of operations in many ways, including:</w:t>
      </w:r>
    </w:p>
    <w:p>
      <w:pPr>
        <w:spacing w:after="0" w:line="62"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triggering termination and recapture rights under certain of our ceded reinsurance agreements;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6"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requiring us to post additional collateral under certain of our financing and derivative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Additionally, downgrades in the credit ratings of Brighthouse Financial, Inc. or financial strength ratings of our insurance subsidiaries would likely impact us in the following ways:</w:t>
      </w:r>
    </w:p>
    <w:p>
      <w:pPr>
        <w:spacing w:after="0" w:line="6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impact our ability to generate cash flows from the sale of funding agreements and other capital market products we offer;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impact the cost and availability of financing for Brighthouse.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Liquidity is provided by a variety of funding sources, including funding agreements. Capital is provided by a variety of funding sources, including long-term debt, credit facilities and reserve financing facilities. The diversity of our funding sources enhances our funding flexibility, limits dependence on any one market or source of funds and generally lowers the cost of funds. In addition to our senior note issuances, credit facilities, repurchase facility and reinsurance financing arrangement, our other funding sources include or have included: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Home Loan Bank Funding Agreements, Reported in Policyholder Account Balances</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In July 2018, BLIC became a member of the FHLB of Atlanta. BLIC was previously a member of the FHLB of Pittsburgh. At June 30, 2018, BLIC had obligations outstanding with certain regional banks in the FHLB system. During the six months ended June 30, 2018 and 2017, there were no issuances or repayments under funding agreements with such regional FHLBs. At both June 30, 2018 and December 31, 2017, total obligations outstanding under these funding agreements were $595 million. Activity related to these funding agreements is reported in the Run-off segment.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Special Purpose Entity Funding Agreements, Reported in Policyholder Account Balances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BLIC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the six months ended June 30, 2018 and 2017, there were no issuances and we repaid $0 and $6 million, respectively, under such funding agreements. At June 30, 2018 and December 31, 2017, total obligations outstanding under these funding agreements were $141 million. Activity related to these funding agreements is reported in the Run-off segment.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Agricultural Mortgage Corporation Funding Agreements, Reported in Policyholder Account Balances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BLIC may issue funding agreements to a subsidiary of the Federal Agricultural Mortgage Corporation. The obligations under all such funding agreements are secured by a pledge of certain eligible agricultural real estate mortgage loans. During the six months ended June 30, 2018 and 2017, there were no issuances or repayments under such funding agreements. At June 30, 2018 and December 31, 2017, there were no obligations outstanding under these funding agreements. Activities related to these funding agreements are reported in the Run-off segment.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Outstanding 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debt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020" w:type="dxa"/>
            <w:vAlign w:val="bottom"/>
            <w:tcBorders>
              <w:top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3.700%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Senior notes (1)</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4.700%</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2047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(2)</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7.028%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Term loan</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plus 1.5%</w:t>
            </w: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 (3)</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$33 million and $34 million for senior notes due 2027 and 2047 on a combined basis at June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6" w:right="2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Excludes $5 million and $11 million of long-term debt related to CSEs at June 30, 2018 and December 31, 2017, respectively. See Note 4 of the Notes to the Interim Condensed Consolidated and Combined Financial Statements for more information regarding CSEs.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Facilities</w:t>
      </w:r>
    </w:p>
    <w:p>
      <w:pPr>
        <w:spacing w:after="0" w:line="117" w:lineRule="exact"/>
        <w:rPr>
          <w:sz w:val="20"/>
          <w:szCs w:val="20"/>
          <w:color w:val="auto"/>
        </w:rPr>
      </w:pPr>
    </w:p>
    <w:p>
      <w:pPr>
        <w:jc w:val="both"/>
        <w:ind w:left="340" w:right="20" w:firstLine="324"/>
        <w:spacing w:after="0" w:line="308" w:lineRule="auto"/>
        <w:rPr>
          <w:sz w:val="20"/>
          <w:szCs w:val="20"/>
          <w:color w:val="auto"/>
        </w:rPr>
      </w:pPr>
      <w:r>
        <w:rPr>
          <w:rFonts w:ascii="Arial" w:cs="Arial" w:eastAsia="Arial" w:hAnsi="Arial"/>
          <w:sz w:val="17"/>
          <w:szCs w:val="17"/>
          <w:color w:val="auto"/>
        </w:rPr>
        <w:t>At June 30, 2018, there were no drawdowns under the Revolving Credit Facility and there was $600 million outstanding under the Term Loan Facility, resulting in unused commitments totaling $2.0 billion in comparison to the maximum capacity of $2.6 billion under these facilities.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Repurchase Facility</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 Under the Repurchase Facility, Brighthouse Life Insurance Company may sell securities at a purchase price based on the market value of the securities less an applicable margin, with a concurrent agreement to repurchase such securities at a predetermined future date (ranging from two weeks to three months) and at a price which represents the original purchase price plus interest.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Our reinsurance subsidiary, BRCD, was formed to manage our capital and risk exposures and to support our term and ULSG businesses, through the use of affiliated reinsurance arrangements and related reserve financing. BRCD has a $10.0 billion financing arrangement with a pool of highly rated third-party reinsurers. This financing arrangement consists of credit-linked notes that each have a term of 20 years. At June 30, 2018, there were no drawdowns on such notes and there was $9.5 billion of funding available under this financing arrangement.</w:t>
      </w:r>
    </w:p>
    <w:p>
      <w:pPr>
        <w:spacing w:after="0" w:line="63"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BRCD is capitalized with cash and invested assets, including funds withheld (“Minimum Initial Target Assets”) at a level that is sufficient to satisfy its future cash obligations assuming a permanent level yield curve, consistent with NAIC cash flow testing scenarios. BRCD utilizes a financing program to cover the difference between full required statutory assets (i.e., XXX/AXXX reserves plus target risk margin appropriate to meet capital needs) and Minimum Initial Target Assets. An admitted deferred tax asset, if any, would also serve to reduce the amount of funding required under this financing program.</w:t>
      </w:r>
    </w:p>
    <w:p>
      <w:pPr>
        <w:spacing w:after="0" w:line="80"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Historically, the assets for the BRCD cash flow testing were aggregated and not allocated to products. As we finalize the movement of our ULSG business from the Life segment to the Run-off segment, we plan to focus more on product level allocations and therefore anticipate that our Minimum Initial Target Assets by product will change. This will have no impact on BRCD in total but could reduce our total ULSG asset requirement target.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debt instruments and committed facilities contain certain administrative, reporting and legal covenants. Additionally, the 2017 Term Loan Facility and the Revolving Credit Facility contain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The Company is not aware of any non-compliance with these financial covenants at June 30,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6" w:right="2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In addition to the general description of liquidity and capital uses in “— Sources and Uses of Liquidity and Capital,” the following additional information is provided regarding our primary uses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August 5, 2018, Brighthouse Financial, Inc.’s Board of Directors authorized the repurchase of up to $200 million of Brighthouse Financial, Inc.’s common stock. Repurchases made under such authorization may be made through open market purchases, pursuant to 10b5-1plans, or pursuant to accelerated stock repurchase plans from time to time at management’s discretion in accordance with applicable federal securities laws. No common stock repurchases have been made as of August 7, 2018.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life insurance products and annuity products, as well as payments for policy surrenders, withdrawals and loans. Surrender or lapse behavior differs somewhat by product, but tends to occur in the normal course of business. During the six months ended June 30, 2018 and 2017, general account surrenders and withdrawals totaled $1.3 billion and $1.1 billion</w:t>
      </w:r>
      <w:r>
        <w:rPr>
          <w:rFonts w:ascii="Arial" w:cs="Arial" w:eastAsia="Arial" w:hAnsi="Arial"/>
          <w:sz w:val="17"/>
          <w:szCs w:val="17"/>
          <w:b w:val="1"/>
          <w:bCs w:val="1"/>
          <w:color w:val="auto"/>
        </w:rPr>
        <w:t>,</w:t>
      </w:r>
      <w:r>
        <w:rPr>
          <w:rFonts w:ascii="Arial" w:cs="Arial" w:eastAsia="Arial" w:hAnsi="Arial"/>
          <w:sz w:val="17"/>
          <w:szCs w:val="17"/>
          <w:color w:val="auto"/>
        </w:rPr>
        <w:t xml:space="preserve"> respectively, of which $923 million and $812 million, respectively, were attributable to products within the Annuities segment.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pledge collateral to, and have collateral pledged to us by, counterparties in connection with our derivatives. At June 30, 2018 and December 31, 2017, counterparties were obligated to return cash collateral pledged by us of $0 and $44 million, respectively. At June 30, 2018 and December 31, 2017, we were obligated to return cash collateral pledged to us by counterparties of $431 million and $379 million, respectively. See Note 5 of the Notes to the Interim Condensed Consolidated and Combined Financial Statements for additional information about pledged collateral.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pledge collateral from time to time in connection with funding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$3.8 billion at both June 30, 2018 and December 31, 2017. Of these amounts, $1.3 billion and $1.6 billion at June 30, 2018 and December 31, 2017, respectively, were on open, meaning that the related loaned security could be returned to us on the next business day requiring the immediate return of cash collateral we hold. The estimated fair value of the securities on loan related to the cash collateral on open at June 30, 2018 was $1.3 billion, all of which were U.S. government and agency securities which, if put to us, could be immediately sold to satisfy the cash requirement. See Note 4 of the Notes to the Interim Condensed Consolidated and Combined Financial Statements.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11 of the Notes to the Interim Condensed Consolidated and Combined Financial Statements.</w:t>
      </w:r>
    </w:p>
    <w:p>
      <w:pPr>
        <w:spacing w:after="0" w:line="64"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We establish liabilities for litigation and regulatory loss contingencies when it is probable that a loss has been incurred and the amount of the loss can be reasonably estimated. For material matters where a loss is believed to be reasonably possible but not probable, no accrual is made but we disclose the nature of the contingency and an aggregate estimate of the reasonably possible range of loss in excess of amounts accrued, when such an estimate can be made. It is not possible to predict or determine the ultimate outcome of all pending investigations and legal proceedings. In some of the matters referred to herein, very large and/or indeterminate amounts, including punitive and treble damages, are sought. Although in light of these considerations, it is possible that an adverse outcome in certain cases could have a material adverse effect upon our financial position, based on information currently known by us, in our opinion, the outcome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6" w:right="2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from time to time, have a material adverse effect on our combined net income or cash flows in particular quarterly or annual periods.</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219"/>
          </w:cols>
          <w:pgMar w:left="240" w:top="126" w:right="1440"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“forecast,”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 and the recapitalization actions.</w:t>
      </w:r>
    </w:p>
    <w:p>
      <w:pPr>
        <w:spacing w:after="0" w:line="11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7" w:lineRule="exact"/>
        <w:rPr>
          <w:sz w:val="20"/>
          <w:szCs w:val="20"/>
          <w:color w:val="auto"/>
        </w:rPr>
      </w:pPr>
    </w:p>
    <w:p>
      <w:pPr>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counterparty risk due to guarantees within certain of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effectiveness of our exposure management strategy and the impact of such strategy on net income volatility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additional reserves we will be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degree of leverage due to indebtedness incurred in connection with the Separation;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accounting standards, practices and/or policies applicable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these third parties and any inability to obtain information or assistance we need from third parties, including MetLife;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all or any portion of the Separation tax consequences are not as expected, leading to material additional taxes or material adverse consequences to tax attributes that impact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6" w:right="2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including the potential of outcomes adverse to us that could cause us to owe MetLife material tax reimbursements or payments or disagreements regarding MetLife’s or our obligations under our other agreements;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on our business structure, profitability, cost of capital and flexibility due to restrictions we have agreed to that preserve the tax-free treatment of certain parts of the Separation;</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material negative tax impact of the Tax Cuts and Jobs Act and other potential future tax legislation that could decrease the value of our tax attributes, lead to increased RBC requirements and cause other cash expenses, such as reserves, to increase materially and make some of our products less attractive to consumers;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Distribution will qualify for non-recognition treatment for U.S. federal income tax purposes and potential indemnification to MetLife if the Distribution does not so qualify;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factors described in our 2017 Annual Report, the First Quarter Form 10-Q, this report, and from time to time in documents that we file with the SEC.</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2017 Annual Report and the First Quarter Form 10-Q, particularly in the sections entitled “Risk Factors” and “Quantitative and Qualitative Disclosures About Market Risk,” and included elsewhere herein, as well as in our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 Please consult any further disclosures the Company makes on related subjects in reports to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announce financial and other information about Brighthouse to our investors through the Brighthouse Investor Relations web page at www.brighthousefinancial.com, as well as SEC filings, news releases, public conference calls and webcasts. Brighthouse encourages investors to visit the Investor Relations web page from time to time, as information is updated and new information is posted. The information found on our website is not incorporated by reference in this report or in any other report or document we file with the SEC, and any references to our website are intended to be inactive textual references only.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regularly analyze our market risk exposure to interest rate, equity market price, credit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fair value resulting from changes in interest rates, equity market prices, credit spreads and foreign currency exchange rates. We may have additional financial impacts other than changes in fair value, which are beyond the scope of this discussion. A description of our market risk exposures may be found under “Quantitative and Qualitative Disclosures About Market Risk” in the 2017 Annual Report. There have been no material changes to our market risk exposures from the market risk exposures previously disclosed in the 2017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Chief Financial Officer have concluded that these disclosure controls and procedures were effective as of June 30, 2018.</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MetLife continues to provide certain services to the Company on a transitional basis through services agreements. The Company continues to change business processes and standup systems as a standalone entity, and identifies, documents and evaluates controls to ensure controls over our financial reporting are effective. We consider these to be a material change in our internal control over financial reporting.</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June 30, 2018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6" w:right="2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should be read in conjunction with (i) Part I, Item 3 of the 2017 Annual Report and Note 15 to the Notes to the Consolidated and Combined Financial Statements included in the 2017 Annual Report; (ii) Part II, Item 1 of the First Quarter Form 10-Q; and (iii) Note 11 of the Notes to the Interim Condensed Consolidated and Combined Financial Statements in Part I of this report.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Diversified Lending Group Litigations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Hartshorne v. NELICO, et al. </w:t>
      </w:r>
      <w:r>
        <w:rPr>
          <w:rFonts w:ascii="Arial" w:cs="Arial" w:eastAsia="Arial" w:hAnsi="Arial"/>
          <w:sz w:val="16"/>
          <w:szCs w:val="16"/>
          <w:color w:val="auto"/>
        </w:rPr>
        <w:t>(Los Angeles County Superior Court, filed March 25, 2015). Plaintiffs have named New England Life Insurance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(“NELICO”), MetLife, Inc. and MetLife Securities, Inc. in twelve related lawsuits in California state court alleging various causes of action including multiple negligence and statutory claims relating to the Diversified Lending Group Ponzi scheme. As of May 2, 2018, all of the claims have been resolved.</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Unclaimed Property Litigation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Total Asset Recovery Services, LLC on its own behalf and on behalf of the State of New York v. Brighthouse Financial, Inc., et al. </w:t>
      </w:r>
      <w:r>
        <w:rPr>
          <w:rFonts w:ascii="Arial" w:cs="Arial" w:eastAsia="Arial" w:hAnsi="Arial"/>
          <w:sz w:val="17"/>
          <w:szCs w:val="17"/>
          <w:color w:val="auto"/>
        </w:rPr>
        <w:t>(Supreme Court,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County, NY, second amended complaint filed November 17, 2017). Total Asset Recovery Services, LLC (the “Relator”) has brought a qui tam action against Brighthouse Financial, Inc. and its subsidiaries and affiliates under the New York False Claims Act seeking to recover damages on behalf of the State of New York. The action originally was filed under seal on or about December 3, 2010. The State of New York declined to intervene in the action, and the Relator is now prosecuting the action. The Relator alleges that from on or about April 1, 1986 and continuing annually through on or about September 10, 2017, the defendants violated New York State Finance Law Section 189 (1) (g) by failing to timely report and deliver unclaimed insurance property to the State of New York. The Relator is seeking, among other things, treble damages, penalties, expenses and attorneys’ fees and prejudgment interest. No specific dollar amount of damages is specified by the Relator who also is suing numerous insurance companies and John Doe defendants. Brighthouse Financial, Inc. filed a motion to dismiss. The Court has entered an order of voluntary discontinuance without prejudice pursuant to which the Relator dismissed Brighthouse Financial, Inc. without prejudice but reserved its right to file a motion to amend to name other Brighthouse entities as defendants. If other Brighthouse entities are named, the Brighthouse defendants intend to defend this action vigorously.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Group Annuity Class Action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Edward Roycroft v. Brighthouse Financial, Inc., et al. </w:t>
      </w:r>
      <w:r>
        <w:rPr>
          <w:rFonts w:ascii="Arial" w:cs="Arial" w:eastAsia="Arial" w:hAnsi="Arial"/>
          <w:sz w:val="16"/>
          <w:szCs w:val="16"/>
          <w:color w:val="auto"/>
        </w:rPr>
        <w:t>(U.S. District Court, Southern District of New York, filed June 18, 2018). Edward Roycroft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purported class action against Brighthouse Financial, Inc., MetLife, Inc., and Metropolitan Life Insurance Company. The complaint alleges plaintiff is a beneficiary of a Martindale-Hubbell group annuity contract and did not receive payments plaintiff claims he was entitled to upon his retirement in 1999. Plaintiff seeks to represent a class of all beneficiaries who were due annuity benefits pursuant to group annuity contracts and whose annuity benefits were released from reserves. Plaintiff’s causes of action are for conversion, unjust enrichment, an accounting and for a constructive trust. Plaintiff seeks damages, attorneys’ fees, declaratory and injunctive relief and other equitable remedies. Brighthouse Financial, Inc. intends to defend this action vigorously.</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matters discussed above, various litigation, claims and assessments against the Company, in addition to those discussed previously and those otherwise provided for in the Company’s consolidated and combined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and combined net income or cash flows in particular quarterly or annual periods.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discuss in the 2017 Annual Report and our other filings with the SEC, including our First Quarter Form 10-Q, various risks that may materially affect our business. In addition, see “Management’s Discussion and Analysis of Financial Condition and Results of Operations — Industry Trends” for regulatory and other updates, as well as “Management’s Discussion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6" w:right="2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Analysis of Financial Condition and Results of Operations — Note Regarding Forward-Looking Statements” included in this report, each of which is incorporated by reference herein. There have otherwise been no other material changes to our risk factors from the risk factors previously disclosed in the 2017 Annual Report, as amended or supplemented by such information in the First Quarter Form 10-Q.</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6" w:right="2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(Note Regarding Reliance on Statements in Our Contracts: </w:t>
      </w:r>
      <w:r>
        <w:rPr>
          <w:rFonts w:ascii="Arial" w:cs="Arial" w:eastAsia="Arial" w:hAnsi="Arial"/>
          <w:sz w:val="17"/>
          <w:szCs w:val="17"/>
          <w:i w:val="1"/>
          <w:iCs w:val="1"/>
          <w:color w:val="auto"/>
        </w:rPr>
        <w:t>In reviewing the agreements included as exhibits herein, please remember that they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6" w:right="2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gridSpan w:val="19"/>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10.1#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540" w:type="dxa"/>
            <w:vAlign w:val="bottom"/>
            <w:tcBorders>
              <w:top w:val="single" w:sz="8" w:color="auto"/>
              <w:bottom w:val="single" w:sz="8" w:color="0000FF"/>
            </w:tcBorders>
            <w:gridSpan w:val="17"/>
          </w:tcPr>
          <w:p>
            <w:pPr>
              <w:spacing w:after="0" w:line="202"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Brighthouse Financial, Inc. 2017 Stock and Incentive Compensation Plan is incorporated by reference to Exhibit 10.1 to our Current</w:t>
              </w:r>
            </w:hyperlink>
          </w:p>
        </w:tc>
        <w:tc>
          <w:tcPr>
            <w:tcW w:w="240" w:type="dxa"/>
            <w:vAlign w:val="bottom"/>
            <w:tcBorders>
              <w:top w:val="single" w:sz="8" w:color="auto"/>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Report on Form 8-K, filed on May 24, 2018 (File No. 001-37905) (the “May 24, 2018 8-K”).</w:t>
              </w:r>
            </w:hyperlink>
          </w:p>
        </w:tc>
        <w:tc>
          <w:tcPr>
            <w:tcW w:w="3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20"/>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Brighthouse Financial, Inc. 2017 Non-Management Director Stock Compensation Plan is incorporated by reference to Exhibit 10.2 to</w:t>
              </w:r>
            </w:hyperlink>
          </w:p>
        </w:tc>
        <w:tc>
          <w:tcPr>
            <w:tcW w:w="1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5"/>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the May 24, 2018 8-K.</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FF"/>
            </w:tcBorders>
            <w:gridSpan w:val="22"/>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Brighthouse Services, LLC Temporary Incentive Deferred Compensation Plan, as restated is incorporated by reference to Exhibit 10.3</w:t>
              </w:r>
            </w:hyperlink>
          </w:p>
        </w:tc>
        <w:tc>
          <w:tcPr>
            <w:tcW w:w="1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5"/>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to the May 24, 2018 8-K.</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Form of Performance Share Unit Agreement (Employee Plan) is incorporated by reference to Exhibit 10.4 to the May 24, 2018 8-K.</w:t>
              </w:r>
            </w:hyperlink>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4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Form of Restricted Stock Unit Agreement (Employee Plan) is incorporated by reference to Exhibit 10.5 to the May 24, 2018 8-K.</w:t>
              </w:r>
            </w:hyperlink>
          </w:p>
        </w:tc>
        <w:tc>
          <w:tcPr>
            <w:tcW w:w="180" w:type="dxa"/>
            <w:vAlign w:val="bottom"/>
            <w:tcBorders>
              <w:top w:val="single" w:sz="8" w:color="0000FF"/>
            </w:tcBorders>
          </w:tcPr>
          <w:p>
            <w:pPr>
              <w:spacing w:after="0"/>
              <w:rPr>
                <w:sz w:val="21"/>
                <w:szCs w:val="21"/>
                <w:color w:val="auto"/>
              </w:rPr>
            </w:pPr>
          </w:p>
        </w:tc>
        <w:tc>
          <w:tcPr>
            <w:tcW w:w="2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21"/>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Form of Non-Qualified Stock Option Agreement (Employee Plan) is incorporated by reference to Exhibit 10.6 to the May 24, 2018 8-</w:t>
              </w:r>
            </w:hyperlink>
          </w:p>
        </w:tc>
        <w:tc>
          <w:tcPr>
            <w:tcW w:w="1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FF"/>
            </w:tcBorders>
          </w:tcPr>
          <w:p>
            <w:pPr>
              <w:spacing w:after="0" w:line="19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K.</w:t>
              </w:r>
            </w:hyperlink>
          </w:p>
        </w:tc>
        <w:tc>
          <w:tcPr>
            <w:tcW w:w="96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40" w:type="dxa"/>
            <w:vAlign w:val="bottom"/>
            <w:tcBorders>
              <w:bottom w:val="single" w:sz="8" w:color="0000FF"/>
            </w:tcBorders>
            <w:gridSpan w:val="13"/>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Award Agreement Supplement (Employee Plan) is incorporated by reference to Exhibit 10.7 to the May 24, 2018 8-K.</w:t>
              </w:r>
            </w:hyperlink>
          </w:p>
        </w:tc>
        <w:tc>
          <w:tcPr>
            <w:tcW w:w="12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Form of Restricted Stock Unit Agreement (Founders’ Grants under the Employee and Director Plans) is incorporated by reference to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Exhibit 10.8 to the May 24, 2018 8-K.</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Award Agreement Supplement (Founders’ Grants under the Employee and Director Plans) is incorporated by reference to Exhibit 10.9</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to the May 24, 2018 8-K.</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w w:val="93"/>
              </w:rPr>
            </w:pPr>
            <w:hyperlink r:id="rId112">
              <w:r>
                <w:rPr>
                  <w:rFonts w:ascii="Arial" w:cs="Arial" w:eastAsia="Arial" w:hAnsi="Arial"/>
                  <w:sz w:val="18"/>
                  <w:szCs w:val="18"/>
                  <w:color w:val="0000FF"/>
                  <w:w w:val="93"/>
                </w:rPr>
                <w:t>Form of Non-Management Director Restricted Stock Unit Agreement (Director Plan) is incorporated by reference to Exhibit 10.10 to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the May 24, 2018 8-K.</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FF"/>
            </w:tcBorders>
            <w:gridSpan w:val="24"/>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Non-Management Director Award Agreement Supplement (Director Plan) is incorporated by reference to Exhibit 10.11 to the May 24,</w:t>
              </w:r>
            </w:hyperlink>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2018 8-K.</w:t>
              </w:r>
            </w:hyperlink>
          </w:p>
        </w:tc>
        <w:tc>
          <w:tcPr>
            <w:tcW w:w="90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Brighthouse Financial, Inc. Employee Stock Purchase Plan is incorporated by reference to Exhibit 4.5 to our Registration Statement on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Form S-8, filed on May 25, 2018 (File No. 333-225197) (“the Form S-8”).</w:t>
              </w:r>
            </w:hyperlink>
          </w:p>
        </w:tc>
        <w:tc>
          <w:tcPr>
            <w:tcW w:w="4340" w:type="dxa"/>
            <w:vAlign w:val="bottom"/>
            <w:tcBorders>
              <w:top w:val="single" w:sz="8" w:color="0000FF"/>
            </w:tcBorders>
            <w:gridSpan w:val="1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10.12.1#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Amendment Number One to the Brighthouse Financial, Inc. Employee Stock Purchase Plan is incorporated by reference to Exhibit 4.6</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to the Form S-8.</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80" w:type="dxa"/>
            <w:vAlign w:val="bottom"/>
            <w:tcBorders>
              <w:bottom w:val="single" w:sz="8" w:color="0000FF"/>
            </w:tcBorders>
            <w:gridSpan w:val="14"/>
          </w:tcPr>
          <w:p>
            <w:pPr>
              <w:spacing w:after="0"/>
              <w:rPr>
                <w:rFonts w:ascii="Arial" w:cs="Arial" w:eastAsia="Arial" w:hAnsi="Arial"/>
                <w:sz w:val="18"/>
                <w:szCs w:val="18"/>
                <w:color w:val="0000FF"/>
                <w:w w:val="90"/>
              </w:rPr>
            </w:pPr>
            <w:hyperlink r:id="rId116">
              <w:r>
                <w:rPr>
                  <w:rFonts w:ascii="Arial" w:cs="Arial" w:eastAsia="Arial" w:hAnsi="Arial"/>
                  <w:sz w:val="18"/>
                  <w:szCs w:val="18"/>
                  <w:color w:val="0000FF"/>
                  <w:w w:val="90"/>
                </w:rPr>
                <w:t>Letter Agreement, entered into June 8, 2018, by and between Peter Carlson and Brighthouse Services, LLC is incorporated by</w:t>
              </w:r>
            </w:hyperlink>
          </w:p>
        </w:tc>
        <w:tc>
          <w:tcPr>
            <w:tcW w:w="7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5"/>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reference to Exhibit 10.1 to our Current Report on Form 8-K, filed on June 8, 2018 (File No. 001-37905).</w:t>
              </w:r>
            </w:hyperlink>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120">
              <w:r>
                <w:rPr>
                  <w:rFonts w:ascii="Arial" w:cs="Arial" w:eastAsia="Arial" w:hAnsi="Arial"/>
                  <w:sz w:val="18"/>
                  <w:szCs w:val="18"/>
                  <w:color w:val="0000FF"/>
                  <w:w w:val="92"/>
                </w:rPr>
                <w:t>Certification of Chief Executive Officer pursuant to Section 302 of the Sarbanes-Oxley Act of 2002.</w:t>
              </w:r>
            </w:hyperlink>
          </w:p>
        </w:tc>
        <w:tc>
          <w:tcPr>
            <w:tcW w:w="360" w:type="dxa"/>
            <w:vAlign w:val="bottom"/>
            <w:tcBorders>
              <w:top w:val="single" w:sz="8" w:color="0000FF"/>
            </w:tcBorders>
          </w:tcPr>
          <w:p>
            <w:pPr>
              <w:spacing w:after="0"/>
              <w:rPr>
                <w:sz w:val="21"/>
                <w:szCs w:val="21"/>
                <w:color w:val="auto"/>
              </w:rPr>
            </w:pPr>
          </w:p>
        </w:tc>
        <w:tc>
          <w:tcPr>
            <w:tcW w:w="21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21">
              <w:r>
                <w:rPr>
                  <w:rFonts w:ascii="Arial" w:cs="Arial" w:eastAsia="Arial" w:hAnsi="Arial"/>
                  <w:sz w:val="18"/>
                  <w:szCs w:val="18"/>
                  <w:color w:val="0000FF"/>
                  <w:w w:val="92"/>
                </w:rPr>
                <w:t>Certification of Chief Financial Officer pursuant to Section 302 of the Sarbanes-Oxley Act of 2002.</w:t>
              </w:r>
            </w:hyperlink>
          </w:p>
        </w:tc>
        <w:tc>
          <w:tcPr>
            <w:tcW w:w="25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122">
              <w:r>
                <w:rPr>
                  <w:rFonts w:ascii="Arial" w:cs="Arial" w:eastAsia="Arial" w:hAnsi="Arial"/>
                  <w:sz w:val="18"/>
                  <w:szCs w:val="18"/>
                  <w:color w:val="0000FF"/>
                  <w:w w:val="92"/>
                </w:rPr>
                <w:t>Certification of Chief Executive Officer pursuant to Section 906 of the Sarbanes-Oxley Act of 2002.</w:t>
              </w:r>
            </w:hyperlink>
          </w:p>
        </w:tc>
        <w:tc>
          <w:tcPr>
            <w:tcW w:w="25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91"/>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23"/>
                <w:szCs w:val="23"/>
                <w:color w:val="auto"/>
              </w:rPr>
            </w:pPr>
          </w:p>
        </w:tc>
        <w:tc>
          <w:tcPr>
            <w:tcW w:w="97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3"/>
                <w:szCs w:val="23"/>
                <w:color w:val="auto"/>
              </w:rPr>
            </w:pPr>
          </w:p>
        </w:tc>
        <w:tc>
          <w:tcPr>
            <w:tcW w:w="97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3"/>
                <w:szCs w:val="23"/>
                <w:color w:val="auto"/>
              </w:rPr>
            </w:pPr>
          </w:p>
        </w:tc>
        <w:tc>
          <w:tcPr>
            <w:tcW w:w="97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3"/>
                <w:szCs w:val="23"/>
                <w:color w:val="auto"/>
              </w:rPr>
            </w:pPr>
          </w:p>
        </w:tc>
        <w:tc>
          <w:tcPr>
            <w:tcW w:w="97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3"/>
                <w:szCs w:val="23"/>
                <w:color w:val="auto"/>
              </w:rPr>
            </w:pPr>
          </w:p>
        </w:tc>
        <w:tc>
          <w:tcPr>
            <w:tcW w:w="97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6" w:right="2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26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By:</w:t>
            </w:r>
          </w:p>
        </w:tc>
        <w:tc>
          <w:tcPr>
            <w:tcW w:w="5240" w:type="dxa"/>
            <w:vAlign w:val="bottom"/>
          </w:tcPr>
          <w:p>
            <w:pPr>
              <w:ind w:left="140"/>
              <w:spacing w:after="0"/>
              <w:rPr>
                <w:sz w:val="20"/>
                <w:szCs w:val="20"/>
                <w:color w:val="auto"/>
              </w:rPr>
            </w:pPr>
            <w:r>
              <w:rPr>
                <w:rFonts w:ascii="Arial" w:cs="Arial" w:eastAsia="Arial" w:hAnsi="Arial"/>
                <w:sz w:val="18"/>
                <w:szCs w:val="18"/>
                <w:color w:val="auto"/>
              </w:rPr>
              <w:t>/s/ Anant Bhalla</w:t>
            </w:r>
          </w:p>
        </w:tc>
      </w:tr>
      <w:tr>
        <w:trPr>
          <w:trHeight w:val="27"/>
        </w:trPr>
        <w:tc>
          <w:tcPr>
            <w:tcW w:w="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5240" w:type="dxa"/>
            <w:vAlign w:val="bottom"/>
          </w:tcPr>
          <w:p>
            <w:pPr>
              <w:ind w:left="140"/>
              <w:spacing w:after="0"/>
              <w:rPr>
                <w:sz w:val="20"/>
                <w:szCs w:val="20"/>
                <w:color w:val="auto"/>
              </w:rPr>
            </w:pPr>
            <w:r>
              <w:rPr>
                <w:rFonts w:ascii="Arial" w:cs="Arial" w:eastAsia="Arial" w:hAnsi="Arial"/>
                <w:sz w:val="18"/>
                <w:szCs w:val="18"/>
                <w:color w:val="auto"/>
              </w:rPr>
              <w:t>Anant Bhalla</w:t>
            </w:r>
          </w:p>
        </w:tc>
      </w:tr>
      <w:tr>
        <w:trPr>
          <w:trHeight w:val="270"/>
        </w:trPr>
        <w:tc>
          <w:tcPr>
            <w:tcW w:w="34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2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(Authorized Signatory and Principal Financial Officer)</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August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6" w:right="23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0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20" w:name="page121"/>
    <w:bookmarkEnd w:id="120"/>
    <w:p>
      <w:pPr>
        <w:ind w:left="1048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Anant Bhalla, certify that:</w:t>
      </w:r>
    </w:p>
    <w:p>
      <w:pPr>
        <w:spacing w:after="0" w:line="17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06"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 Eric T. Steigerwalt, certify that, to my knowledge, (i) Brighthouse Financial, Inc.'s Quarterly Report on Form 10-Q for the quarter ended June 30, 2018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31750</wp:posOffset>
            </wp:positionV>
            <wp:extent cx="2992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 Chief Executive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 Anant Bhalla, certify that, to my knowledge, (i) Brighthouse Financial, Inc.’s Quarterly Report on Form 10-Q for the quarter ended June 30, 2018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00" w:lineRule="exact"/>
        <w:rPr>
          <w:sz w:val="20"/>
          <w:szCs w:val="20"/>
          <w:color w:val="auto"/>
        </w:rPr>
      </w:pPr>
    </w:p>
    <w:p>
      <w:pPr>
        <w:spacing w:after="0" w:line="322"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lvl w:ilvl="1">
      <w:lvlJc w:val="left"/>
      <w:lvlText w:val="☐"/>
      <w:numFmt w:val="bullet"/>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lowerRoman"/>
      <w:start w:val="4"/>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lowerRoman"/>
      <w:start w:val="3"/>
    </w:lvl>
  </w:abstractNum>
  <w:abstractNum w:abstractNumId="9">
    <w:nsid w:val="580BD78F"/>
    <w:multiLevelType w:val="hybridMultilevel"/>
    <w:lvl w:ilvl="0">
      <w:lvlJc w:val="left"/>
      <w:lvlText w:val="%1."/>
      <w:numFmt w:val="decimal"/>
      <w:start w:val="4"/>
    </w:lvl>
  </w:abstractNum>
  <w:abstractNum w:abstractNumId="10">
    <w:nsid w:val="153EA438"/>
    <w:multiLevelType w:val="hybridMultilevel"/>
    <w:lvl w:ilvl="0">
      <w:lvlJc w:val="left"/>
      <w:lvlText w:val="%1."/>
      <w:numFmt w:val="decimal"/>
      <w:start w:val="4"/>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lowerRoman"/>
      <w:start w:val="2"/>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4"/>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4"/>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4"/>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7"/>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8"/>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lowerRoman"/>
      <w:start w:val="1"/>
    </w:lvl>
  </w:abstractNum>
  <w:abstractNum w:abstractNumId="39">
    <w:nsid w:val="649BB77C"/>
    <w:multiLevelType w:val="hybridMultilevel"/>
    <w:lvl w:ilvl="0">
      <w:lvlJc w:val="left"/>
      <w:lvlText w:val="•"/>
      <w:numFmt w:val="bullet"/>
      <w:start w:val="1"/>
    </w:lvl>
    <w:lvl w:ilvl="1">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emdash "/>
      <w:numFmt w:val="bullet"/>
      <w:start w:val="1"/>
    </w:lvl>
  </w:abstractNum>
  <w:abstractNum w:abstractNumId="43">
    <w:nsid w:val="180115BE"/>
    <w:multiLevelType w:val="hybridMultilevel"/>
    <w:lvl w:ilvl="0">
      <w:lvlJc w:val="left"/>
      <w:lvlText w:val="(%1)"/>
      <w:numFmt w:val="lowerRoman"/>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emdash "/>
      <w:numFmt w:val="bullet"/>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2"/>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03" Type="http://schemas.openxmlformats.org/officeDocument/2006/relationships/hyperlink" Target="http://www.sec.gov/Archives/edgar/data/1685040/000119312518173741/d591162dex101.htm" TargetMode="External"/><Relationship Id="rId104" Type="http://schemas.openxmlformats.org/officeDocument/2006/relationships/hyperlink" Target="http://www.sec.gov/Archives/edgar/data/1685040/000119312518173741/d591162dex102.htm" TargetMode="External"/><Relationship Id="rId105" Type="http://schemas.openxmlformats.org/officeDocument/2006/relationships/hyperlink" Target="http://www.sec.gov/Archives/edgar/data/1685040/000119312518173741/d591162dex103.htm" TargetMode="External"/><Relationship Id="rId106" Type="http://schemas.openxmlformats.org/officeDocument/2006/relationships/hyperlink" Target="http://www.sec.gov/Archives/edgar/data/1685040/000119312518173741/d591162dex104.htm" TargetMode="External"/><Relationship Id="rId107" Type="http://schemas.openxmlformats.org/officeDocument/2006/relationships/hyperlink" Target="http://www.sec.gov/Archives/edgar/data/1685040/000119312518173741/d591162dex105.htm" TargetMode="External"/><Relationship Id="rId108" Type="http://schemas.openxmlformats.org/officeDocument/2006/relationships/hyperlink" Target="http://www.sec.gov/Archives/edgar/data/1685040/000119312518173741/d591162dex106.htm" TargetMode="External"/><Relationship Id="rId109" Type="http://schemas.openxmlformats.org/officeDocument/2006/relationships/hyperlink" Target="http://www.sec.gov/Archives/edgar/data/1685040/000119312518173741/d591162dex107.htm" TargetMode="External"/><Relationship Id="rId110" Type="http://schemas.openxmlformats.org/officeDocument/2006/relationships/hyperlink" Target="http://www.sec.gov/Archives/edgar/data/1685040/000119312518173741/d591162dex108.htm" TargetMode="External"/><Relationship Id="rId111" Type="http://schemas.openxmlformats.org/officeDocument/2006/relationships/hyperlink" Target="http://www.sec.gov/Archives/edgar/data/1685040/000119312518173741/d591162dex109.htm" TargetMode="External"/><Relationship Id="rId112" Type="http://schemas.openxmlformats.org/officeDocument/2006/relationships/hyperlink" Target="http://www.sec.gov/Archives/edgar/data/1685040/000119312518173741/d591162dex1010.htm" TargetMode="External"/><Relationship Id="rId113" Type="http://schemas.openxmlformats.org/officeDocument/2006/relationships/hyperlink" Target="http://www.sec.gov/Archives/edgar/data/1685040/000119312518173741/d591162dex1011.htm" TargetMode="External"/><Relationship Id="rId114" Type="http://schemas.openxmlformats.org/officeDocument/2006/relationships/hyperlink" Target="http://www.sec.gov/Archives/edgar/data/1685040/000119312518173803/d582389dex45.htm" TargetMode="External"/><Relationship Id="rId115" Type="http://schemas.openxmlformats.org/officeDocument/2006/relationships/hyperlink" Target="http://www.sec.gov/Archives/edgar/data/1685040/000119312518173803/d582389dex46.htm" TargetMode="External"/><Relationship Id="rId116" Type="http://schemas.openxmlformats.org/officeDocument/2006/relationships/hyperlink" Target="http://www.sec.gov/Archives/edgar/data/1685040/000119312518188260/d60257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2019-12-28T20:15:38Z</dcterms:created>
  <dcterms:modified xsi:type="dcterms:W3CDTF">2019-12-28T20:15:38Z</dcterms:modified>
</cp:coreProperties>
</file>